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1316990</wp:posOffset>
            </wp:positionH>
            <wp:positionV relativeFrom="page">
              <wp:posOffset>685800</wp:posOffset>
            </wp:positionV>
            <wp:extent cx="5486400" cy="4572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5486400" cy="45720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44" w:lineRule="exact"/>
        <w:rPr>
          <w:sz w:val="24"/>
          <w:szCs w:val="24"/>
          <w:color w:val="auto"/>
        </w:rPr>
      </w:pPr>
    </w:p>
    <w:p>
      <w:pPr>
        <w:ind w:left="4440"/>
        <w:spacing w:after="0" w:line="249" w:lineRule="auto"/>
        <w:rPr>
          <w:sz w:val="20"/>
          <w:szCs w:val="20"/>
          <w:color w:val="auto"/>
        </w:rPr>
      </w:pPr>
      <w:r>
        <w:rPr>
          <w:rFonts w:ascii="Book Antiqua" w:cs="Book Antiqua" w:eastAsia="Book Antiqua" w:hAnsi="Book Antiqua"/>
          <w:sz w:val="40"/>
          <w:szCs w:val="40"/>
          <w:b w:val="1"/>
          <w:bCs w:val="1"/>
          <w:color w:val="auto"/>
        </w:rPr>
        <w:t>Wisdom or Madness? Comparing Crowds with Expert Evaluation in Funding the Arts</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370205</wp:posOffset>
            </wp:positionH>
            <wp:positionV relativeFrom="paragraph">
              <wp:posOffset>-959485</wp:posOffset>
            </wp:positionV>
            <wp:extent cx="1268095" cy="127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1268095" cy="1276985"/>
                    </a:xfrm>
                    <a:prstGeom prst="rect">
                      <a:avLst/>
                    </a:prstGeom>
                    <a:noFill/>
                  </pic:spPr>
                </pic:pic>
              </a:graphicData>
            </a:graphic>
          </wp:anchor>
        </w:drawing>
      </w:r>
    </w:p>
    <w:p>
      <w:pPr>
        <w:spacing w:after="0" w:line="204" w:lineRule="exact"/>
        <w:rPr>
          <w:sz w:val="24"/>
          <w:szCs w:val="24"/>
          <w:color w:val="auto"/>
        </w:rPr>
      </w:pPr>
    </w:p>
    <w:p>
      <w:pPr>
        <w:ind w:left="4440"/>
        <w:spacing w:after="0"/>
        <w:rPr>
          <w:sz w:val="20"/>
          <w:szCs w:val="20"/>
          <w:color w:val="auto"/>
        </w:rPr>
      </w:pPr>
      <w:r>
        <w:rPr>
          <w:rFonts w:ascii="Book Antiqua" w:cs="Book Antiqua" w:eastAsia="Book Antiqua" w:hAnsi="Book Antiqua"/>
          <w:sz w:val="31"/>
          <w:szCs w:val="31"/>
          <w:b w:val="1"/>
          <w:bCs w:val="1"/>
          <w:color w:val="auto"/>
        </w:rPr>
        <w:t>Ethan Mollick</w:t>
      </w:r>
    </w:p>
    <w:p>
      <w:pPr>
        <w:spacing w:after="0" w:line="7" w:lineRule="exact"/>
        <w:rPr>
          <w:sz w:val="24"/>
          <w:szCs w:val="24"/>
          <w:color w:val="auto"/>
        </w:rPr>
      </w:pPr>
    </w:p>
    <w:p>
      <w:pPr>
        <w:ind w:left="4440"/>
        <w:spacing w:after="0"/>
        <w:rPr>
          <w:sz w:val="20"/>
          <w:szCs w:val="20"/>
          <w:color w:val="auto"/>
        </w:rPr>
      </w:pPr>
      <w:r>
        <w:rPr>
          <w:rFonts w:ascii="Book Antiqua" w:cs="Book Antiqua" w:eastAsia="Book Antiqua" w:hAnsi="Book Antiqua"/>
          <w:sz w:val="31"/>
          <w:szCs w:val="31"/>
          <w:b w:val="1"/>
          <w:bCs w:val="1"/>
          <w:color w:val="auto"/>
        </w:rPr>
        <w:t>Ramana Nanda</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97" w:lineRule="exact"/>
        <w:rPr>
          <w:sz w:val="24"/>
          <w:szCs w:val="24"/>
          <w:color w:val="auto"/>
        </w:rPr>
      </w:pPr>
    </w:p>
    <w:p>
      <w:pPr>
        <w:ind w:left="4440"/>
        <w:spacing w:after="0"/>
        <w:rPr>
          <w:sz w:val="20"/>
          <w:szCs w:val="20"/>
          <w:color w:val="auto"/>
        </w:rPr>
      </w:pPr>
      <w:r>
        <w:rPr>
          <w:rFonts w:ascii="Garamond" w:cs="Garamond" w:eastAsia="Garamond" w:hAnsi="Garamond"/>
          <w:sz w:val="40"/>
          <w:szCs w:val="40"/>
          <w:b w:val="1"/>
          <w:bCs w:val="1"/>
          <w:color w:val="auto"/>
        </w:rPr>
        <w:t>Working Paper</w:t>
      </w:r>
    </w:p>
    <w:p>
      <w:pPr>
        <w:spacing w:after="0" w:line="272" w:lineRule="exact"/>
        <w:rPr>
          <w:sz w:val="24"/>
          <w:szCs w:val="24"/>
          <w:color w:val="auto"/>
        </w:rPr>
      </w:pPr>
    </w:p>
    <w:p>
      <w:pPr>
        <w:ind w:left="4440"/>
        <w:spacing w:after="0"/>
        <w:rPr>
          <w:sz w:val="20"/>
          <w:szCs w:val="20"/>
          <w:color w:val="auto"/>
        </w:rPr>
      </w:pPr>
      <w:r>
        <w:rPr>
          <w:rFonts w:ascii="Garamond" w:cs="Garamond" w:eastAsia="Garamond" w:hAnsi="Garamond"/>
          <w:sz w:val="32"/>
          <w:szCs w:val="32"/>
          <w:b w:val="1"/>
          <w:bCs w:val="1"/>
          <w:color w:val="auto"/>
        </w:rPr>
        <w:t>14-116</w:t>
      </w:r>
    </w:p>
    <w:p>
      <w:pPr>
        <w:spacing w:after="0" w:line="360" w:lineRule="exact"/>
        <w:rPr>
          <w:sz w:val="24"/>
          <w:szCs w:val="24"/>
          <w:color w:val="auto"/>
        </w:rPr>
      </w:pPr>
    </w:p>
    <w:p>
      <w:pPr>
        <w:ind w:left="4440"/>
        <w:spacing w:after="0"/>
        <w:rPr>
          <w:sz w:val="20"/>
          <w:szCs w:val="20"/>
          <w:color w:val="auto"/>
        </w:rPr>
      </w:pPr>
      <w:r>
        <w:rPr>
          <w:rFonts w:ascii="Garamond" w:cs="Garamond" w:eastAsia="Garamond" w:hAnsi="Garamond"/>
          <w:sz w:val="32"/>
          <w:szCs w:val="32"/>
          <w:b w:val="1"/>
          <w:bCs w:val="1"/>
          <w:color w:val="auto"/>
        </w:rPr>
        <w:t>August 26, 2015</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4" w:lineRule="exact"/>
        <w:rPr>
          <w:sz w:val="24"/>
          <w:szCs w:val="24"/>
          <w:color w:val="auto"/>
        </w:rPr>
      </w:pPr>
    </w:p>
    <w:p>
      <w:pPr>
        <w:ind w:left="360"/>
        <w:spacing w:after="0"/>
        <w:rPr>
          <w:sz w:val="20"/>
          <w:szCs w:val="20"/>
          <w:color w:val="auto"/>
        </w:rPr>
      </w:pPr>
      <w:r>
        <w:rPr>
          <w:rFonts w:ascii="Book Antiqua" w:cs="Book Antiqua" w:eastAsia="Book Antiqua" w:hAnsi="Book Antiqua"/>
          <w:sz w:val="18"/>
          <w:szCs w:val="18"/>
          <w:color w:val="auto"/>
        </w:rPr>
        <w:t>Copyright © 2014, 2015 by Ethan Mollick and Ramana Nanda</w:t>
      </w:r>
    </w:p>
    <w:p>
      <w:pPr>
        <w:spacing w:after="0" w:line="121" w:lineRule="exact"/>
        <w:rPr>
          <w:sz w:val="24"/>
          <w:szCs w:val="24"/>
          <w:color w:val="auto"/>
        </w:rPr>
      </w:pPr>
    </w:p>
    <w:p>
      <w:pPr>
        <w:jc w:val="both"/>
        <w:ind w:left="360" w:right="820"/>
        <w:spacing w:after="0" w:line="245" w:lineRule="auto"/>
        <w:rPr>
          <w:sz w:val="20"/>
          <w:szCs w:val="20"/>
          <w:color w:val="auto"/>
        </w:rPr>
      </w:pPr>
      <w:r>
        <w:rPr>
          <w:rFonts w:ascii="Book Antiqua" w:cs="Book Antiqua" w:eastAsia="Book Antiqua" w:hAnsi="Book Antiqua"/>
          <w:sz w:val="18"/>
          <w:szCs w:val="18"/>
          <w:color w:val="auto"/>
        </w:rPr>
        <w:t>Working papers are in draft form. This working paper is distributed for purposes of comment and discussion only. It may not be reproduced without permission of the copyright holder. Copies of working papers are available from the author.</w:t>
      </w:r>
    </w:p>
    <w:p>
      <w:pPr>
        <w:sectPr>
          <w:pgSz w:w="12240" w:h="15840" w:orient="portrait"/>
          <w:cols w:equalWidth="0" w:num="1">
            <w:col w:w="9820"/>
          </w:cols>
          <w:pgMar w:left="1440" w:top="1440" w:right="980" w:bottom="560" w:gutter="0" w:footer="0" w:header="0"/>
        </w:sectPr>
      </w:pPr>
    </w:p>
    <w:bookmarkStart w:id="1" w:name="page2"/>
    <w:bookmarkEnd w:id="1"/>
    <w:p>
      <w:pPr>
        <w:spacing w:after="0" w:line="291" w:lineRule="exact"/>
        <w:rPr>
          <w:sz w:val="20"/>
          <w:szCs w:val="20"/>
          <w:color w:val="auto"/>
        </w:rPr>
      </w:pPr>
    </w:p>
    <w:p>
      <w:pPr>
        <w:jc w:val="center"/>
        <w:spacing w:after="0" w:line="235" w:lineRule="auto"/>
        <w:rPr>
          <w:sz w:val="20"/>
          <w:szCs w:val="20"/>
          <w:color w:val="auto"/>
        </w:rPr>
      </w:pPr>
      <w:r>
        <w:rPr>
          <w:rFonts w:ascii="Times New Roman" w:cs="Times New Roman" w:eastAsia="Times New Roman" w:hAnsi="Times New Roman"/>
          <w:sz w:val="44"/>
          <w:szCs w:val="44"/>
          <w:color w:val="auto"/>
        </w:rPr>
        <w:t>Wisdom or Madness? Comparing Crowds with Expert Evaluation in Funding the Arts*</w:t>
      </w:r>
    </w:p>
    <w:p>
      <w:pPr>
        <w:spacing w:after="0" w:line="200" w:lineRule="exact"/>
        <w:rPr>
          <w:sz w:val="20"/>
          <w:szCs w:val="20"/>
          <w:color w:val="auto"/>
        </w:rPr>
      </w:pPr>
    </w:p>
    <w:p>
      <w:pPr>
        <w:spacing w:after="0" w:line="34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Ethan Mollick</w:t>
      </w:r>
    </w:p>
    <w:p>
      <w:pPr>
        <w:jc w:val="center"/>
        <w:spacing w:after="0"/>
        <w:rPr>
          <w:sz w:val="20"/>
          <w:szCs w:val="20"/>
          <w:color w:val="auto"/>
        </w:rPr>
      </w:pPr>
      <w:r>
        <w:rPr>
          <w:rFonts w:ascii="Times New Roman" w:cs="Times New Roman" w:eastAsia="Times New Roman" w:hAnsi="Times New Roman"/>
          <w:sz w:val="24"/>
          <w:szCs w:val="24"/>
          <w:i w:val="1"/>
          <w:iCs w:val="1"/>
          <w:color w:val="auto"/>
        </w:rPr>
        <w:t>The Wharton School University of Pennsylvania</w:t>
      </w:r>
    </w:p>
    <w:p>
      <w:pPr>
        <w:spacing w:after="0" w:line="27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Ramana Nanda</w:t>
      </w:r>
    </w:p>
    <w:p>
      <w:pPr>
        <w:jc w:val="center"/>
        <w:spacing w:after="0"/>
        <w:rPr>
          <w:sz w:val="20"/>
          <w:szCs w:val="20"/>
          <w:color w:val="auto"/>
        </w:rPr>
      </w:pPr>
      <w:r>
        <w:rPr>
          <w:rFonts w:ascii="Times New Roman" w:cs="Times New Roman" w:eastAsia="Times New Roman" w:hAnsi="Times New Roman"/>
          <w:sz w:val="24"/>
          <w:szCs w:val="24"/>
          <w:i w:val="1"/>
          <w:iCs w:val="1"/>
          <w:color w:val="auto"/>
        </w:rPr>
        <w:t>Harvard Business School</w:t>
      </w:r>
    </w:p>
    <w:p>
      <w:pPr>
        <w:spacing w:after="0" w:line="27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March 5, 2015</w:t>
      </w: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right="140"/>
        <w:spacing w:after="0" w:line="237" w:lineRule="auto"/>
        <w:rPr>
          <w:sz w:val="20"/>
          <w:szCs w:val="20"/>
          <w:color w:val="auto"/>
        </w:rPr>
      </w:pPr>
      <w:r>
        <w:rPr>
          <w:rFonts w:ascii="Calibri" w:cs="Calibri" w:eastAsia="Calibri" w:hAnsi="Calibri"/>
          <w:sz w:val="22"/>
          <w:szCs w:val="22"/>
          <w:b w:val="1"/>
          <w:bCs w:val="1"/>
          <w:color w:val="auto"/>
        </w:rPr>
        <w:t xml:space="preserve">Abstract: </w:t>
      </w:r>
      <w:r>
        <w:rPr>
          <w:rFonts w:ascii="Calibri" w:cs="Calibri" w:eastAsia="Calibri" w:hAnsi="Calibri"/>
          <w:sz w:val="22"/>
          <w:szCs w:val="22"/>
          <w:color w:val="auto"/>
        </w:rPr>
        <w:t>In fields as diverse as technology entrepreneurship and the arts, crowds of interested</w:t>
      </w:r>
      <w:r>
        <w:rPr>
          <w:rFonts w:ascii="Calibri" w:cs="Calibri" w:eastAsia="Calibri" w:hAnsi="Calibri"/>
          <w:sz w:val="22"/>
          <w:szCs w:val="22"/>
          <w:b w:val="1"/>
          <w:bCs w:val="1"/>
          <w:color w:val="auto"/>
        </w:rPr>
        <w:t xml:space="preserve"> </w:t>
      </w:r>
      <w:r>
        <w:rPr>
          <w:rFonts w:ascii="Calibri" w:cs="Calibri" w:eastAsia="Calibri" w:hAnsi="Calibri"/>
          <w:sz w:val="22"/>
          <w:szCs w:val="22"/>
          <w:color w:val="auto"/>
        </w:rPr>
        <w:t>stakeholders are increasingly responsible for deciding which innovations to fund, a privilege that was previously reserved for a few experts, such as venture capitalists and grant‐making bodies. Little is known about the degree to which the crowd differs from experts in judging which ideas to fund, and, indeed, whether the crowd is even rational in making funding decisions. Drawing on a panel of national experts and comprehensive data from the largest crowdfunding site, we examine funding decisions for proposed theater projects, a category where expert and crowd preferences might be expected to differ greatly. We instead find significant agreement between the funding decisions of crowds and experts. Where crowds and experts disagree, it is far more likely to be a case where the crowd is willing to fund projects that experts may not. Examining the outcomes of these projects, we find no quantitative or qualitative differences between projects funded by the crowd alone, and those that were selected by both the crowd and experts. Our findings suggest that crowdfunding can play an important role in complementing expert decisions, particularly in sectors where the crowds are end users, by allowing projects the option to receive multiple evaluations and thereby lowering the incidence of "false negatives."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858520</wp:posOffset>
                </wp:positionV>
                <wp:extent cx="598043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67.6pt" to="469.5pt,67.6pt" o:allowincell="f" strokecolor="#000000" strokeweight="0.71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right="20"/>
        <w:spacing w:after="0" w:line="254" w:lineRule="auto"/>
        <w:rPr>
          <w:rFonts w:ascii="Calibri" w:cs="Calibri" w:eastAsia="Calibri" w:hAnsi="Calibri"/>
          <w:sz w:val="20"/>
          <w:szCs w:val="20"/>
          <w:color w:val="0563C1"/>
        </w:rPr>
      </w:pPr>
      <w:hyperlink r:id="rId10">
        <w:r>
          <w:rPr>
            <w:rFonts w:ascii="Calibri" w:cs="Calibri" w:eastAsia="Calibri" w:hAnsi="Calibri"/>
            <w:sz w:val="20"/>
            <w:szCs w:val="20"/>
            <w:u w:val="single" w:color="auto"/>
            <w:color w:val="0563C1"/>
          </w:rPr>
          <w:t>*</w:t>
        </w:r>
        <w:r>
          <w:rPr>
            <w:rFonts w:ascii="Times New Roman" w:cs="Times New Roman" w:eastAsia="Times New Roman" w:hAnsi="Times New Roman"/>
            <w:sz w:val="20"/>
            <w:szCs w:val="20"/>
            <w:u w:val="single" w:color="auto"/>
            <w:color w:val="0563C1"/>
          </w:rPr>
          <w:t>emollick@wharton.upenn.edu</w:t>
        </w:r>
        <w:r>
          <w:rPr>
            <w:rFonts w:ascii="Calibri" w:cs="Calibri" w:eastAsia="Calibri" w:hAnsi="Calibri"/>
            <w:sz w:val="20"/>
            <w:szCs w:val="20"/>
            <w:color w:val="0563C1"/>
          </w:rPr>
          <w:t xml:space="preserve"> </w:t>
        </w:r>
      </w:hyperlink>
      <w:r>
        <w:rPr>
          <w:rFonts w:ascii="Times New Roman" w:cs="Times New Roman" w:eastAsia="Times New Roman" w:hAnsi="Times New Roman"/>
          <w:sz w:val="20"/>
          <w:szCs w:val="20"/>
          <w:color w:val="000000"/>
        </w:rPr>
        <w:t>and</w:t>
      </w:r>
      <w:r>
        <w:rPr>
          <w:rFonts w:ascii="Calibri" w:cs="Calibri" w:eastAsia="Calibri" w:hAnsi="Calibri"/>
          <w:sz w:val="20"/>
          <w:szCs w:val="20"/>
          <w:color w:val="0563C1"/>
        </w:rPr>
        <w:t xml:space="preserve"> </w:t>
      </w:r>
      <w:hyperlink r:id="rId11">
        <w:r>
          <w:rPr>
            <w:rFonts w:ascii="Times New Roman" w:cs="Times New Roman" w:eastAsia="Times New Roman" w:hAnsi="Times New Roman"/>
            <w:sz w:val="20"/>
            <w:szCs w:val="20"/>
            <w:u w:val="single" w:color="auto"/>
            <w:color w:val="0563C1"/>
          </w:rPr>
          <w:t>RNanda@hbs.edu</w:t>
        </w:r>
        <w:r>
          <w:rPr>
            <w:rFonts w:ascii="Calibri" w:cs="Calibri" w:eastAsia="Calibri" w:hAnsi="Calibri"/>
            <w:sz w:val="20"/>
            <w:szCs w:val="20"/>
            <w:u w:val="single" w:color="auto"/>
            <w:color w:val="0563C1"/>
          </w:rPr>
          <w:t xml:space="preserve"> </w:t>
        </w:r>
      </w:hyperlink>
      <w:r>
        <w:rPr>
          <w:rFonts w:ascii="Times New Roman" w:cs="Times New Roman" w:eastAsia="Times New Roman" w:hAnsi="Times New Roman"/>
          <w:sz w:val="20"/>
          <w:szCs w:val="20"/>
          <w:color w:val="000000"/>
        </w:rPr>
        <w:t>Authorship</w:t>
      </w:r>
      <w:r>
        <w:rPr>
          <w:rFonts w:ascii="Calibri" w:cs="Calibri" w:eastAsia="Calibri" w:hAnsi="Calibri"/>
          <w:sz w:val="20"/>
          <w:szCs w:val="20"/>
          <w:color w:val="0563C1"/>
        </w:rPr>
        <w:t xml:space="preserve"> </w:t>
      </w:r>
      <w:r>
        <w:rPr>
          <w:rFonts w:ascii="Times New Roman" w:cs="Times New Roman" w:eastAsia="Times New Roman" w:hAnsi="Times New Roman"/>
          <w:sz w:val="20"/>
          <w:szCs w:val="20"/>
          <w:color w:val="000000"/>
        </w:rPr>
        <w:t>is alphabetical; both authors contributed equally</w:t>
      </w:r>
      <w:r>
        <w:rPr>
          <w:rFonts w:ascii="Calibri" w:cs="Calibri" w:eastAsia="Calibri" w:hAnsi="Calibri"/>
          <w:sz w:val="20"/>
          <w:szCs w:val="20"/>
          <w:color w:val="0563C1"/>
        </w:rPr>
        <w:t xml:space="preserve"> </w:t>
      </w:r>
      <w:r>
        <w:rPr>
          <w:rFonts w:ascii="Times New Roman" w:cs="Times New Roman" w:eastAsia="Times New Roman" w:hAnsi="Times New Roman"/>
          <w:sz w:val="20"/>
          <w:szCs w:val="20"/>
          <w:color w:val="000000"/>
        </w:rPr>
        <w:t>in developing this paper. We are grateful to Xiang Ao, Ajay Agrawal, Teresa Amabile, Ronnie Chatterji, Jing Chen, Chuck Eesley, Avi Goldfarb, Brent Goldfarb, Mukti Khaire, Josh Lerner, Matt Marx, Matthew Rhodes-Kropf, Antoinette Schoar and Tavneet Suri for helpful conversations and feedback, and to the participants of the Economics of Entrepreneurship and Innovation Conference at Queens School of Business. We thank John Galvin and Andrew Marder at HBS for their help in implementing the survey. We would also like to thank the editors and our three anonymous reviewers for their very helpful comments. Support was provided by the Kauffman Foundation’s Junior Faculty Fellowship and Harvard Business School’s Division of Research and Faculty Development for financial support.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1</w:t>
      </w:r>
    </w:p>
    <w:p>
      <w:pPr>
        <w:sectPr>
          <w:pgSz w:w="12240" w:h="15840" w:orient="portrait"/>
          <w:cols w:equalWidth="0" w:num="1">
            <w:col w:w="9360"/>
          </w:cols>
          <w:pgMar w:left="1440" w:top="1440" w:right="1440" w:bottom="474" w:gutter="0" w:footer="0" w:header="0"/>
        </w:sectPr>
      </w:pPr>
    </w:p>
    <w:bookmarkStart w:id="2" w:name="page3"/>
    <w:bookmarkEnd w:id="2"/>
    <w:p>
      <w:pPr>
        <w:ind w:left="360"/>
        <w:spacing w:after="0"/>
        <w:rPr>
          <w:sz w:val="20"/>
          <w:szCs w:val="20"/>
          <w:color w:val="auto"/>
        </w:rPr>
      </w:pPr>
      <w:r>
        <w:rPr>
          <w:rFonts w:ascii="Calibri" w:cs="Calibri" w:eastAsia="Calibri" w:hAnsi="Calibri"/>
          <w:sz w:val="28"/>
          <w:szCs w:val="28"/>
          <w:b w:val="1"/>
          <w:bCs w:val="1"/>
          <w:color w:val="auto"/>
        </w:rPr>
        <w:t>1. Introduction</w:t>
      </w:r>
    </w:p>
    <w:p>
      <w:pPr>
        <w:spacing w:after="0" w:line="233" w:lineRule="exact"/>
        <w:rPr>
          <w:sz w:val="20"/>
          <w:szCs w:val="20"/>
          <w:color w:val="auto"/>
        </w:rPr>
      </w:pPr>
    </w:p>
    <w:p>
      <w:pPr>
        <w:ind w:right="40" w:firstLine="720"/>
        <w:spacing w:after="0" w:line="355" w:lineRule="auto"/>
        <w:rPr>
          <w:sz w:val="20"/>
          <w:szCs w:val="20"/>
          <w:color w:val="auto"/>
        </w:rPr>
      </w:pPr>
      <w:r>
        <w:rPr>
          <w:rFonts w:ascii="Calibri" w:cs="Calibri" w:eastAsia="Calibri" w:hAnsi="Calibri"/>
          <w:sz w:val="22"/>
          <w:szCs w:val="22"/>
          <w:color w:val="auto"/>
        </w:rPr>
        <w:t>One of the central insights of Schumpeter (1942) was to highlight the distinct roles played by entrepreneurs and investors in bringing new ideas to fruition, since it allowed for the possibility that good ideas might be precluded from the market because they were unable to attract financing from investors. Other scholars have shown that the opinions of funding authorities similarly affect the direction of innovation in other critical fields, including scientific research (Bourdieu, 1975; Goldfarb, 2008; Nelson, 1959) and creative industries (Caves, 2000, 2003). In each setting, scholars have noted that constrained financing environments and the control exerted by a small group of experts means that projects that are ultimately funded are not necessarily “objectively best” but are subject to the specific information, agency, and organizational constraints faced by the small number of experts making funding decisions. (e.g. Caves, 2000; Ferrary &amp; Granovetter, 2009; Goldfarb, 2008; Kerr, Nanda, &amp; Rhodes-Kropf, 2013; Kortum &amp; Lerner, 2000).</w:t>
      </w:r>
    </w:p>
    <w:p>
      <w:pPr>
        <w:spacing w:after="0" w:line="222" w:lineRule="exact"/>
        <w:rPr>
          <w:sz w:val="20"/>
          <w:szCs w:val="20"/>
          <w:color w:val="auto"/>
        </w:rPr>
      </w:pPr>
    </w:p>
    <w:p>
      <w:pPr>
        <w:ind w:right="120" w:firstLine="720"/>
        <w:spacing w:after="0" w:line="355" w:lineRule="auto"/>
        <w:rPr>
          <w:sz w:val="20"/>
          <w:szCs w:val="20"/>
          <w:color w:val="auto"/>
        </w:rPr>
      </w:pPr>
      <w:r>
        <w:rPr>
          <w:rFonts w:ascii="Calibri" w:cs="Calibri" w:eastAsia="Calibri" w:hAnsi="Calibri"/>
          <w:sz w:val="22"/>
          <w:szCs w:val="22"/>
          <w:color w:val="auto"/>
        </w:rPr>
        <w:t>Rapid technological advances over the past few years have made it significantly easier for innovators to circumvent experts, and instead communicate directly with a large number of interested stakeholders, leading to the growing reliance on “crowds” to make decisions that once rested solely in the hands of a small number experts. For example, the crowdfunding platform Kickstarter has raised more than $1 billion for over 60,000 projects from over six million backers since its founding in 2009, projects that may otherwise have needed to seek funding from venture investors or grant-making bodies. In fact, since 2012, this platform alone raises more money for the arts annually than the total funding provided through the US government-run National Endowment for the Arts. The importance of crowd-based decisions are growing in a wide range of fields, including the funding of technology-based startups (Agrawal, Catalini, &amp; Goldfarb, 2013; Mollick, 2014), the development of new products (Afuah</w:t>
      </w:r>
    </w:p>
    <w:p>
      <w:pPr>
        <w:spacing w:after="0" w:line="58" w:lineRule="exact"/>
        <w:rPr>
          <w:sz w:val="20"/>
          <w:szCs w:val="20"/>
          <w:color w:val="auto"/>
        </w:rPr>
      </w:pPr>
    </w:p>
    <w:p>
      <w:pPr>
        <w:ind w:right="40"/>
        <w:spacing w:after="0" w:line="316" w:lineRule="auto"/>
        <w:tabs>
          <w:tab w:leader="none" w:pos="202" w:val="left"/>
        </w:tabs>
        <w:numPr>
          <w:ilvl w:val="0"/>
          <w:numId w:val="1"/>
        </w:numPr>
        <w:rPr>
          <w:rFonts w:ascii="Calibri" w:cs="Calibri" w:eastAsia="Calibri" w:hAnsi="Calibri"/>
          <w:sz w:val="22"/>
          <w:szCs w:val="22"/>
          <w:color w:val="auto"/>
        </w:rPr>
      </w:pPr>
      <w:r>
        <w:rPr>
          <w:rFonts w:ascii="Calibri" w:cs="Calibri" w:eastAsia="Calibri" w:hAnsi="Calibri"/>
          <w:sz w:val="22"/>
          <w:szCs w:val="22"/>
          <w:color w:val="auto"/>
        </w:rPr>
        <w:t>Tucci, 2012; Poetz &amp; Schreier, 2012; Von Hippel, 1986) and scientific research (Franzoni &amp; Sauermann, 2014).</w:t>
      </w:r>
    </w:p>
    <w:p>
      <w:pPr>
        <w:spacing w:after="0" w:line="258" w:lineRule="exact"/>
        <w:rPr>
          <w:sz w:val="20"/>
          <w:szCs w:val="20"/>
          <w:color w:val="auto"/>
        </w:rPr>
      </w:pPr>
    </w:p>
    <w:p>
      <w:pPr>
        <w:ind w:firstLine="720"/>
        <w:spacing w:after="0" w:line="352" w:lineRule="auto"/>
        <w:rPr>
          <w:sz w:val="20"/>
          <w:szCs w:val="20"/>
          <w:color w:val="auto"/>
        </w:rPr>
      </w:pPr>
      <w:r>
        <w:rPr>
          <w:rFonts w:ascii="Calibri" w:cs="Calibri" w:eastAsia="Calibri" w:hAnsi="Calibri"/>
          <w:sz w:val="22"/>
          <w:szCs w:val="22"/>
          <w:color w:val="auto"/>
        </w:rPr>
        <w:t>Despite the growing role of crowds in making decisions once left to experts, little is known about how crowds and experts may differ in their ability to judge projects. Indeed, for crowds, at least, there is even considerable debate over whether their decisions are actually based on rational criteria at all. Two popular books separated by 150 years offer starkly different views of the nature of crowd decision-making, with Charles Mackay (1852) warning about the “madness of crowds” while James Surowiecki (2004) more recently extolled the “wisdom of crowds.” Studies to date attempting to understand the differences between crowds and experts have focused on prediction tasks or markets, where</w:t>
      </w:r>
    </w:p>
    <w:p>
      <w:pPr>
        <w:spacing w:after="0" w:line="180"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2</w:t>
      </w:r>
    </w:p>
    <w:p>
      <w:pPr>
        <w:sectPr>
          <w:pgSz w:w="12240" w:h="15840" w:orient="portrait"/>
          <w:cols w:equalWidth="0" w:num="1">
            <w:col w:w="9360"/>
          </w:cols>
          <w:pgMar w:left="1440" w:top="1434" w:right="1440" w:bottom="474" w:gutter="0" w:footer="0" w:header="0"/>
        </w:sectPr>
      </w:pPr>
    </w:p>
    <w:bookmarkStart w:id="3" w:name="page4"/>
    <w:bookmarkEnd w:id="3"/>
    <w:p>
      <w:pPr>
        <w:spacing w:after="0" w:line="41" w:lineRule="exact"/>
        <w:rPr>
          <w:sz w:val="20"/>
          <w:szCs w:val="20"/>
          <w:color w:val="auto"/>
        </w:rPr>
      </w:pPr>
    </w:p>
    <w:p>
      <w:pPr>
        <w:ind w:right="20"/>
        <w:spacing w:after="0" w:line="356" w:lineRule="auto"/>
        <w:rPr>
          <w:sz w:val="20"/>
          <w:szCs w:val="20"/>
          <w:color w:val="auto"/>
        </w:rPr>
      </w:pPr>
      <w:r>
        <w:rPr>
          <w:rFonts w:ascii="Calibri" w:cs="Calibri" w:eastAsia="Calibri" w:hAnsi="Calibri"/>
          <w:sz w:val="22"/>
          <w:szCs w:val="22"/>
          <w:color w:val="auto"/>
        </w:rPr>
        <w:t>aggregated decisions can be more accurate than individual actions (Budescu &amp; Chen, 2014; Larrick, Mannes, &amp; Soll, 2012; Ray, 2006; Tetlock, 2005), or else on cases where organizations can get positive results by reaching out to crowds under carefully controlled circumstances (Bogers, Afuah, &amp; Bastian, 2010; Terwiesch &amp; Ulrich, 2009). Crowdfunding, on the other hand, does not have any such controls, and differs from these previous phenomena in many ways: there is no market reward mechanism for correct answers; no clear criteria determining what is being “predicted”; no expert oversight of the crowd decision-making process; and no direct coordination between crowd members. In this case, the crowd can be subject to many group decision-making fallacies, as Isenberg (2012) argued about crowdfunding: “group irrationality is well-documented — crowds are ‘wise’ only in a very limited set of circumstances. As often as not, crowds bring us tulip crazes, subprime meltdowns, the Kitty Genovese scandal, Salem witch trials, and other tragedies.” There is no clear evidence on whether crowds are rational at all, and, if they are, what differences might exist between the judgment of crowds and that of experts.</w:t>
      </w:r>
    </w:p>
    <w:p>
      <w:pPr>
        <w:spacing w:after="0" w:line="220" w:lineRule="exact"/>
        <w:rPr>
          <w:sz w:val="20"/>
          <w:szCs w:val="20"/>
          <w:color w:val="auto"/>
        </w:rPr>
      </w:pPr>
    </w:p>
    <w:p>
      <w:pPr>
        <w:ind w:right="100" w:firstLine="720"/>
        <w:spacing w:after="0" w:line="351" w:lineRule="auto"/>
        <w:rPr>
          <w:sz w:val="20"/>
          <w:szCs w:val="20"/>
          <w:color w:val="auto"/>
        </w:rPr>
      </w:pPr>
      <w:r>
        <w:rPr>
          <w:rFonts w:ascii="Calibri" w:cs="Calibri" w:eastAsia="Calibri" w:hAnsi="Calibri"/>
          <w:sz w:val="22"/>
          <w:szCs w:val="22"/>
          <w:color w:val="auto"/>
        </w:rPr>
        <w:t>Thus, we are interested in shedding light on two questions about the judgment of crowds compared to experts. First, we aim to provide the first robust analysis of the degree to which experts would agree with crowdfunding decisions that rely on taste and judgment, rather than prediction, using rich data from the crowdfunding platform Kickstarter. The second related question we seek to understand is whether crowd-based decision making is “mad” (irrational and inconsistent in decision making relative to experts) or “wise” (generally consistent in selecting potentially successful projects).</w:t>
      </w:r>
    </w:p>
    <w:p>
      <w:pPr>
        <w:spacing w:after="0" w:line="219" w:lineRule="exact"/>
        <w:rPr>
          <w:sz w:val="20"/>
          <w:szCs w:val="20"/>
          <w:color w:val="auto"/>
        </w:rPr>
      </w:pPr>
    </w:p>
    <w:p>
      <w:pPr>
        <w:ind w:firstLine="720"/>
        <w:spacing w:after="0" w:line="356" w:lineRule="auto"/>
        <w:rPr>
          <w:sz w:val="20"/>
          <w:szCs w:val="20"/>
          <w:color w:val="auto"/>
        </w:rPr>
      </w:pPr>
      <w:r>
        <w:rPr>
          <w:rFonts w:ascii="Calibri" w:cs="Calibri" w:eastAsia="Calibri" w:hAnsi="Calibri"/>
          <w:sz w:val="22"/>
          <w:szCs w:val="22"/>
          <w:color w:val="auto"/>
        </w:rPr>
        <w:t>Several features of our research design aim to address the specific challenges associated with making such a comparison. First, we have complete data on crowdfunding campaigns (that is, the “applications”) for all projects, including those that were unsuccessful, so that we are not sampling on success. Second, we focus our study to theater projects, which have a number of appealing features: evaluating them entails both a subjective artistic component and an understanding of the commercial bottom line which provides useful variation for our study. Further, it is possible to develop a somewhat objective sense of the long-run success of the projects using data on ticket sales and critical reviews in the press so that we can also compare the funding decisions with real outcomes. Additionally, theater funding is a one-time event, not subject to the challenges associated with multi-stage financing that might lead crowds to choose different investments from deep-pocked professional investors even if they rated projects the same (Nanda &amp; Rhodes-Kropf, 2012). Finally, we recruit expert evaluators who have deep expertise judging theater applications for institutions such as the National Endowment for the</w:t>
      </w:r>
    </w:p>
    <w:p>
      <w:pPr>
        <w:spacing w:after="0" w:line="298"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3</w:t>
      </w:r>
    </w:p>
    <w:p>
      <w:pPr>
        <w:sectPr>
          <w:pgSz w:w="12240" w:h="15840" w:orient="portrait"/>
          <w:cols w:equalWidth="0" w:num="1">
            <w:col w:w="9360"/>
          </w:cols>
          <w:pgMar w:left="1440" w:top="1440" w:right="1440" w:bottom="474" w:gutter="0" w:footer="0" w:header="0"/>
        </w:sectPr>
      </w:pPr>
    </w:p>
    <w:bookmarkStart w:id="4" w:name="page5"/>
    <w:bookmarkEnd w:id="4"/>
    <w:p>
      <w:pPr>
        <w:spacing w:after="0" w:line="41" w:lineRule="exact"/>
        <w:rPr>
          <w:sz w:val="20"/>
          <w:szCs w:val="20"/>
          <w:color w:val="auto"/>
        </w:rPr>
      </w:pPr>
    </w:p>
    <w:p>
      <w:pPr>
        <w:ind w:right="40"/>
        <w:spacing w:after="0" w:line="348" w:lineRule="auto"/>
        <w:rPr>
          <w:sz w:val="20"/>
          <w:szCs w:val="20"/>
          <w:color w:val="auto"/>
        </w:rPr>
      </w:pPr>
      <w:r>
        <w:rPr>
          <w:rFonts w:ascii="Calibri" w:cs="Calibri" w:eastAsia="Calibri" w:hAnsi="Calibri"/>
          <w:sz w:val="22"/>
          <w:szCs w:val="22"/>
          <w:color w:val="auto"/>
        </w:rPr>
        <w:t>Arts. The projects were rendered in the same format as the Kickstarter campaigns, had similar financial requirements to traditional grant applicants, and were stripped of any references to the outcome of the campaign. We randomly assign “sets” of projects to these experts to evaluate, where each set consists of three failed and three successful projects. This approach allows us to also include expert fixed effects to examine the robustness of our results.</w:t>
      </w:r>
    </w:p>
    <w:p>
      <w:pPr>
        <w:spacing w:after="0" w:line="228" w:lineRule="exact"/>
        <w:rPr>
          <w:sz w:val="20"/>
          <w:szCs w:val="20"/>
          <w:color w:val="auto"/>
        </w:rPr>
      </w:pPr>
    </w:p>
    <w:p>
      <w:pPr>
        <w:ind w:right="60" w:firstLine="720"/>
        <w:spacing w:after="0" w:line="355" w:lineRule="auto"/>
        <w:rPr>
          <w:sz w:val="20"/>
          <w:szCs w:val="20"/>
          <w:color w:val="auto"/>
        </w:rPr>
      </w:pPr>
      <w:r>
        <w:rPr>
          <w:rFonts w:ascii="Calibri" w:cs="Calibri" w:eastAsia="Calibri" w:hAnsi="Calibri"/>
          <w:sz w:val="22"/>
          <w:szCs w:val="22"/>
          <w:color w:val="auto"/>
        </w:rPr>
        <w:t>We have three main findings. First, on average, we find a statistically significant congruence between the realized funding decisions by crowds and the evaluation of those same projects by experts. Projects that were funded by the crowds received consistently higher scores from experts, were more likely to be rated as being the best of the six in the set, and were much more likely to have received funding from the experts. This pattern was equally true for projects that were “overfunded” on Kickstarter – that is, projects that raised more money that was asked for. Given the strong positive correlations we observe in crowd and expert evaluations, even in a category with a subjective nature such as theater, this suggests both broad similarities between how experts and crowds judge projects and that crowds are generally consistent in their choices of which projects to back, allowing us to reject the “madness of crowds” in our setting.</w:t>
      </w:r>
    </w:p>
    <w:p>
      <w:pPr>
        <w:spacing w:after="0" w:line="216" w:lineRule="exact"/>
        <w:rPr>
          <w:sz w:val="20"/>
          <w:szCs w:val="20"/>
          <w:color w:val="auto"/>
        </w:rPr>
      </w:pPr>
    </w:p>
    <w:p>
      <w:pPr>
        <w:ind w:firstLine="720"/>
        <w:spacing w:after="0" w:line="355" w:lineRule="auto"/>
        <w:rPr>
          <w:sz w:val="20"/>
          <w:szCs w:val="20"/>
          <w:color w:val="auto"/>
        </w:rPr>
      </w:pPr>
      <w:r>
        <w:rPr>
          <w:rFonts w:ascii="Calibri" w:cs="Calibri" w:eastAsia="Calibri" w:hAnsi="Calibri"/>
          <w:sz w:val="22"/>
          <w:szCs w:val="22"/>
          <w:color w:val="auto"/>
        </w:rPr>
        <w:t>Our second finding is that despite the broad congruence in evaluation, we see a systematic pattern in terms of the disagreement. Of the projects where there is no agreement, the crowd is much more likely to have funded a project that the judge did not like than the reverse. Around 75% of the projects where there is a disagreement are ones where the crowd funded a project but the expert would not have funded it. We also see a clear pattern in terms of the characteristics of projects that are liked by the crowds: they offer multiple tiers of rewards and provide more updates. In fact, projects that were ranked highly by the experts but not funded by crowds had systematically fewer reward levels, fewer pictures and fewer videos. That is, we seem to find that there is an “art” to raising money from crowds, one that may be systematically different from that of raising money from experts. The crowds seem to place emphasis on, or extract information content from different attributes of the process than experts.</w:t>
      </w:r>
    </w:p>
    <w:p>
      <w:pPr>
        <w:spacing w:after="0" w:line="223" w:lineRule="exact"/>
        <w:rPr>
          <w:sz w:val="20"/>
          <w:szCs w:val="20"/>
          <w:color w:val="auto"/>
        </w:rPr>
      </w:pPr>
    </w:p>
    <w:p>
      <w:pPr>
        <w:ind w:right="20" w:firstLine="720"/>
        <w:spacing w:after="0" w:line="348" w:lineRule="auto"/>
        <w:rPr>
          <w:sz w:val="20"/>
          <w:szCs w:val="20"/>
          <w:color w:val="auto"/>
        </w:rPr>
      </w:pPr>
      <w:r>
        <w:rPr>
          <w:rFonts w:ascii="Calibri" w:cs="Calibri" w:eastAsia="Calibri" w:hAnsi="Calibri"/>
          <w:sz w:val="22"/>
          <w:szCs w:val="22"/>
          <w:color w:val="auto"/>
        </w:rPr>
        <w:t xml:space="preserve">Our third finding relates to the longer-term outcomes of these projects. An attractive feature of the fact that most of the disagreements are related to projects </w:t>
      </w:r>
      <w:r>
        <w:rPr>
          <w:rFonts w:ascii="Calibri" w:cs="Calibri" w:eastAsia="Calibri" w:hAnsi="Calibri"/>
          <w:sz w:val="22"/>
          <w:szCs w:val="22"/>
          <w:i w:val="1"/>
          <w:iCs w:val="1"/>
          <w:color w:val="auto"/>
        </w:rPr>
        <w:t>funded by the crowd</w:t>
      </w:r>
      <w:r>
        <w:rPr>
          <w:rFonts w:ascii="Calibri" w:cs="Calibri" w:eastAsia="Calibri" w:hAnsi="Calibri"/>
          <w:sz w:val="22"/>
          <w:szCs w:val="22"/>
          <w:color w:val="auto"/>
        </w:rPr>
        <w:t>, we are able to compare the long term outcomes of projects that were liked by both crowds and experts and those liked only by the crowds. Despite the fact that these were not rated as highly by the experts, we find no qualitative or quantitative differences in the long-term outcomes of these projects. They are equally</w:t>
      </w:r>
    </w:p>
    <w:p>
      <w:pPr>
        <w:spacing w:after="0" w:line="150"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4</w:t>
      </w:r>
    </w:p>
    <w:p>
      <w:pPr>
        <w:sectPr>
          <w:pgSz w:w="12240" w:h="15840" w:orient="portrait"/>
          <w:cols w:equalWidth="0" w:num="1">
            <w:col w:w="9360"/>
          </w:cols>
          <w:pgMar w:left="1440" w:top="1440" w:right="1440" w:bottom="474" w:gutter="0" w:footer="0" w:header="0"/>
        </w:sectPr>
      </w:pPr>
    </w:p>
    <w:bookmarkStart w:id="5" w:name="page6"/>
    <w:bookmarkEnd w:id="5"/>
    <w:p>
      <w:pPr>
        <w:spacing w:after="0" w:line="41" w:lineRule="exact"/>
        <w:rPr>
          <w:sz w:val="20"/>
          <w:szCs w:val="20"/>
          <w:color w:val="auto"/>
        </w:rPr>
      </w:pPr>
    </w:p>
    <w:p>
      <w:pPr>
        <w:ind w:right="180"/>
        <w:spacing w:after="0" w:line="345" w:lineRule="auto"/>
        <w:rPr>
          <w:sz w:val="20"/>
          <w:szCs w:val="20"/>
          <w:color w:val="auto"/>
        </w:rPr>
      </w:pPr>
      <w:r>
        <w:rPr>
          <w:rFonts w:ascii="Calibri" w:cs="Calibri" w:eastAsia="Calibri" w:hAnsi="Calibri"/>
          <w:sz w:val="22"/>
          <w:szCs w:val="22"/>
          <w:color w:val="auto"/>
        </w:rPr>
        <w:t xml:space="preserve">likely to have delivered on budget, result in organizations that continue to operate, and, although the metrics for success are subjective, we find strong qualitative evidence that many of these shows had both commercial success and received positive critical acclaim in national outlets such as the </w:t>
      </w:r>
      <w:r>
        <w:rPr>
          <w:rFonts w:ascii="Calibri" w:cs="Calibri" w:eastAsia="Calibri" w:hAnsi="Calibri"/>
          <w:sz w:val="22"/>
          <w:szCs w:val="22"/>
          <w:i w:val="1"/>
          <w:iCs w:val="1"/>
          <w:color w:val="auto"/>
        </w:rPr>
        <w:t>New York</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Times</w:t>
      </w:r>
      <w:r>
        <w:rPr>
          <w:rFonts w:ascii="Calibri" w:cs="Calibri" w:eastAsia="Calibri" w:hAnsi="Calibri"/>
          <w:sz w:val="22"/>
          <w:szCs w:val="22"/>
          <w:color w:val="auto"/>
        </w:rPr>
        <w:t>.</w:t>
      </w:r>
    </w:p>
    <w:p>
      <w:pPr>
        <w:spacing w:after="0" w:line="227" w:lineRule="exact"/>
        <w:rPr>
          <w:sz w:val="20"/>
          <w:szCs w:val="20"/>
          <w:color w:val="auto"/>
        </w:rPr>
      </w:pPr>
    </w:p>
    <w:p>
      <w:pPr>
        <w:ind w:right="20" w:firstLine="720"/>
        <w:spacing w:after="0" w:line="352" w:lineRule="auto"/>
        <w:rPr>
          <w:sz w:val="20"/>
          <w:szCs w:val="20"/>
          <w:color w:val="auto"/>
        </w:rPr>
      </w:pPr>
      <w:r>
        <w:rPr>
          <w:rFonts w:ascii="Calibri" w:cs="Calibri" w:eastAsia="Calibri" w:hAnsi="Calibri"/>
          <w:sz w:val="22"/>
          <w:szCs w:val="22"/>
          <w:color w:val="auto"/>
        </w:rPr>
        <w:t>We should note that these third set of results are more tentative due to the smaller sample size. However, these patterns suggest that the entry that is facilitated by crowdfunding has the potential to lower the incidence of “false negatives,” (that is, viable projects that are turned down by funders) by allowing projects the option to receive multiple evaluations and reach out to receptive communities that may not otherwise be represented by experts. Indeed, crowdfunding allows project creators to directly contact potential customers, providing a rich source of data on the potential interest in an artistic endeavor, in addition to any funds raised.</w:t>
      </w:r>
    </w:p>
    <w:p>
      <w:pPr>
        <w:spacing w:after="0" w:line="224" w:lineRule="exact"/>
        <w:rPr>
          <w:sz w:val="20"/>
          <w:szCs w:val="20"/>
          <w:color w:val="auto"/>
        </w:rPr>
      </w:pPr>
    </w:p>
    <w:p>
      <w:pPr>
        <w:ind w:right="40" w:firstLine="720"/>
        <w:spacing w:after="0" w:line="353" w:lineRule="auto"/>
        <w:rPr>
          <w:sz w:val="20"/>
          <w:szCs w:val="20"/>
          <w:color w:val="auto"/>
        </w:rPr>
      </w:pPr>
      <w:r>
        <w:rPr>
          <w:rFonts w:ascii="Calibri" w:cs="Calibri" w:eastAsia="Calibri" w:hAnsi="Calibri"/>
          <w:sz w:val="22"/>
          <w:szCs w:val="22"/>
          <w:color w:val="auto"/>
        </w:rPr>
        <w:t>Our results are relevant to the growing interest to management scholars in the role of crowds in addressing traditional organizational functions (Afuah &amp; Tucci, 2012; Boudreau, Lacetera, &amp; Lakhani, 2011; Franzoni &amp; Sauermann, 2014; Greenstein &amp; Zhu, 2014; Terwiesch &amp; Ulrich, 2009). Our findings are also related to the role that crowds may play in reducing financing constraints of new ventures. The falling cost of starting new ventures has allowed the possibility of individuals with small amounts of capital to participate in financing such ventures, and our results shed light on the extent to which backers on these platforms may be able to reduce information asymmetries as opposed to becoming victims to information cascades. We address the generalizability of our findings in Section 6.</w:t>
      </w:r>
    </w:p>
    <w:p>
      <w:pPr>
        <w:spacing w:after="0" w:line="222" w:lineRule="exact"/>
        <w:rPr>
          <w:sz w:val="20"/>
          <w:szCs w:val="20"/>
          <w:color w:val="auto"/>
        </w:rPr>
      </w:pPr>
    </w:p>
    <w:p>
      <w:pPr>
        <w:ind w:right="80" w:firstLine="720"/>
        <w:spacing w:after="0" w:line="345" w:lineRule="auto"/>
        <w:rPr>
          <w:sz w:val="20"/>
          <w:szCs w:val="20"/>
          <w:color w:val="auto"/>
        </w:rPr>
      </w:pPr>
      <w:r>
        <w:rPr>
          <w:rFonts w:ascii="Calibri" w:cs="Calibri" w:eastAsia="Calibri" w:hAnsi="Calibri"/>
          <w:sz w:val="22"/>
          <w:szCs w:val="22"/>
          <w:color w:val="auto"/>
        </w:rPr>
        <w:t>The rest of the paper is organized as follows. In Section 2 we outline the theoretical predictions associated with studying differences between crowds and experts. Section 3 outlines our methods and provides details on the implementation of the survey. Section 4 describes the data, Section 5 outlines our main findings. Section 6 provides a discussion of the results and Section 7 concludes.</w:t>
      </w:r>
    </w:p>
    <w:p>
      <w:pPr>
        <w:spacing w:after="0" w:line="181" w:lineRule="exact"/>
        <w:rPr>
          <w:sz w:val="20"/>
          <w:szCs w:val="20"/>
          <w:color w:val="auto"/>
        </w:rPr>
      </w:pPr>
    </w:p>
    <w:p>
      <w:pPr>
        <w:spacing w:after="0"/>
        <w:rPr>
          <w:sz w:val="20"/>
          <w:szCs w:val="20"/>
          <w:color w:val="auto"/>
        </w:rPr>
      </w:pPr>
      <w:r>
        <w:rPr>
          <w:rFonts w:ascii="Calibri" w:cs="Calibri" w:eastAsia="Calibri" w:hAnsi="Calibri"/>
          <w:sz w:val="28"/>
          <w:szCs w:val="28"/>
          <w:b w:val="1"/>
          <w:bCs w:val="1"/>
          <w:color w:val="auto"/>
        </w:rPr>
        <w:t>2. Theory</w:t>
      </w:r>
    </w:p>
    <w:p>
      <w:pPr>
        <w:spacing w:after="0" w:line="377" w:lineRule="exact"/>
        <w:rPr>
          <w:sz w:val="20"/>
          <w:szCs w:val="20"/>
          <w:color w:val="auto"/>
        </w:rPr>
      </w:pPr>
    </w:p>
    <w:p>
      <w:pPr>
        <w:ind w:right="60" w:firstLine="720"/>
        <w:spacing w:after="0" w:line="351" w:lineRule="auto"/>
        <w:rPr>
          <w:sz w:val="20"/>
          <w:szCs w:val="20"/>
          <w:color w:val="auto"/>
        </w:rPr>
      </w:pPr>
      <w:r>
        <w:rPr>
          <w:rFonts w:ascii="Calibri" w:cs="Calibri" w:eastAsia="Calibri" w:hAnsi="Calibri"/>
          <w:sz w:val="22"/>
          <w:szCs w:val="22"/>
          <w:color w:val="auto"/>
        </w:rPr>
        <w:t>Scholars have long noted the great importance of experts, who have historically held a privileged position in many industries, acting as arbiters of taste, quality, and appropriateness (e.g. Caves, 2000; Ginsburgh, 2003; Zuckerman, 1999). Expert judgments are influential in a number of ways, including acting as predictors of commercial success and influencers of popular opinion (Eliashberg &amp; Shugan, 1997), as well gatekeepers of vital resources (Ginsburgh, 2003; Reinstein &amp; Snyder, 2005b). As an example of these three forms of influence, consider experts who select which entrepreneurial</w:t>
      </w:r>
    </w:p>
    <w:p>
      <w:pPr>
        <w:spacing w:after="0" w:line="117"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5</w:t>
      </w:r>
    </w:p>
    <w:p>
      <w:pPr>
        <w:sectPr>
          <w:pgSz w:w="12240" w:h="15840" w:orient="portrait"/>
          <w:cols w:equalWidth="0" w:num="1">
            <w:col w:w="9360"/>
          </w:cols>
          <w:pgMar w:left="1440" w:top="1440" w:right="1440" w:bottom="474" w:gutter="0" w:footer="0" w:header="0"/>
        </w:sectPr>
      </w:pPr>
    </w:p>
    <w:bookmarkStart w:id="6" w:name="page7"/>
    <w:bookmarkEnd w:id="6"/>
    <w:p>
      <w:pPr>
        <w:spacing w:after="0" w:line="41" w:lineRule="exact"/>
        <w:rPr>
          <w:sz w:val="20"/>
          <w:szCs w:val="20"/>
          <w:color w:val="auto"/>
        </w:rPr>
      </w:pPr>
    </w:p>
    <w:p>
      <w:pPr>
        <w:ind w:right="40"/>
        <w:spacing w:after="0" w:line="353" w:lineRule="auto"/>
        <w:rPr>
          <w:sz w:val="20"/>
          <w:szCs w:val="20"/>
          <w:color w:val="auto"/>
        </w:rPr>
      </w:pPr>
      <w:r>
        <w:rPr>
          <w:rFonts w:ascii="Calibri" w:cs="Calibri" w:eastAsia="Calibri" w:hAnsi="Calibri"/>
          <w:sz w:val="22"/>
          <w:szCs w:val="22"/>
          <w:color w:val="auto"/>
        </w:rPr>
        <w:t>ventures should receive funding: venture capitalists. VCs select firms to fund based on their predictions of future market demand (Baum &amp; Silverman, 2004; Gompers &amp; Lerner, 2004; Shane &amp; Venkataraman, 2003). Further, venture capital investment serves as an influential signal to other players in the market, suggesting a startup is to be taken seriously (Baum &amp; Silverman, 2004; Hellmann &amp; Puri, 2002). Finally, venture capitalists serve as gatekeepers to vital resources. As Ferrary and Granovetter (2009) write: “By selecting start-ups, the VC firms implicitly prevent the other agents in the complex network of innovation from collaborating with start-ups that do not get VC funding. It could be argued that potential valuable innovations have never reached customers because they did not get VC funding.”</w:t>
      </w:r>
    </w:p>
    <w:p>
      <w:pPr>
        <w:spacing w:after="0" w:line="222" w:lineRule="exact"/>
        <w:rPr>
          <w:sz w:val="20"/>
          <w:szCs w:val="20"/>
          <w:color w:val="auto"/>
        </w:rPr>
      </w:pPr>
    </w:p>
    <w:p>
      <w:pPr>
        <w:ind w:right="120" w:firstLine="720"/>
        <w:spacing w:after="0" w:line="355" w:lineRule="auto"/>
        <w:rPr>
          <w:sz w:val="20"/>
          <w:szCs w:val="20"/>
          <w:color w:val="auto"/>
        </w:rPr>
      </w:pPr>
      <w:r>
        <w:rPr>
          <w:rFonts w:ascii="Calibri" w:cs="Calibri" w:eastAsia="Calibri" w:hAnsi="Calibri"/>
          <w:sz w:val="22"/>
          <w:szCs w:val="22"/>
          <w:color w:val="auto"/>
        </w:rPr>
        <w:t>In the arts, where profitability is not always the standard goal of creators, experts play an even more critical role as influencers and gatekeepers. Especially in high culture, expert critics are “sometimes more important than creators,” since they determine the governing aesthetics of high culture, as well as which creators receive resources (Gans, 2008). Studies in the film industry, for example, have shown that expert critics are particularly influential to the success of smaller artistic movies (Reinstein &amp; Snyder, 2005a). Further, experts are often gatekeepers of funding for the arts, playing critical roles in allocating funding from the government, corporate, and foundation sources that make up 24.6% of all revenues for not-for-profit performing arts groups and museums in the United States (Woronkowicz, Nicols, &amp; Iyengar, 2012). Crowdfunding, however, offers an alternative to the traditional expert control over artistic funding and culture.</w:t>
      </w:r>
    </w:p>
    <w:p>
      <w:pPr>
        <w:spacing w:after="0" w:line="219" w:lineRule="exact"/>
        <w:rPr>
          <w:sz w:val="20"/>
          <w:szCs w:val="20"/>
          <w:color w:val="auto"/>
        </w:rPr>
      </w:pPr>
    </w:p>
    <w:p>
      <w:pPr>
        <w:jc w:val="both"/>
        <w:ind w:right="40" w:firstLine="720"/>
        <w:spacing w:after="0" w:line="337" w:lineRule="auto"/>
        <w:rPr>
          <w:sz w:val="20"/>
          <w:szCs w:val="20"/>
          <w:color w:val="auto"/>
        </w:rPr>
      </w:pPr>
      <w:r>
        <w:rPr>
          <w:rFonts w:ascii="Calibri" w:cs="Calibri" w:eastAsia="Calibri" w:hAnsi="Calibri"/>
          <w:sz w:val="22"/>
          <w:szCs w:val="22"/>
          <w:color w:val="auto"/>
        </w:rPr>
        <w:t>Crowdfunding provides a method of funding projects that differs in several aspects from expert-run processes like grant-making or venture capital. First, rather than being in the hands of a small group of individuals, it is democratic – over six million people have funded projects on Kickstarter alone.</w:t>
      </w:r>
    </w:p>
    <w:p>
      <w:pPr>
        <w:spacing w:after="0" w:line="76" w:lineRule="exact"/>
        <w:rPr>
          <w:sz w:val="20"/>
          <w:szCs w:val="20"/>
          <w:color w:val="auto"/>
        </w:rPr>
      </w:pPr>
    </w:p>
    <w:p>
      <w:pPr>
        <w:ind w:right="80"/>
        <w:spacing w:after="0" w:line="340" w:lineRule="auto"/>
        <w:rPr>
          <w:sz w:val="20"/>
          <w:szCs w:val="20"/>
          <w:color w:val="auto"/>
        </w:rPr>
      </w:pPr>
      <w:r>
        <w:rPr>
          <w:rFonts w:ascii="Calibri" w:cs="Calibri" w:eastAsia="Calibri" w:hAnsi="Calibri"/>
          <w:sz w:val="22"/>
          <w:szCs w:val="22"/>
          <w:color w:val="auto"/>
        </w:rPr>
        <w:t>Second, as opposed to the tightly-knit expert community (Wenger &amp; Snyder, 2000), crowdfunding backers are loosely organized, if at all. Third, compared to the closed networks of Silicon Valley or the world of theater, in crowdfunding almost all communication between those seeking funding and potential backers occurs in open, online communities. Fourth, crowdfunding in its current form involves no equity or monitoring rights</w:t>
      </w:r>
      <w:r>
        <w:rPr>
          <w:rFonts w:ascii="Calibri" w:cs="Calibri" w:eastAsia="Calibri" w:hAnsi="Calibri"/>
          <w:sz w:val="27"/>
          <w:szCs w:val="27"/>
          <w:color w:val="auto"/>
          <w:vertAlign w:val="superscript"/>
        </w:rPr>
        <w:t>1</w:t>
      </w:r>
      <w:r>
        <w:rPr>
          <w:rFonts w:ascii="Calibri" w:cs="Calibri" w:eastAsia="Calibri" w:hAnsi="Calibri"/>
          <w:sz w:val="22"/>
          <w:szCs w:val="22"/>
          <w:color w:val="auto"/>
        </w:rPr>
        <w:t>; backers have little to no further influence over organizations they backed, and gain no return other than the potential of enjoying the outcome of a project.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553085</wp:posOffset>
                </wp:positionV>
                <wp:extent cx="182880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3.55pt" to="144pt,43.55pt" o:allowincell="f" strokecolor="#000000" strokeweight="0.71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right="60"/>
        <w:spacing w:after="0" w:line="200" w:lineRule="auto"/>
        <w:tabs>
          <w:tab w:leader="none" w:pos="110" w:val="left"/>
        </w:tabs>
        <w:numPr>
          <w:ilvl w:val="0"/>
          <w:numId w:val="2"/>
        </w:numPr>
        <w:rPr>
          <w:rFonts w:ascii="Calibri" w:cs="Calibri" w:eastAsia="Calibri" w:hAnsi="Calibri"/>
          <w:sz w:val="26"/>
          <w:szCs w:val="26"/>
          <w:color w:val="auto"/>
          <w:vertAlign w:val="superscript"/>
        </w:rPr>
      </w:pPr>
      <w:r>
        <w:rPr>
          <w:rFonts w:ascii="Calibri" w:cs="Calibri" w:eastAsia="Calibri" w:hAnsi="Calibri"/>
          <w:sz w:val="20"/>
          <w:szCs w:val="20"/>
          <w:color w:val="auto"/>
        </w:rPr>
        <w:t>The data collected is from a period where crowdfunding where no equity investment is permitted, though the US Congress has authorized equity crowdfunding (JOBS Act, 112</w:t>
      </w:r>
      <w:r>
        <w:rPr>
          <w:rFonts w:ascii="Calibri" w:cs="Calibri" w:eastAsia="Calibri" w:hAnsi="Calibri"/>
          <w:sz w:val="25"/>
          <w:szCs w:val="25"/>
          <w:color w:val="auto"/>
          <w:vertAlign w:val="superscript"/>
        </w:rPr>
        <w:t>th</w:t>
      </w:r>
      <w:r>
        <w:rPr>
          <w:rFonts w:ascii="Calibri" w:cs="Calibri" w:eastAsia="Calibri" w:hAnsi="Calibri"/>
          <w:sz w:val="20"/>
          <w:szCs w:val="20"/>
          <w:color w:val="auto"/>
        </w:rPr>
        <w:t xml:space="preserve"> Congress), it has yet to be implemented as of the time of this writing.</w:t>
      </w:r>
    </w:p>
    <w:p>
      <w:pPr>
        <w:spacing w:after="0" w:line="158"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6</w:t>
      </w:r>
    </w:p>
    <w:p>
      <w:pPr>
        <w:sectPr>
          <w:pgSz w:w="12240" w:h="15840" w:orient="portrait"/>
          <w:cols w:equalWidth="0" w:num="1">
            <w:col w:w="9360"/>
          </w:cols>
          <w:pgMar w:left="1440" w:top="1440" w:right="1440" w:bottom="474" w:gutter="0" w:footer="0" w:header="0"/>
        </w:sectPr>
      </w:pPr>
    </w:p>
    <w:bookmarkStart w:id="7" w:name="page8"/>
    <w:bookmarkEnd w:id="7"/>
    <w:p>
      <w:pPr>
        <w:ind w:left="720"/>
        <w:spacing w:after="0"/>
        <w:rPr>
          <w:sz w:val="20"/>
          <w:szCs w:val="20"/>
          <w:color w:val="auto"/>
        </w:rPr>
      </w:pPr>
      <w:r>
        <w:rPr>
          <w:rFonts w:ascii="Calibri" w:cs="Calibri" w:eastAsia="Calibri" w:hAnsi="Calibri"/>
          <w:sz w:val="22"/>
          <w:szCs w:val="22"/>
          <w:color w:val="auto"/>
        </w:rPr>
        <w:t>The use of crowd judgment in crowdfunding also differs greatly from prior approaches to</w:t>
      </w:r>
    </w:p>
    <w:p>
      <w:pPr>
        <w:spacing w:after="0" w:line="135" w:lineRule="exact"/>
        <w:rPr>
          <w:sz w:val="20"/>
          <w:szCs w:val="20"/>
          <w:color w:val="auto"/>
        </w:rPr>
      </w:pPr>
    </w:p>
    <w:p>
      <w:pPr>
        <w:spacing w:after="0"/>
        <w:rPr>
          <w:sz w:val="20"/>
          <w:szCs w:val="20"/>
          <w:color w:val="auto"/>
        </w:rPr>
      </w:pPr>
      <w:r>
        <w:rPr>
          <w:rFonts w:ascii="Calibri" w:cs="Calibri" w:eastAsia="Calibri" w:hAnsi="Calibri"/>
          <w:sz w:val="22"/>
          <w:szCs w:val="22"/>
          <w:color w:val="auto"/>
        </w:rPr>
        <w:t>generating information from large groups. Other attempts to harness the innovative power of large</w:t>
      </w:r>
    </w:p>
    <w:p>
      <w:pPr>
        <w:spacing w:after="0" w:line="135" w:lineRule="exact"/>
        <w:rPr>
          <w:sz w:val="20"/>
          <w:szCs w:val="20"/>
          <w:color w:val="auto"/>
        </w:rPr>
      </w:pPr>
    </w:p>
    <w:p>
      <w:pPr>
        <w:spacing w:after="0"/>
        <w:rPr>
          <w:sz w:val="20"/>
          <w:szCs w:val="20"/>
          <w:color w:val="auto"/>
        </w:rPr>
      </w:pPr>
      <w:r>
        <w:rPr>
          <w:rFonts w:ascii="Calibri" w:cs="Calibri" w:eastAsia="Calibri" w:hAnsi="Calibri"/>
          <w:sz w:val="22"/>
          <w:szCs w:val="22"/>
          <w:color w:val="auto"/>
        </w:rPr>
        <w:t>groups – such as crowdsourcing (Poetz &amp; Schreier, 2012), innovation tournaments (Boudreau, Lacetera,</w:t>
      </w:r>
    </w:p>
    <w:p>
      <w:pPr>
        <w:spacing w:after="0" w:line="135" w:lineRule="exact"/>
        <w:rPr>
          <w:sz w:val="20"/>
          <w:szCs w:val="20"/>
          <w:color w:val="auto"/>
        </w:rPr>
      </w:pPr>
    </w:p>
    <w:p>
      <w:pPr>
        <w:spacing w:after="0"/>
        <w:rPr>
          <w:sz w:val="20"/>
          <w:szCs w:val="20"/>
          <w:color w:val="auto"/>
        </w:rPr>
      </w:pPr>
      <w:r>
        <w:rPr>
          <w:rFonts w:ascii="Calibri" w:cs="Calibri" w:eastAsia="Calibri" w:hAnsi="Calibri"/>
          <w:sz w:val="22"/>
          <w:szCs w:val="22"/>
          <w:color w:val="auto"/>
        </w:rPr>
        <w:t>&amp; Lakhani, 2010; Terwiesch &amp; Ulrich, 2009), and collective and group innovation (Jeppesen &amp;</w:t>
      </w:r>
    </w:p>
    <w:p>
      <w:pPr>
        <w:spacing w:after="0" w:line="132" w:lineRule="exact"/>
        <w:rPr>
          <w:sz w:val="20"/>
          <w:szCs w:val="20"/>
          <w:color w:val="auto"/>
        </w:rPr>
      </w:pPr>
    </w:p>
    <w:p>
      <w:pPr>
        <w:spacing w:after="0"/>
        <w:rPr>
          <w:sz w:val="20"/>
          <w:szCs w:val="20"/>
          <w:color w:val="auto"/>
        </w:rPr>
      </w:pPr>
      <w:r>
        <w:rPr>
          <w:rFonts w:ascii="Calibri" w:cs="Calibri" w:eastAsia="Calibri" w:hAnsi="Calibri"/>
          <w:sz w:val="22"/>
          <w:szCs w:val="22"/>
          <w:color w:val="auto"/>
        </w:rPr>
        <w:t>Frederiksen, 2006; O’Mahony, 2003) – ultimately have an expert authority overseeing the actions of the</w:t>
      </w:r>
    </w:p>
    <w:p>
      <w:pPr>
        <w:spacing w:after="0" w:line="135" w:lineRule="exact"/>
        <w:rPr>
          <w:sz w:val="20"/>
          <w:szCs w:val="20"/>
          <w:color w:val="auto"/>
        </w:rPr>
      </w:pPr>
    </w:p>
    <w:p>
      <w:pPr>
        <w:spacing w:after="0"/>
        <w:rPr>
          <w:sz w:val="20"/>
          <w:szCs w:val="20"/>
          <w:color w:val="auto"/>
        </w:rPr>
      </w:pPr>
      <w:r>
        <w:rPr>
          <w:rFonts w:ascii="Calibri" w:cs="Calibri" w:eastAsia="Calibri" w:hAnsi="Calibri"/>
          <w:sz w:val="22"/>
          <w:szCs w:val="22"/>
          <w:color w:val="auto"/>
        </w:rPr>
        <w:t>crowd. And, unlike prediction markets (M. Chen, 2008; Ray, 2006; Wolfers &amp; Zitzewitz, 2004), crowd-</w:t>
      </w:r>
    </w:p>
    <w:p>
      <w:pPr>
        <w:spacing w:after="0" w:line="135" w:lineRule="exact"/>
        <w:rPr>
          <w:sz w:val="20"/>
          <w:szCs w:val="20"/>
          <w:color w:val="auto"/>
        </w:rPr>
      </w:pPr>
    </w:p>
    <w:p>
      <w:pPr>
        <w:spacing w:after="0"/>
        <w:rPr>
          <w:sz w:val="20"/>
          <w:szCs w:val="20"/>
          <w:color w:val="auto"/>
        </w:rPr>
      </w:pPr>
      <w:r>
        <w:rPr>
          <w:rFonts w:ascii="Calibri" w:cs="Calibri" w:eastAsia="Calibri" w:hAnsi="Calibri"/>
          <w:sz w:val="22"/>
          <w:szCs w:val="22"/>
          <w:color w:val="auto"/>
        </w:rPr>
        <w:t>based approaches do not operate like markets, in that there are not buyers and sellers trading contracts</w:t>
      </w:r>
    </w:p>
    <w:p>
      <w:pPr>
        <w:spacing w:after="0" w:line="135" w:lineRule="exact"/>
        <w:rPr>
          <w:sz w:val="20"/>
          <w:szCs w:val="20"/>
          <w:color w:val="auto"/>
        </w:rPr>
      </w:pPr>
    </w:p>
    <w:p>
      <w:pPr>
        <w:spacing w:after="0"/>
        <w:rPr>
          <w:sz w:val="20"/>
          <w:szCs w:val="20"/>
          <w:color w:val="auto"/>
        </w:rPr>
      </w:pPr>
      <w:r>
        <w:rPr>
          <w:rFonts w:ascii="Calibri" w:cs="Calibri" w:eastAsia="Calibri" w:hAnsi="Calibri"/>
          <w:sz w:val="22"/>
          <w:szCs w:val="22"/>
          <w:color w:val="auto"/>
        </w:rPr>
        <w:t>in an efficient manner. Instead, crowd judgment depends on the aggregate actions of many individuals</w:t>
      </w:r>
    </w:p>
    <w:p>
      <w:pPr>
        <w:spacing w:after="0" w:line="135" w:lineRule="exact"/>
        <w:rPr>
          <w:sz w:val="20"/>
          <w:szCs w:val="20"/>
          <w:color w:val="auto"/>
        </w:rPr>
      </w:pPr>
    </w:p>
    <w:p>
      <w:pPr>
        <w:spacing w:after="0"/>
        <w:rPr>
          <w:sz w:val="20"/>
          <w:szCs w:val="20"/>
          <w:color w:val="auto"/>
        </w:rPr>
      </w:pPr>
      <w:r>
        <w:rPr>
          <w:rFonts w:ascii="Calibri" w:cs="Calibri" w:eastAsia="Calibri" w:hAnsi="Calibri"/>
          <w:sz w:val="22"/>
          <w:szCs w:val="22"/>
          <w:color w:val="auto"/>
        </w:rPr>
        <w:t>making small contributions to a larger goal, in the place of experts making large-scale resource</w:t>
      </w:r>
    </w:p>
    <w:p>
      <w:pPr>
        <w:spacing w:after="0" w:line="135" w:lineRule="exact"/>
        <w:rPr>
          <w:sz w:val="20"/>
          <w:szCs w:val="20"/>
          <w:color w:val="auto"/>
        </w:rPr>
      </w:pPr>
    </w:p>
    <w:p>
      <w:pPr>
        <w:spacing w:after="0"/>
        <w:rPr>
          <w:sz w:val="20"/>
          <w:szCs w:val="20"/>
          <w:color w:val="auto"/>
        </w:rPr>
      </w:pPr>
      <w:r>
        <w:rPr>
          <w:rFonts w:ascii="Calibri" w:cs="Calibri" w:eastAsia="Calibri" w:hAnsi="Calibri"/>
          <w:sz w:val="22"/>
          <w:szCs w:val="22"/>
          <w:color w:val="auto"/>
        </w:rPr>
        <w:t>allocation choices themselves. While the success or failure of a particular project may be influenced by</w:t>
      </w:r>
    </w:p>
    <w:p>
      <w:pPr>
        <w:spacing w:after="0" w:line="132" w:lineRule="exact"/>
        <w:rPr>
          <w:sz w:val="20"/>
          <w:szCs w:val="20"/>
          <w:color w:val="auto"/>
        </w:rPr>
      </w:pPr>
    </w:p>
    <w:p>
      <w:pPr>
        <w:spacing w:after="0"/>
        <w:rPr>
          <w:sz w:val="20"/>
          <w:szCs w:val="20"/>
          <w:color w:val="auto"/>
        </w:rPr>
      </w:pPr>
      <w:r>
        <w:rPr>
          <w:rFonts w:ascii="Calibri" w:cs="Calibri" w:eastAsia="Calibri" w:hAnsi="Calibri"/>
          <w:sz w:val="22"/>
          <w:szCs w:val="22"/>
          <w:color w:val="auto"/>
        </w:rPr>
        <w:t>the degree of pledges already made (Kuppuswamy &amp; Bayus, 2013), backing decisions are individual, not</w:t>
      </w:r>
    </w:p>
    <w:p>
      <w:pPr>
        <w:spacing w:after="0" w:line="135" w:lineRule="exact"/>
        <w:rPr>
          <w:sz w:val="20"/>
          <w:szCs w:val="20"/>
          <w:color w:val="auto"/>
        </w:rPr>
      </w:pPr>
    </w:p>
    <w:p>
      <w:pPr>
        <w:spacing w:after="0"/>
        <w:rPr>
          <w:sz w:val="20"/>
          <w:szCs w:val="20"/>
          <w:color w:val="auto"/>
        </w:rPr>
      </w:pPr>
      <w:r>
        <w:rPr>
          <w:rFonts w:ascii="Calibri" w:cs="Calibri" w:eastAsia="Calibri" w:hAnsi="Calibri"/>
          <w:sz w:val="22"/>
          <w:szCs w:val="22"/>
          <w:color w:val="auto"/>
        </w:rPr>
        <w:t>collective. There is no centralized price-setting mechanism, tournament, or selection process that</w:t>
      </w:r>
    </w:p>
    <w:p>
      <w:pPr>
        <w:spacing w:after="0" w:line="135" w:lineRule="exact"/>
        <w:rPr>
          <w:sz w:val="20"/>
          <w:szCs w:val="20"/>
          <w:color w:val="auto"/>
        </w:rPr>
      </w:pPr>
    </w:p>
    <w:p>
      <w:pPr>
        <w:spacing w:after="0"/>
        <w:rPr>
          <w:sz w:val="20"/>
          <w:szCs w:val="20"/>
          <w:color w:val="auto"/>
        </w:rPr>
      </w:pPr>
      <w:r>
        <w:rPr>
          <w:rFonts w:ascii="Calibri" w:cs="Calibri" w:eastAsia="Calibri" w:hAnsi="Calibri"/>
          <w:sz w:val="22"/>
          <w:szCs w:val="22"/>
          <w:color w:val="auto"/>
        </w:rPr>
        <w:t>aggregates crowd preferences. Thus, the crowd in crowdfunding consists of a group of mostly</w:t>
      </w:r>
    </w:p>
    <w:p>
      <w:pPr>
        <w:spacing w:after="0" w:line="135" w:lineRule="exact"/>
        <w:rPr>
          <w:sz w:val="20"/>
          <w:szCs w:val="20"/>
          <w:color w:val="auto"/>
        </w:rPr>
      </w:pPr>
    </w:p>
    <w:p>
      <w:pPr>
        <w:spacing w:after="0"/>
        <w:rPr>
          <w:sz w:val="20"/>
          <w:szCs w:val="20"/>
          <w:color w:val="auto"/>
        </w:rPr>
      </w:pPr>
      <w:r>
        <w:rPr>
          <w:rFonts w:ascii="Calibri" w:cs="Calibri" w:eastAsia="Calibri" w:hAnsi="Calibri"/>
          <w:sz w:val="22"/>
          <w:szCs w:val="22"/>
          <w:color w:val="auto"/>
        </w:rPr>
        <w:t>uncoordinated amateurs.</w:t>
      </w:r>
    </w:p>
    <w:p>
      <w:pPr>
        <w:spacing w:after="0" w:line="344" w:lineRule="exact"/>
        <w:rPr>
          <w:sz w:val="20"/>
          <w:szCs w:val="20"/>
          <w:color w:val="auto"/>
        </w:rPr>
      </w:pPr>
    </w:p>
    <w:p>
      <w:pPr>
        <w:ind w:right="20" w:firstLine="720"/>
        <w:spacing w:after="0" w:line="355" w:lineRule="auto"/>
        <w:rPr>
          <w:sz w:val="20"/>
          <w:szCs w:val="20"/>
          <w:color w:val="auto"/>
        </w:rPr>
      </w:pPr>
      <w:r>
        <w:rPr>
          <w:rFonts w:ascii="Calibri" w:cs="Calibri" w:eastAsia="Calibri" w:hAnsi="Calibri"/>
          <w:sz w:val="22"/>
          <w:szCs w:val="22"/>
          <w:color w:val="auto"/>
        </w:rPr>
        <w:t>Theory provides ambiguous predictions about whether and how crowd evaluations should differ from that of experts. One the one hand, the crowd allows for a wider range of expertise and preferences to be leveraged in group decision-making, suggesting that ‘collective wisdom’ might make evaluation more accurate, reducing information frictions and providing greater efficiency in financing decisions. For example, studies on forecasting have supported the idea that experts are no more accurate than informed amateurs (Tetlock, 2005), while examination of Wikipedia has shown that it compares favorably on many dimensions to expert-created content (Clauson, Polen, Boulos, &amp; Dzenowagis, 2008; Giles, 2005; Rajagopalan et al., 2011). Further, recent research on Wikipedia has shown that while there may be political biases in certain articles (Greenstein &amp; Zhu, 2012), as these articles are more heavily edited by the crowd, they ultimately become less biased than similar work produced by the experts at Encyclopedia Britannica (Greenstein &amp; Zhu, 2014).</w:t>
      </w:r>
    </w:p>
    <w:p>
      <w:pPr>
        <w:spacing w:after="0" w:line="222" w:lineRule="exact"/>
        <w:rPr>
          <w:sz w:val="20"/>
          <w:szCs w:val="20"/>
          <w:color w:val="auto"/>
        </w:rPr>
      </w:pPr>
    </w:p>
    <w:p>
      <w:pPr>
        <w:ind w:right="160" w:firstLine="720"/>
        <w:spacing w:after="0" w:line="370" w:lineRule="auto"/>
        <w:rPr>
          <w:sz w:val="20"/>
          <w:szCs w:val="20"/>
          <w:color w:val="auto"/>
        </w:rPr>
      </w:pPr>
      <w:r>
        <w:rPr>
          <w:rFonts w:ascii="Calibri" w:cs="Calibri" w:eastAsia="Calibri" w:hAnsi="Calibri"/>
          <w:sz w:val="21"/>
          <w:szCs w:val="21"/>
          <w:color w:val="auto"/>
        </w:rPr>
        <w:t>The research on crowds that seeks to explain these findings focuses on the value of combining many opinions, as opposed to relying on the views of individual experts (Larrick &amp; Soll, 2012). When crowds have diverse sources of information and expertise with a problem area, they can provide more accurate collective forecasting than can even well-informed individuals (Larrick et al., 2012). Indeed, a substantial amount of research has gone into examining the best method of combining the predictions of many individuals as accurately as possible (Budescu &amp; Chen, 2014; Larrick &amp; Soll, 2012; Makridakis &amp;</w:t>
      </w:r>
    </w:p>
    <w:p>
      <w:pPr>
        <w:spacing w:after="0" w:line="287"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7</w:t>
      </w:r>
    </w:p>
    <w:p>
      <w:pPr>
        <w:sectPr>
          <w:pgSz w:w="12240" w:h="15840" w:orient="portrait"/>
          <w:cols w:equalWidth="0" w:num="1">
            <w:col w:w="9360"/>
          </w:cols>
          <w:pgMar w:left="1440" w:top="1431" w:right="1440" w:bottom="474" w:gutter="0" w:footer="0" w:header="0"/>
        </w:sectPr>
      </w:pPr>
    </w:p>
    <w:bookmarkStart w:id="8" w:name="page9"/>
    <w:bookmarkEnd w:id="8"/>
    <w:p>
      <w:pPr>
        <w:spacing w:after="0" w:line="41" w:lineRule="exact"/>
        <w:rPr>
          <w:sz w:val="20"/>
          <w:szCs w:val="20"/>
          <w:color w:val="auto"/>
        </w:rPr>
      </w:pPr>
    </w:p>
    <w:p>
      <w:pPr>
        <w:ind w:right="20"/>
        <w:spacing w:after="0" w:line="353" w:lineRule="auto"/>
        <w:rPr>
          <w:sz w:val="20"/>
          <w:szCs w:val="20"/>
          <w:color w:val="auto"/>
        </w:rPr>
      </w:pPr>
      <w:r>
        <w:rPr>
          <w:rFonts w:ascii="Calibri" w:cs="Calibri" w:eastAsia="Calibri" w:hAnsi="Calibri"/>
          <w:sz w:val="22"/>
          <w:szCs w:val="22"/>
          <w:color w:val="auto"/>
        </w:rPr>
        <w:t>Winkler, 1983). While these studies have shed considerable light on how to employ the wisdom of the crowd, the emphasis on assessing crowds based on accuracy assumes that there is an objectively defined “correct answer” that both the crowd and experts are attempting to reach. When selecting startup companies to fund, artistic works to develop, or innovations to pursue, the nature of a correct answer is less clear. In these cases, the key issue is less about selecting a combined prediction and much more about understanding whether there are systematic differences between crowds and experts in the types of projects they seem to prefer, or, indeed, if crowds are at all consistent in how they assess projects.</w:t>
      </w:r>
    </w:p>
    <w:p>
      <w:pPr>
        <w:spacing w:after="0" w:line="222" w:lineRule="exact"/>
        <w:rPr>
          <w:sz w:val="20"/>
          <w:szCs w:val="20"/>
          <w:color w:val="auto"/>
        </w:rPr>
      </w:pPr>
    </w:p>
    <w:p>
      <w:pPr>
        <w:ind w:right="20" w:firstLine="720"/>
        <w:spacing w:after="0" w:line="357" w:lineRule="auto"/>
        <w:rPr>
          <w:sz w:val="20"/>
          <w:szCs w:val="20"/>
          <w:color w:val="auto"/>
        </w:rPr>
      </w:pPr>
      <w:r>
        <w:rPr>
          <w:rFonts w:ascii="Calibri" w:cs="Calibri" w:eastAsia="Calibri" w:hAnsi="Calibri"/>
          <w:sz w:val="22"/>
          <w:szCs w:val="22"/>
          <w:color w:val="auto"/>
        </w:rPr>
        <w:t>We may expect several factors to drive some systematic differences in the types of projects that are funded by crowds compared to experts. First, it is not clear that the crowd, as a whole, has the expertise to evaluate projects in the same way as experts (Simmons, Nelson, Galak, &amp; Frederick, 2011). There are no admissions criteria for entering the crowd, making it unclear how the crowd would develop criteria to identify potentially high quality projects in areas where they do not have expertise. Since crowds are pledging smaller amounts of money per project, they also have less of an incentive to gather information on the project and hence are more likely to be subject to herding driven by information cascades. Such herding can be rational, as outlined by several economics models (Banerjee, 1992; Bikhchandani, Hirshleifer, &amp; Welch, 1992; Devenow &amp; Welch, 1996; Scharfstein &amp; Stein, 1990), where project backers observe the actions of other project backers, and thus view the presence of other backers as a sign of quality. Herding can also be mimetic, as backers simply mimic others, without an underlying rationale (Cipriani &amp; Guarino, 2005). Crowds may also suffer from a wide variety of factors identified by social psychologists and cognitive scientists that degrade the quality of crowd decision-making (e.g. Bahrami et al., 2012; Latane, Williams, Harkins, &amp; Latané, 1979; Raafat, Chater, &amp; Frith, 2009). For example, groups can be subject to emotional contagion (Barsade, 2002) and even to hysterical reaction (Balaratnasingam &amp; Janca, 2006), that may cause crowd members to act in non-rational ways. Crowds could also be fall into patterns of group thinking which bias information processing (Janis, 1982), may overly rely on the work of others (Earley, 1989; Latane et al., 1979), or may deemphasize information that is not shared among group members (Schulz-Hardt, Brodbeck, Mojzisch, Kerschreiter, &amp; Frey, 2006).</w:t>
      </w:r>
    </w:p>
    <w:p>
      <w:pPr>
        <w:spacing w:after="0" w:line="230" w:lineRule="exact"/>
        <w:rPr>
          <w:sz w:val="20"/>
          <w:szCs w:val="20"/>
          <w:color w:val="auto"/>
        </w:rPr>
      </w:pPr>
    </w:p>
    <w:p>
      <w:pPr>
        <w:jc w:val="both"/>
        <w:ind w:right="260" w:firstLine="720"/>
        <w:spacing w:after="0" w:line="360" w:lineRule="auto"/>
        <w:rPr>
          <w:sz w:val="20"/>
          <w:szCs w:val="20"/>
          <w:color w:val="auto"/>
        </w:rPr>
      </w:pPr>
      <w:r>
        <w:rPr>
          <w:rFonts w:ascii="Calibri" w:cs="Calibri" w:eastAsia="Calibri" w:hAnsi="Calibri"/>
          <w:sz w:val="21"/>
          <w:szCs w:val="21"/>
          <w:color w:val="auto"/>
        </w:rPr>
        <w:t>We do not seek to specify which biases may operate under which conditions in crowdfunding, but rather argue that there are many potential reasons why crowds would operate in ways that might be less than wise, especially as crowdfunding does not resemble more controlled opinion-aggregation</w:t>
      </w:r>
    </w:p>
    <w:p>
      <w:pPr>
        <w:spacing w:after="0" w:line="297"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8</w:t>
      </w:r>
    </w:p>
    <w:p>
      <w:pPr>
        <w:sectPr>
          <w:pgSz w:w="12240" w:h="15840" w:orient="portrait"/>
          <w:cols w:equalWidth="0" w:num="1">
            <w:col w:w="9360"/>
          </w:cols>
          <w:pgMar w:left="1440" w:top="1440" w:right="1440" w:bottom="474" w:gutter="0" w:footer="0" w:header="0"/>
        </w:sectPr>
      </w:pPr>
    </w:p>
    <w:bookmarkStart w:id="9" w:name="page10"/>
    <w:bookmarkEnd w:id="9"/>
    <w:p>
      <w:pPr>
        <w:spacing w:after="0" w:line="41" w:lineRule="exact"/>
        <w:rPr>
          <w:sz w:val="20"/>
          <w:szCs w:val="20"/>
          <w:color w:val="auto"/>
        </w:rPr>
      </w:pPr>
    </w:p>
    <w:p>
      <w:pPr>
        <w:ind w:right="20"/>
        <w:spacing w:after="0" w:line="351" w:lineRule="auto"/>
        <w:rPr>
          <w:sz w:val="20"/>
          <w:szCs w:val="20"/>
          <w:color w:val="auto"/>
        </w:rPr>
      </w:pPr>
      <w:r>
        <w:rPr>
          <w:rFonts w:ascii="Calibri" w:cs="Calibri" w:eastAsia="Calibri" w:hAnsi="Calibri"/>
          <w:sz w:val="22"/>
          <w:szCs w:val="22"/>
          <w:color w:val="auto"/>
        </w:rPr>
        <w:t>approaches to harnessing crowd wisdom (Budescu &amp; Chen, 2014; Simmons et al., 2011). Indeed, early studies have found herding in peer-to-peer lending, a form of crowdfunding, with conflicting evidence over the degree to which herding represents positive information cascades or mere imitation (D. Chen &amp; Lin, 2014; Kuppuswamy &amp; Bayus, 2013; Zhang &amp; Liu, 2012). Thus, both prior theory and early empirical results suggest that the crowd could be irrational, subject to many potential biases that would result in inconsistent judgments without clear patterns or decision criteria.</w:t>
      </w:r>
    </w:p>
    <w:p>
      <w:pPr>
        <w:spacing w:after="0" w:line="221" w:lineRule="exact"/>
        <w:rPr>
          <w:sz w:val="20"/>
          <w:szCs w:val="20"/>
          <w:color w:val="auto"/>
        </w:rPr>
      </w:pPr>
    </w:p>
    <w:p>
      <w:pPr>
        <w:ind w:right="60" w:firstLine="720"/>
        <w:spacing w:after="0" w:line="348" w:lineRule="auto"/>
        <w:rPr>
          <w:sz w:val="20"/>
          <w:szCs w:val="20"/>
          <w:color w:val="auto"/>
        </w:rPr>
      </w:pPr>
      <w:r>
        <w:rPr>
          <w:rFonts w:ascii="Calibri" w:cs="Calibri" w:eastAsia="Calibri" w:hAnsi="Calibri"/>
          <w:sz w:val="22"/>
          <w:szCs w:val="22"/>
          <w:color w:val="auto"/>
        </w:rPr>
        <w:t>Even in the absence of group biases that subvert rational decision-making, the crowd and experts may differ based on taste or other preferences. The difference in cultural tastes have long been a subject of interest to scholars (Bourdieu, 1984; DiMaggio, 1991; Gans, 2008; Peterson &amp; Kern, 1996), and the funding decision of experts and crowds would reasonably be expected to reflect differences in high culture and popular culture (Gans, 2008). Even as cultural tastes change among the elite (Peterson</w:t>
      </w:r>
    </w:p>
    <w:p>
      <w:pPr>
        <w:spacing w:after="0" w:line="67" w:lineRule="exact"/>
        <w:rPr>
          <w:sz w:val="20"/>
          <w:szCs w:val="20"/>
          <w:color w:val="auto"/>
        </w:rPr>
      </w:pPr>
    </w:p>
    <w:p>
      <w:pPr>
        <w:ind w:right="200"/>
        <w:spacing w:after="0" w:line="370" w:lineRule="auto"/>
        <w:tabs>
          <w:tab w:leader="none" w:pos="201" w:val="left"/>
        </w:tabs>
        <w:numPr>
          <w:ilvl w:val="0"/>
          <w:numId w:val="3"/>
        </w:numPr>
        <w:rPr>
          <w:rFonts w:ascii="Calibri" w:cs="Calibri" w:eastAsia="Calibri" w:hAnsi="Calibri"/>
          <w:sz w:val="21"/>
          <w:szCs w:val="21"/>
          <w:color w:val="auto"/>
        </w:rPr>
      </w:pPr>
      <w:r>
        <w:rPr>
          <w:rFonts w:ascii="Calibri" w:cs="Calibri" w:eastAsia="Calibri" w:hAnsi="Calibri"/>
          <w:sz w:val="21"/>
          <w:szCs w:val="21"/>
          <w:color w:val="auto"/>
        </w:rPr>
        <w:t>Kern, 1996), there is still a strong belief that many forms of high culture, serious theater prominent among them (Shrum, 1991), would not be supported by popular culture. Further, the tastes of the critics serves a role beyond selecting artwork, and is part of the process by which elite social classes sustain and replicate themselves (DiMaggio, 1991). Additionally, the difference in tastes between the crowd and experts may not even be based on the underlying quality of the work. Given that some significant proportion of crowdfunding is based on the support of friends and family (Agrawal, Catalini,</w:t>
      </w:r>
    </w:p>
    <w:p>
      <w:pPr>
        <w:spacing w:after="0" w:line="45" w:lineRule="exact"/>
        <w:rPr>
          <w:rFonts w:ascii="Calibri" w:cs="Calibri" w:eastAsia="Calibri" w:hAnsi="Calibri"/>
          <w:sz w:val="21"/>
          <w:szCs w:val="21"/>
          <w:color w:val="auto"/>
        </w:rPr>
      </w:pPr>
    </w:p>
    <w:p>
      <w:pPr>
        <w:spacing w:after="0" w:line="353" w:lineRule="auto"/>
        <w:tabs>
          <w:tab w:leader="none" w:pos="201" w:val="left"/>
        </w:tabs>
        <w:numPr>
          <w:ilvl w:val="0"/>
          <w:numId w:val="3"/>
        </w:numPr>
        <w:rPr>
          <w:rFonts w:ascii="Calibri" w:cs="Calibri" w:eastAsia="Calibri" w:hAnsi="Calibri"/>
          <w:sz w:val="22"/>
          <w:szCs w:val="22"/>
          <w:color w:val="auto"/>
        </w:rPr>
      </w:pPr>
      <w:r>
        <w:rPr>
          <w:rFonts w:ascii="Calibri" w:cs="Calibri" w:eastAsia="Calibri" w:hAnsi="Calibri"/>
          <w:sz w:val="22"/>
          <w:szCs w:val="22"/>
          <w:color w:val="auto"/>
        </w:rPr>
        <w:t>Goldfarb, 2010), it could simply be that the crowd is primarily focused on supporting popular individuals, rather than quality products. These differences in tastes are important, as selection contexts that apply different preferences in funding projects can result in the support of very different forms of art (Wijnberg &amp; Gemser, 2000) and alter the sorts of ideas that are ultimately funded and pursued throughout the economy. Therefore, even in the absence of group cognitive biases that make decision-making inconsistent, crowds may still have a completely different set of tastes then experts, suggesting that moving from expert to crowd-based judgments could radically alter the type and nature of art being funded.</w:t>
      </w:r>
    </w:p>
    <w:p>
      <w:pPr>
        <w:spacing w:after="0" w:line="224" w:lineRule="exact"/>
        <w:rPr>
          <w:sz w:val="20"/>
          <w:szCs w:val="20"/>
          <w:color w:val="auto"/>
        </w:rPr>
      </w:pPr>
    </w:p>
    <w:p>
      <w:pPr>
        <w:ind w:firstLine="720"/>
        <w:spacing w:after="0" w:line="351" w:lineRule="auto"/>
        <w:rPr>
          <w:sz w:val="20"/>
          <w:szCs w:val="20"/>
          <w:color w:val="auto"/>
        </w:rPr>
      </w:pPr>
      <w:r>
        <w:rPr>
          <w:rFonts w:ascii="Calibri" w:cs="Calibri" w:eastAsia="Calibri" w:hAnsi="Calibri"/>
          <w:sz w:val="22"/>
          <w:szCs w:val="22"/>
          <w:color w:val="auto"/>
        </w:rPr>
        <w:t>Ultimately, we are left with two potential views of the crowd. In one case, we have a crowd that is fundamentally wise. It may differ on some selection criteria from experts due to taste or the structure in which screening takes place, but would have a consistent set of decisions that have a rational underlying framework. If the crowd is wise, the key question becomes the taste of the crowd compared to experts, and its consequences. A second option is that the crowd is instead more subject to the many potential fallacies of group cognition; is driven by factors unrelated to quality; has radically different</w:t>
      </w:r>
    </w:p>
    <w:p>
      <w:pPr>
        <w:spacing w:after="0" w:line="302"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9</w:t>
      </w:r>
    </w:p>
    <w:p>
      <w:pPr>
        <w:sectPr>
          <w:pgSz w:w="12240" w:h="15840" w:orient="portrait"/>
          <w:cols w:equalWidth="0" w:num="1">
            <w:col w:w="9360"/>
          </w:cols>
          <w:pgMar w:left="1440" w:top="1440" w:right="1440" w:bottom="474" w:gutter="0" w:footer="0" w:header="0"/>
        </w:sectPr>
      </w:pPr>
    </w:p>
    <w:bookmarkStart w:id="10" w:name="page11"/>
    <w:bookmarkEnd w:id="10"/>
    <w:p>
      <w:pPr>
        <w:spacing w:after="0" w:line="41" w:lineRule="exact"/>
        <w:rPr>
          <w:sz w:val="20"/>
          <w:szCs w:val="20"/>
          <w:color w:val="auto"/>
        </w:rPr>
      </w:pPr>
    </w:p>
    <w:p>
      <w:pPr>
        <w:jc w:val="both"/>
        <w:ind w:right="420"/>
        <w:spacing w:after="0" w:line="338" w:lineRule="auto"/>
        <w:rPr>
          <w:sz w:val="20"/>
          <w:szCs w:val="20"/>
          <w:color w:val="auto"/>
        </w:rPr>
      </w:pPr>
      <w:r>
        <w:rPr>
          <w:rFonts w:ascii="Calibri" w:cs="Calibri" w:eastAsia="Calibri" w:hAnsi="Calibri"/>
          <w:sz w:val="22"/>
          <w:szCs w:val="22"/>
          <w:color w:val="auto"/>
        </w:rPr>
        <w:t>tastes than experts; and/or is inconsistent in its judgment. Our study aims to shed light on which of these two polar extremes best typifies the nature of crowdfunding we see today, and to explore the differences between expert and crowd judgment.</w:t>
      </w:r>
    </w:p>
    <w:p>
      <w:pPr>
        <w:spacing w:after="0" w:line="188" w:lineRule="exact"/>
        <w:rPr>
          <w:sz w:val="20"/>
          <w:szCs w:val="20"/>
          <w:color w:val="auto"/>
        </w:rPr>
      </w:pPr>
    </w:p>
    <w:p>
      <w:pPr>
        <w:ind w:left="360"/>
        <w:spacing w:after="0"/>
        <w:rPr>
          <w:sz w:val="20"/>
          <w:szCs w:val="20"/>
          <w:color w:val="auto"/>
        </w:rPr>
      </w:pPr>
      <w:r>
        <w:rPr>
          <w:rFonts w:ascii="Calibri" w:cs="Calibri" w:eastAsia="Calibri" w:hAnsi="Calibri"/>
          <w:sz w:val="28"/>
          <w:szCs w:val="28"/>
          <w:b w:val="1"/>
          <w:bCs w:val="1"/>
          <w:color w:val="auto"/>
        </w:rPr>
        <w:t>3. Research Design</w:t>
      </w:r>
    </w:p>
    <w:p>
      <w:pPr>
        <w:spacing w:after="0" w:line="376" w:lineRule="exact"/>
        <w:rPr>
          <w:sz w:val="20"/>
          <w:szCs w:val="20"/>
          <w:color w:val="auto"/>
        </w:rPr>
      </w:pPr>
    </w:p>
    <w:p>
      <w:pPr>
        <w:ind w:right="80" w:firstLine="720"/>
        <w:spacing w:after="0" w:line="353" w:lineRule="auto"/>
        <w:rPr>
          <w:sz w:val="20"/>
          <w:szCs w:val="20"/>
          <w:color w:val="auto"/>
        </w:rPr>
      </w:pPr>
      <w:r>
        <w:rPr>
          <w:rFonts w:ascii="Calibri" w:cs="Calibri" w:eastAsia="Calibri" w:hAnsi="Calibri"/>
          <w:sz w:val="22"/>
          <w:szCs w:val="22"/>
          <w:color w:val="auto"/>
        </w:rPr>
        <w:t>We chose to work with data from Kickstarter, which is the largest and most prominent crowdfunding platform in the world, having successfully helped raise over $1 billion in funding across all applicants in the last five years. Due to the strong network effects that tend to be present in such platforms, working with the largest, most prominent, and successful platform ensures that we are likely to observe a representative set of projects -- including the very best -- that are seeking funding from crowds. A second attractive feature of our setting is that we have access to all the campaigns run by Kickstarter, including those that did not succeed in meeting their funding goals, which allows us to look at the differences in evaluation, without sampling on success.</w:t>
      </w:r>
    </w:p>
    <w:p>
      <w:pPr>
        <w:spacing w:after="0" w:line="225" w:lineRule="exact"/>
        <w:rPr>
          <w:sz w:val="20"/>
          <w:szCs w:val="20"/>
          <w:color w:val="auto"/>
        </w:rPr>
      </w:pPr>
    </w:p>
    <w:p>
      <w:pPr>
        <w:ind w:right="60" w:firstLine="720"/>
        <w:spacing w:after="0" w:line="355" w:lineRule="auto"/>
        <w:rPr>
          <w:sz w:val="20"/>
          <w:szCs w:val="20"/>
          <w:color w:val="auto"/>
        </w:rPr>
      </w:pPr>
      <w:r>
        <w:rPr>
          <w:rFonts w:ascii="Calibri" w:cs="Calibri" w:eastAsia="Calibri" w:hAnsi="Calibri"/>
          <w:sz w:val="22"/>
          <w:szCs w:val="22"/>
          <w:color w:val="auto"/>
        </w:rPr>
        <w:t>Since a key goal of our paper is to examine the extent to which experts would agree with the funding decisions of crowds, we focused our analysis on a field where there is an established set of externally-validated experts that could be used to examine the judgment of crowds. We also wanted to focus on an area where projects have both a subjective artistic component and a measure of a commercial bottom line, since the former is a setting where tastes may be expected to differ and the latter is a feature that is particularly relevant for new ventures outside of the arts. Given these two criteria, we decided to focus on theater, where the existing literature suggests a long-standing tension between experts and mass audiences in artistic endeavors (Gans, 2008; Kim &amp; Jensen, 2011; Wijnberg &amp; Gemser, 2000) while at the same time embodying many features of projects that have a commercial bottom line. Theater is especially relevant in crowdfunding, because, as mentioned, as of 2012, Kickstarter campaigns became a larger funder of the arts than the expert-run National Endowment of the Arts.</w:t>
      </w:r>
    </w:p>
    <w:p>
      <w:pPr>
        <w:spacing w:after="0" w:line="228" w:lineRule="exact"/>
        <w:rPr>
          <w:sz w:val="20"/>
          <w:szCs w:val="20"/>
          <w:color w:val="auto"/>
        </w:rPr>
      </w:pPr>
    </w:p>
    <w:p>
      <w:pPr>
        <w:ind w:right="60" w:firstLine="720"/>
        <w:spacing w:after="0" w:line="351" w:lineRule="auto"/>
        <w:rPr>
          <w:sz w:val="20"/>
          <w:szCs w:val="20"/>
          <w:color w:val="auto"/>
        </w:rPr>
      </w:pPr>
      <w:r>
        <w:rPr>
          <w:rFonts w:ascii="Calibri" w:cs="Calibri" w:eastAsia="Calibri" w:hAnsi="Calibri"/>
          <w:sz w:val="22"/>
          <w:szCs w:val="22"/>
          <w:color w:val="auto"/>
        </w:rPr>
        <w:t>Figure 1 provides an annotated example of a Kickstarter theater project from our sample. As can be seen in the Figure, project creators generate a pitch to convince backers to support their project, using a combination of video, text, and images to communicate their vision for the completed project. As is common in reward-based crowdfunding, backers may receive some sort of reward for a project, such as a ticket or a mention in a program, but do not gain any financial stake in the project or profit from the project in any way. Pitches, project goals, and aspirations of project creators can vary widely</w:t>
      </w:r>
    </w:p>
    <w:p>
      <w:pPr>
        <w:spacing w:after="0" w:line="276"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10</w:t>
      </w:r>
    </w:p>
    <w:p>
      <w:pPr>
        <w:sectPr>
          <w:pgSz w:w="12240" w:h="15840" w:orient="portrait"/>
          <w:cols w:equalWidth="0" w:num="1">
            <w:col w:w="9360"/>
          </w:cols>
          <w:pgMar w:left="1440" w:top="1440" w:right="1440" w:bottom="474" w:gutter="0" w:footer="0" w:header="0"/>
        </w:sectPr>
      </w:pPr>
    </w:p>
    <w:bookmarkStart w:id="11" w:name="page12"/>
    <w:bookmarkEnd w:id="11"/>
    <w:p>
      <w:pPr>
        <w:spacing w:after="0" w:line="41" w:lineRule="exact"/>
        <w:rPr>
          <w:sz w:val="20"/>
          <w:szCs w:val="20"/>
          <w:color w:val="auto"/>
        </w:rPr>
      </w:pPr>
    </w:p>
    <w:p>
      <w:pPr>
        <w:ind w:right="340"/>
        <w:spacing w:after="0" w:line="316" w:lineRule="auto"/>
        <w:rPr>
          <w:sz w:val="20"/>
          <w:szCs w:val="20"/>
          <w:color w:val="auto"/>
        </w:rPr>
      </w:pPr>
      <w:r>
        <w:rPr>
          <w:rFonts w:ascii="Calibri" w:cs="Calibri" w:eastAsia="Calibri" w:hAnsi="Calibri"/>
          <w:sz w:val="22"/>
          <w:szCs w:val="22"/>
          <w:color w:val="auto"/>
        </w:rPr>
        <w:t>between projects, and the projects in our sample included revivals of Broadway plays, adaptations of books to the stage, original musicals, works aimed at children, and new dramatic productions.</w:t>
      </w:r>
    </w:p>
    <w:p>
      <w:pPr>
        <w:spacing w:after="0" w:line="209" w:lineRule="exact"/>
        <w:rPr>
          <w:sz w:val="20"/>
          <w:szCs w:val="20"/>
          <w:color w:val="auto"/>
        </w:rPr>
      </w:pPr>
    </w:p>
    <w:p>
      <w:pPr>
        <w:ind w:left="720"/>
        <w:spacing w:after="0"/>
        <w:rPr>
          <w:sz w:val="20"/>
          <w:szCs w:val="20"/>
          <w:color w:val="auto"/>
        </w:rPr>
      </w:pPr>
      <w:r>
        <w:rPr>
          <w:rFonts w:ascii="Calibri" w:cs="Calibri" w:eastAsia="Calibri" w:hAnsi="Calibri"/>
          <w:sz w:val="22"/>
          <w:szCs w:val="22"/>
          <w:color w:val="auto"/>
        </w:rPr>
        <w:t>[Figure 1 about here]</w:t>
      </w:r>
    </w:p>
    <w:p>
      <w:pPr>
        <w:spacing w:after="0" w:line="344" w:lineRule="exact"/>
        <w:rPr>
          <w:sz w:val="20"/>
          <w:szCs w:val="20"/>
          <w:color w:val="auto"/>
        </w:rPr>
      </w:pPr>
    </w:p>
    <w:p>
      <w:pPr>
        <w:ind w:right="40" w:firstLine="720"/>
        <w:spacing w:after="0" w:line="348" w:lineRule="auto"/>
        <w:rPr>
          <w:sz w:val="20"/>
          <w:szCs w:val="20"/>
          <w:color w:val="auto"/>
        </w:rPr>
      </w:pPr>
      <w:r>
        <w:rPr>
          <w:rFonts w:ascii="Calibri" w:cs="Calibri" w:eastAsia="Calibri" w:hAnsi="Calibri"/>
          <w:sz w:val="22"/>
          <w:szCs w:val="22"/>
          <w:color w:val="auto"/>
        </w:rPr>
        <w:t>Theater also has the attractive property that it is possible to measure “real outcomes” in a manner that is independent of the funding decision, by learning about the commercial performance or critical reviews of projects following the Kickstarter campaign. Although some of these data are noisy, they help shed some light on whether the real outcomes also correlate with funding decisions. They are also especially useful in addressing whether projects attempt to deliver their promised outcomes.</w:t>
      </w:r>
    </w:p>
    <w:p>
      <w:pPr>
        <w:spacing w:after="0" w:line="228" w:lineRule="exact"/>
        <w:rPr>
          <w:sz w:val="20"/>
          <w:szCs w:val="20"/>
          <w:color w:val="auto"/>
        </w:rPr>
      </w:pPr>
    </w:p>
    <w:p>
      <w:pPr>
        <w:ind w:right="180" w:firstLine="720"/>
        <w:spacing w:after="0" w:line="352" w:lineRule="auto"/>
        <w:rPr>
          <w:sz w:val="20"/>
          <w:szCs w:val="20"/>
          <w:color w:val="auto"/>
        </w:rPr>
      </w:pPr>
      <w:r>
        <w:rPr>
          <w:rFonts w:ascii="Calibri" w:cs="Calibri" w:eastAsia="Calibri" w:hAnsi="Calibri"/>
          <w:sz w:val="22"/>
          <w:szCs w:val="22"/>
          <w:color w:val="auto"/>
        </w:rPr>
        <w:t>We restrict our attention to Kickstarter projects that were aiming to raise at least $10,000 in funding. The funding goal of at least $10,000 focuses on the subset of applicants whose ambitions and goals are more closely aligned with those applying for funding from traditional sources such as the National Endowment for the Arts, as well as several other grant making organizations for theater. To put this in perspective, the NEA made 1,083 grants in the first round of funding for FY 2014, with an average grants size of around $24,000. The average funding goal for projects in our sample is $20,500, with the largest goal for successful projects being $75,000.</w:t>
      </w:r>
    </w:p>
    <w:p>
      <w:pPr>
        <w:spacing w:after="0" w:line="221" w:lineRule="exact"/>
        <w:rPr>
          <w:sz w:val="20"/>
          <w:szCs w:val="20"/>
          <w:color w:val="auto"/>
        </w:rPr>
      </w:pPr>
    </w:p>
    <w:p>
      <w:pPr>
        <w:ind w:right="40" w:firstLine="720"/>
        <w:spacing w:after="0" w:line="344" w:lineRule="auto"/>
        <w:rPr>
          <w:sz w:val="20"/>
          <w:szCs w:val="20"/>
          <w:color w:val="auto"/>
        </w:rPr>
      </w:pPr>
      <w:r>
        <w:rPr>
          <w:rFonts w:ascii="Calibri" w:cs="Calibri" w:eastAsia="Calibri" w:hAnsi="Calibri"/>
          <w:sz w:val="22"/>
          <w:szCs w:val="22"/>
          <w:color w:val="auto"/>
        </w:rPr>
        <w:t>For experts, we draw on the experience of 30 judges who have deep and extensive knowledge of theater, as evidenced by their background in evaluating theater applications for national grant making bodies such as the National Endowment for the Arts</w:t>
      </w:r>
      <w:r>
        <w:rPr>
          <w:rFonts w:ascii="Calibri" w:cs="Calibri" w:eastAsia="Calibri" w:hAnsi="Calibri"/>
          <w:sz w:val="27"/>
          <w:szCs w:val="27"/>
          <w:color w:val="auto"/>
          <w:vertAlign w:val="superscript"/>
        </w:rPr>
        <w:t>2</w:t>
      </w:r>
      <w:r>
        <w:rPr>
          <w:rFonts w:ascii="Calibri" w:cs="Calibri" w:eastAsia="Calibri" w:hAnsi="Calibri"/>
          <w:sz w:val="22"/>
          <w:szCs w:val="22"/>
          <w:color w:val="auto"/>
        </w:rPr>
        <w:t xml:space="preserve"> ). We asked each of these judges to evaluate 6 projects, 3 of which were successes and 3 of which were failures. We were able to strip out any data on the outcome of the project, but still render the projects, including videos, for the judges in a manner that was equivalent to the display on Kickstarter (including fonts, graphics, typographic errors, etc.) This not only allows us to have a representative set of applications for funding (rather than just evaluating the successful cases), but also allows us to display the applications similar to the way that the crowds viewed them, and hence evaluated them.</w:t>
      </w:r>
    </w:p>
    <w:p>
      <w:pPr>
        <w:spacing w:after="0" w:line="236" w:lineRule="exact"/>
        <w:rPr>
          <w:sz w:val="20"/>
          <w:szCs w:val="20"/>
          <w:color w:val="auto"/>
        </w:rPr>
      </w:pPr>
    </w:p>
    <w:p>
      <w:pPr>
        <w:ind w:right="40" w:firstLine="720"/>
        <w:spacing w:after="0" w:line="316" w:lineRule="auto"/>
        <w:rPr>
          <w:sz w:val="20"/>
          <w:szCs w:val="20"/>
          <w:color w:val="auto"/>
        </w:rPr>
      </w:pPr>
      <w:r>
        <w:rPr>
          <w:rFonts w:ascii="Calibri" w:cs="Calibri" w:eastAsia="Calibri" w:hAnsi="Calibri"/>
          <w:sz w:val="22"/>
          <w:szCs w:val="22"/>
          <w:color w:val="auto"/>
        </w:rPr>
        <w:t>Evaluations were conducted using an online survey instrument derived from extensive interviews and testing with individuals who had been involved in judging for the NEA. We identified five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367665</wp:posOffset>
                </wp:positionV>
                <wp:extent cx="182880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8.95pt" to="144pt,28.95pt" o:allowincell="f" strokecolor="#000000" strokeweight="0.71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right="280"/>
        <w:spacing w:after="0" w:line="225" w:lineRule="auto"/>
        <w:tabs>
          <w:tab w:leader="none" w:pos="110" w:val="left"/>
        </w:tabs>
        <w:numPr>
          <w:ilvl w:val="0"/>
          <w:numId w:val="4"/>
        </w:numPr>
        <w:rPr>
          <w:rFonts w:ascii="Calibri" w:cs="Calibri" w:eastAsia="Calibri" w:hAnsi="Calibri"/>
          <w:sz w:val="26"/>
          <w:szCs w:val="26"/>
          <w:color w:val="auto"/>
          <w:vertAlign w:val="superscript"/>
        </w:rPr>
      </w:pPr>
      <w:r>
        <w:rPr>
          <w:rFonts w:ascii="Calibri" w:cs="Calibri" w:eastAsia="Calibri" w:hAnsi="Calibri"/>
          <w:sz w:val="20"/>
          <w:szCs w:val="20"/>
          <w:color w:val="auto"/>
        </w:rPr>
        <w:t>Judges have served on a mean of 5 panels each for national theater prizes and awards. All judges were also involved in theater, either as critics, artistic directors, dramaturges, theater managers, or in some other role. In addition to the NEA, judges had been part of panels for the Mellon Foundation, the Doris Duke Charitable Trust, and other major theater prizes and grant-making bodies.</w:t>
      </w:r>
    </w:p>
    <w:p>
      <w:pPr>
        <w:spacing w:after="0" w:line="160"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11</w:t>
      </w:r>
    </w:p>
    <w:p>
      <w:pPr>
        <w:sectPr>
          <w:pgSz w:w="12240" w:h="15840" w:orient="portrait"/>
          <w:cols w:equalWidth="0" w:num="1">
            <w:col w:w="9360"/>
          </w:cols>
          <w:pgMar w:left="1440" w:top="1440" w:right="1440" w:bottom="474" w:gutter="0" w:footer="0" w:header="0"/>
        </w:sectPr>
      </w:pPr>
    </w:p>
    <w:bookmarkStart w:id="12" w:name="page13"/>
    <w:bookmarkEnd w:id="12"/>
    <w:p>
      <w:pPr>
        <w:spacing w:after="0" w:line="41" w:lineRule="exact"/>
        <w:rPr>
          <w:sz w:val="20"/>
          <w:szCs w:val="20"/>
          <w:color w:val="auto"/>
        </w:rPr>
      </w:pPr>
    </w:p>
    <w:p>
      <w:pPr>
        <w:ind w:right="120"/>
        <w:spacing w:after="0" w:line="355" w:lineRule="auto"/>
        <w:rPr>
          <w:sz w:val="20"/>
          <w:szCs w:val="20"/>
          <w:color w:val="auto"/>
        </w:rPr>
      </w:pPr>
      <w:r>
        <w:rPr>
          <w:rFonts w:ascii="Calibri" w:cs="Calibri" w:eastAsia="Calibri" w:hAnsi="Calibri"/>
          <w:sz w:val="22"/>
          <w:szCs w:val="22"/>
          <w:color w:val="auto"/>
        </w:rPr>
        <w:t>key criteria, and asked three questions about each, using a Likert scale from 1 to 5, with 5 being “Strongly Agree.” The five criteria we evaluated were: novelty (example: “This project is original”), feasibility (example: “This project can be implemented with the resources in the proposal”), quality (example: “The proposal for the project is of high quality “), reach (examples: “This project would reach a diverse audience” and “This project would be commercially viable/profitable”), and social relevance (example: “Assuming it was completed as planned, this project would advance a cultural, political, or artistic dialogue”). The Appendix contains the full list of questions as well as details on the survey instrument. Additionally, we showed judges the goal of the Kickstarter project in question, and asked “How much do you think this project should be funded for, in dollars? Answer 0 if you do not think it should be funded. Assume you have enough budget to fully fund all of the projects in the survey.” We also asked judges to list the best and worst projects of those that they had seen.</w:t>
      </w:r>
    </w:p>
    <w:p>
      <w:pPr>
        <w:spacing w:after="0" w:line="223" w:lineRule="exact"/>
        <w:rPr>
          <w:sz w:val="20"/>
          <w:szCs w:val="20"/>
          <w:color w:val="auto"/>
        </w:rPr>
      </w:pPr>
    </w:p>
    <w:p>
      <w:pPr>
        <w:ind w:right="260" w:firstLine="720"/>
        <w:spacing w:after="0" w:line="348" w:lineRule="auto"/>
        <w:rPr>
          <w:sz w:val="20"/>
          <w:szCs w:val="20"/>
          <w:color w:val="auto"/>
        </w:rPr>
      </w:pPr>
      <w:r>
        <w:rPr>
          <w:rFonts w:ascii="Calibri" w:cs="Calibri" w:eastAsia="Calibri" w:hAnsi="Calibri"/>
          <w:sz w:val="22"/>
          <w:szCs w:val="22"/>
          <w:color w:val="auto"/>
        </w:rPr>
        <w:t>We generated a stratified random sample of theater projects that attempted to raise at least $10,000 on the Kickstarter platform between May, 2009 and June 2012. We focused our attention on projects that were raising money for a specific performance, as opposed to efforts such as fundraising for building a new theater. Again, this was to match the types of proposals typically seen in national grant competitions.</w:t>
      </w:r>
    </w:p>
    <w:p>
      <w:pPr>
        <w:spacing w:after="0" w:line="227" w:lineRule="exact"/>
        <w:rPr>
          <w:sz w:val="20"/>
          <w:szCs w:val="20"/>
          <w:color w:val="auto"/>
        </w:rPr>
      </w:pPr>
    </w:p>
    <w:p>
      <w:pPr>
        <w:ind w:right="220" w:firstLine="720"/>
        <w:spacing w:after="0" w:line="339" w:lineRule="auto"/>
        <w:rPr>
          <w:sz w:val="20"/>
          <w:szCs w:val="20"/>
          <w:color w:val="auto"/>
        </w:rPr>
      </w:pPr>
      <w:r>
        <w:rPr>
          <w:rFonts w:ascii="Calibri" w:cs="Calibri" w:eastAsia="Calibri" w:hAnsi="Calibri"/>
          <w:sz w:val="22"/>
          <w:szCs w:val="22"/>
          <w:color w:val="auto"/>
        </w:rPr>
        <w:t>There were 257 projects that met our criteria, from which we randomly selected 120. Specifically, we created 20 “sets” of 6 projects each, where each set was comprised of 3 projects that failed to reach their funding goal, 2 projects that achieved their goal and 1 project that exceeded its funding goal</w:t>
      </w:r>
      <w:r>
        <w:rPr>
          <w:rFonts w:ascii="Calibri" w:cs="Calibri" w:eastAsia="Calibri" w:hAnsi="Calibri"/>
          <w:sz w:val="27"/>
          <w:szCs w:val="27"/>
          <w:color w:val="auto"/>
          <w:vertAlign w:val="superscript"/>
        </w:rPr>
        <w:t>3</w:t>
      </w:r>
      <w:r>
        <w:rPr>
          <w:rFonts w:ascii="Calibri" w:cs="Calibri" w:eastAsia="Calibri" w:hAnsi="Calibri"/>
          <w:sz w:val="22"/>
          <w:szCs w:val="22"/>
          <w:color w:val="auto"/>
        </w:rPr>
        <w:t>. Hence, our stratified random sample consisted of 60 failed projects (from a total of 141 failed projects), 40 projects that just met their goal (from a total of 85 such projects) and 20 projects that exceeded their goal (from a total of 31 such projects). Each set of 6 projects was then randomly assigned to a judge, who evaluated the six projects on a range of criteria described above.</w:t>
      </w:r>
    </w:p>
    <w:p>
      <w:pPr>
        <w:spacing w:after="0" w:line="237" w:lineRule="exact"/>
        <w:rPr>
          <w:sz w:val="20"/>
          <w:szCs w:val="20"/>
          <w:color w:val="auto"/>
        </w:rPr>
      </w:pPr>
    </w:p>
    <w:p>
      <w:pPr>
        <w:ind w:right="140" w:firstLine="720"/>
        <w:spacing w:after="0" w:line="349" w:lineRule="auto"/>
        <w:rPr>
          <w:sz w:val="20"/>
          <w:szCs w:val="20"/>
          <w:color w:val="auto"/>
        </w:rPr>
      </w:pPr>
      <w:r>
        <w:rPr>
          <w:rFonts w:ascii="Calibri" w:cs="Calibri" w:eastAsia="Calibri" w:hAnsi="Calibri"/>
          <w:sz w:val="22"/>
          <w:szCs w:val="22"/>
          <w:color w:val="auto"/>
        </w:rPr>
        <w:t>It is worth pointing out that since projects were randomly assigned to sets, and judges were randomly assigned, our objective was to ensure that once a judge agreed to evaluate the projects, they did a diligent job in their evaluation (rather than to ensure a high ‘response rate’ in terms of judges agreeing to evaluate our projects as might be a standard concern in other surveys). We incentivized judges with a $50 gift certificate for completing the survey, helping us gain the participation of the high</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367665</wp:posOffset>
                </wp:positionV>
                <wp:extent cx="182880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8.95pt" to="144pt,28.95pt" o:allowincell="f" strokecolor="#000000" strokeweight="0.72pt"/>
            </w:pict>
          </mc:Fallback>
        </mc:AlternateContent>
      </w:r>
    </w:p>
    <w:p>
      <w:pPr>
        <w:spacing w:after="0" w:line="200" w:lineRule="exact"/>
        <w:rPr>
          <w:sz w:val="20"/>
          <w:szCs w:val="20"/>
          <w:color w:val="auto"/>
        </w:rPr>
      </w:pPr>
    </w:p>
    <w:p>
      <w:pPr>
        <w:spacing w:after="0" w:line="391" w:lineRule="exact"/>
        <w:rPr>
          <w:sz w:val="20"/>
          <w:szCs w:val="20"/>
          <w:color w:val="auto"/>
        </w:rPr>
      </w:pPr>
    </w:p>
    <w:p>
      <w:pPr>
        <w:ind w:left="120" w:hanging="120"/>
        <w:spacing w:after="0"/>
        <w:tabs>
          <w:tab w:leader="none" w:pos="120" w:val="left"/>
        </w:tabs>
        <w:numPr>
          <w:ilvl w:val="0"/>
          <w:numId w:val="5"/>
        </w:numPr>
        <w:rPr>
          <w:rFonts w:ascii="Calibri" w:cs="Calibri" w:eastAsia="Calibri" w:hAnsi="Calibri"/>
          <w:sz w:val="26"/>
          <w:szCs w:val="26"/>
          <w:color w:val="auto"/>
          <w:vertAlign w:val="superscript"/>
        </w:rPr>
      </w:pPr>
      <w:r>
        <w:rPr>
          <w:rFonts w:ascii="Calibri" w:cs="Calibri" w:eastAsia="Calibri" w:hAnsi="Calibri"/>
          <w:sz w:val="20"/>
          <w:szCs w:val="20"/>
          <w:color w:val="auto"/>
        </w:rPr>
        <w:t>We defined exceeding the funding goal as raising over 10% more than the ideal goal.</w:t>
      </w:r>
    </w:p>
    <w:p>
      <w:pPr>
        <w:spacing w:after="0" w:line="200" w:lineRule="exact"/>
        <w:rPr>
          <w:sz w:val="20"/>
          <w:szCs w:val="20"/>
          <w:color w:val="auto"/>
        </w:rPr>
      </w:pPr>
    </w:p>
    <w:p>
      <w:pPr>
        <w:spacing w:after="0" w:line="226"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12</w:t>
      </w:r>
    </w:p>
    <w:p>
      <w:pPr>
        <w:sectPr>
          <w:pgSz w:w="12240" w:h="15840" w:orient="portrait"/>
          <w:cols w:equalWidth="0" w:num="1">
            <w:col w:w="9360"/>
          </w:cols>
          <w:pgMar w:left="1440" w:top="1440" w:right="1440" w:bottom="474" w:gutter="0" w:footer="0" w:header="0"/>
        </w:sectPr>
      </w:pPr>
    </w:p>
    <w:bookmarkStart w:id="13" w:name="page14"/>
    <w:bookmarkEnd w:id="13"/>
    <w:p>
      <w:pPr>
        <w:spacing w:after="0" w:line="41" w:lineRule="exact"/>
        <w:rPr>
          <w:sz w:val="20"/>
          <w:szCs w:val="20"/>
          <w:color w:val="auto"/>
        </w:rPr>
      </w:pPr>
    </w:p>
    <w:p>
      <w:pPr>
        <w:spacing w:after="0" w:line="347" w:lineRule="auto"/>
        <w:rPr>
          <w:sz w:val="20"/>
          <w:szCs w:val="20"/>
          <w:color w:val="auto"/>
        </w:rPr>
      </w:pPr>
      <w:r>
        <w:rPr>
          <w:rFonts w:ascii="Calibri" w:cs="Calibri" w:eastAsia="Calibri" w:hAnsi="Calibri"/>
          <w:sz w:val="22"/>
          <w:szCs w:val="22"/>
          <w:color w:val="auto"/>
        </w:rPr>
        <w:t>quality experts we required for our test. The quality of the responses is measurable in a number of ways. First, we note that there were virtually no missing values in the responses from the judges, so that there is no response bias in our results.</w:t>
      </w:r>
      <w:r>
        <w:rPr>
          <w:rFonts w:ascii="Calibri" w:cs="Calibri" w:eastAsia="Calibri" w:hAnsi="Calibri"/>
          <w:sz w:val="27"/>
          <w:szCs w:val="27"/>
          <w:color w:val="auto"/>
          <w:vertAlign w:val="superscript"/>
        </w:rPr>
        <w:t>4</w:t>
      </w:r>
      <w:r>
        <w:rPr>
          <w:rFonts w:ascii="Calibri" w:cs="Calibri" w:eastAsia="Calibri" w:hAnsi="Calibri"/>
          <w:sz w:val="22"/>
          <w:szCs w:val="22"/>
          <w:color w:val="auto"/>
        </w:rPr>
        <w:t xml:space="preserve"> Second, half the sets (that is 60 projects) were randomly assigned to a second judge for evaluation. Using a squared weighting scheme appropriate for subjective scoring (Cohen, 1968), the kappa statistic which measures the inter-rater agreement for these judges was 0.44. The Z statistic was 7.14, strongly rejecting the hypothesis that the scores were generated at random. While the kappa statistic of 0.44 suggests moderate agreement among the judges, it is worth noting that theater projects have an inherent element of subjectivity to them. Given this, we are reassured that there is a strong and consistent signal that seems to emerge from the judges’ evaluations of the projects. Also, as will be discussed, we use a variety of methods of measuring the judge’s responses to proposed projects, and find the decisions to be robust across these approaches.</w:t>
      </w:r>
    </w:p>
    <w:p>
      <w:pPr>
        <w:spacing w:after="0" w:line="233" w:lineRule="exact"/>
        <w:rPr>
          <w:sz w:val="20"/>
          <w:szCs w:val="20"/>
          <w:color w:val="auto"/>
        </w:rPr>
      </w:pPr>
    </w:p>
    <w:p>
      <w:pPr>
        <w:ind w:right="80" w:firstLine="720"/>
        <w:spacing w:after="0" w:line="355" w:lineRule="auto"/>
        <w:rPr>
          <w:sz w:val="20"/>
          <w:szCs w:val="20"/>
          <w:color w:val="auto"/>
        </w:rPr>
      </w:pPr>
      <w:r>
        <w:rPr>
          <w:rFonts w:ascii="Calibri" w:cs="Calibri" w:eastAsia="Calibri" w:hAnsi="Calibri"/>
          <w:sz w:val="22"/>
          <w:szCs w:val="22"/>
          <w:color w:val="auto"/>
        </w:rPr>
        <w:t>Overall, our research design aims to combine the expertise of real judges for traditional grant making bodies with a sample of applications from a crowd funding platform that reduces, if not eliminates, many of the concerns about selection that were outlined above. On a qualitative dimension, feedback from our survey participants suggested that there was reasonable overlap in the types of projects applying for funding through Kickstarter and the types that they had judged for in the past. In addition, many judging bodies, including the National Endowment for the Arts, are moving towards a system where judges have electronic access to applications, in part to be able to view videos that provide much richer information on the application in a short amount of time. This reduces concern that the mode of information dissemination is foreign to the judges although we cannot rule out that specific projects were presented in a mode that was alien to judges. We address this specific issue in Sections 5 and 6, below.</w:t>
      </w:r>
    </w:p>
    <w:p>
      <w:pPr>
        <w:spacing w:after="0" w:line="222" w:lineRule="exact"/>
        <w:rPr>
          <w:sz w:val="20"/>
          <w:szCs w:val="20"/>
          <w:color w:val="auto"/>
        </w:rPr>
      </w:pPr>
    </w:p>
    <w:p>
      <w:pPr>
        <w:ind w:right="200" w:firstLine="720"/>
        <w:spacing w:after="0" w:line="352" w:lineRule="auto"/>
        <w:rPr>
          <w:sz w:val="20"/>
          <w:szCs w:val="20"/>
          <w:color w:val="auto"/>
        </w:rPr>
      </w:pPr>
      <w:r>
        <w:rPr>
          <w:rFonts w:ascii="Calibri" w:cs="Calibri" w:eastAsia="Calibri" w:hAnsi="Calibri"/>
          <w:sz w:val="22"/>
          <w:szCs w:val="22"/>
          <w:color w:val="auto"/>
        </w:rPr>
        <w:t>We also conducted a second survey in which we contacted the creators of the 60 successful projects in our sample to determine the longer-term outcomes of their project. We used a modified version of a previously applied questionnaire [self-identifying citation omitted], and asked for a variety of qualitative and quantitative outcomes, including information about the audience of play as well as critical reviews. We supplemented this information with additional online searches, using Factiva and Google, to find other reviews of the productions funded through Kickstarter. Together, this material provides rich data on project outcomes along a variety of dimensions.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384175</wp:posOffset>
                </wp:positionV>
                <wp:extent cx="182880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0.25pt" to="144pt,30.25pt" o:allowincell="f" strokecolor="#000000" strokeweight="0.72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120" w:hanging="120"/>
        <w:spacing w:after="0"/>
        <w:tabs>
          <w:tab w:leader="none" w:pos="120" w:val="left"/>
        </w:tabs>
        <w:numPr>
          <w:ilvl w:val="0"/>
          <w:numId w:val="6"/>
        </w:numPr>
        <w:rPr>
          <w:rFonts w:ascii="Calibri" w:cs="Calibri" w:eastAsia="Calibri" w:hAnsi="Calibri"/>
          <w:sz w:val="26"/>
          <w:szCs w:val="26"/>
          <w:color w:val="auto"/>
          <w:vertAlign w:val="superscript"/>
        </w:rPr>
      </w:pPr>
      <w:r>
        <w:rPr>
          <w:rFonts w:ascii="Calibri" w:cs="Calibri" w:eastAsia="Calibri" w:hAnsi="Calibri"/>
          <w:sz w:val="20"/>
          <w:szCs w:val="20"/>
          <w:color w:val="auto"/>
        </w:rPr>
        <w:t>One judge omitted some fields on one of the 6 projects that s/he evaluated.</w:t>
      </w:r>
    </w:p>
    <w:p>
      <w:pPr>
        <w:spacing w:after="0" w:line="157"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13</w:t>
      </w:r>
    </w:p>
    <w:p>
      <w:pPr>
        <w:sectPr>
          <w:pgSz w:w="12240" w:h="15840" w:orient="portrait"/>
          <w:cols w:equalWidth="0" w:num="1">
            <w:col w:w="9360"/>
          </w:cols>
          <w:pgMar w:left="1440" w:top="1440" w:right="1440" w:bottom="474" w:gutter="0" w:footer="0" w:header="0"/>
        </w:sectPr>
      </w:pPr>
    </w:p>
    <w:bookmarkStart w:id="14" w:name="page15"/>
    <w:bookmarkEnd w:id="14"/>
    <w:p>
      <w:pPr>
        <w:spacing w:after="0" w:line="200" w:lineRule="exact"/>
        <w:rPr>
          <w:sz w:val="20"/>
          <w:szCs w:val="20"/>
          <w:color w:val="auto"/>
        </w:rPr>
      </w:pPr>
    </w:p>
    <w:p>
      <w:pPr>
        <w:spacing w:after="0" w:line="359" w:lineRule="exact"/>
        <w:rPr>
          <w:sz w:val="20"/>
          <w:szCs w:val="20"/>
          <w:color w:val="auto"/>
        </w:rPr>
      </w:pPr>
    </w:p>
    <w:p>
      <w:pPr>
        <w:ind w:left="360"/>
        <w:spacing w:after="0"/>
        <w:rPr>
          <w:sz w:val="20"/>
          <w:szCs w:val="20"/>
          <w:color w:val="auto"/>
        </w:rPr>
      </w:pPr>
      <w:r>
        <w:rPr>
          <w:rFonts w:ascii="Calibri" w:cs="Calibri" w:eastAsia="Calibri" w:hAnsi="Calibri"/>
          <w:sz w:val="28"/>
          <w:szCs w:val="28"/>
          <w:b w:val="1"/>
          <w:bCs w:val="1"/>
          <w:color w:val="auto"/>
        </w:rPr>
        <w:t>4. Data</w:t>
      </w:r>
    </w:p>
    <w:p>
      <w:pPr>
        <w:spacing w:after="0" w:line="376" w:lineRule="exact"/>
        <w:rPr>
          <w:sz w:val="20"/>
          <w:szCs w:val="20"/>
          <w:color w:val="auto"/>
        </w:rPr>
      </w:pPr>
    </w:p>
    <w:p>
      <w:pPr>
        <w:ind w:right="20" w:firstLine="720"/>
        <w:spacing w:after="0" w:line="354" w:lineRule="auto"/>
        <w:rPr>
          <w:sz w:val="20"/>
          <w:szCs w:val="20"/>
          <w:color w:val="auto"/>
        </w:rPr>
      </w:pPr>
      <w:r>
        <w:rPr>
          <w:rFonts w:ascii="Calibri" w:cs="Calibri" w:eastAsia="Calibri" w:hAnsi="Calibri"/>
          <w:sz w:val="22"/>
          <w:szCs w:val="22"/>
          <w:color w:val="auto"/>
        </w:rPr>
        <w:t>Since 10 sets of projects were evaluated by two judges each and the other 10 evaluated by one judge, we have a total of 180 evaluations for the 120 projects. For each response, we have basic information on the background of judges, such as their main affiliation with the theater community (academic, actor, critic, director, writer or other) and the number of national grant making institutions they have judged for in the past. For each project in the set that the judge evaluates, we have information on the judge’s familiarity with the project, their rating of the project’s novelty, relevance to the community, quality, feasibility and commercial viability. We also provide the judges with the funding goal of the project and ask them how much they would be willing to allocate to the given project, assuming they were not constrained in terms of the total funding they needed to allocate.</w:t>
      </w:r>
    </w:p>
    <w:p>
      <w:pPr>
        <w:spacing w:after="0" w:line="220" w:lineRule="exact"/>
        <w:rPr>
          <w:sz w:val="20"/>
          <w:szCs w:val="20"/>
          <w:color w:val="auto"/>
        </w:rPr>
      </w:pPr>
    </w:p>
    <w:p>
      <w:pPr>
        <w:ind w:right="40" w:firstLine="720"/>
        <w:spacing w:after="0" w:line="357" w:lineRule="auto"/>
        <w:rPr>
          <w:sz w:val="20"/>
          <w:szCs w:val="20"/>
          <w:color w:val="auto"/>
        </w:rPr>
      </w:pPr>
      <w:r>
        <w:rPr>
          <w:rFonts w:ascii="Calibri" w:cs="Calibri" w:eastAsia="Calibri" w:hAnsi="Calibri"/>
          <w:sz w:val="22"/>
          <w:szCs w:val="22"/>
          <w:color w:val="auto"/>
        </w:rPr>
        <w:t>These 180 responses form the core of the data we use for this paper. However, we have two other sets of data that we match to the 120 projects. First, we have data on the attributes of the projects and their fundraising process on Kickstarter. For example, we know the location of the individual raising the funds, the number of individuals who pledged funding, and the total amount that was pledged (even when the goal was not successful), as well as the number of distinct reward levels that were developed to induce participation by the crowd. We also coded the number of videos and photographs the project displayed. Second, we have aimed to collect long-term outcome information on the projects, both through the survey of project founders and through web searches. The objective here is to try and codify the degree to which the individuals themselves, as well as external observers, deemed these projects to be commercial and artistic successes. These data are much more likely to be present for projects that were successful, so our main comparison is between projects that were funded by the crowd and were rated highly by experts and those that the crowd funded but were rated poorly by the experts. Our follow up survey of the Kickstarter projects that were successful yielded a 53% response rate (32 of the 60 projects), of which 28 completed all of the needed data, a high rate for web-based surveys (Kriauciunas, Parmigiani, &amp; Rivera-Santos, 2011). Further, we find no observable differences in the attributes of the projects for which there was a response and for which there was none. We use these survey responses to compare the longer term outcome of these funded projects. In addition to the survey results, we have attempted to code the degree of artistic success for these projects, using critical reviews in the press.</w:t>
      </w:r>
    </w:p>
    <w:p>
      <w:pPr>
        <w:spacing w:after="0" w:line="200" w:lineRule="exact"/>
        <w:rPr>
          <w:sz w:val="20"/>
          <w:szCs w:val="20"/>
          <w:color w:val="auto"/>
        </w:rPr>
      </w:pPr>
    </w:p>
    <w:p>
      <w:pPr>
        <w:spacing w:after="0" w:line="240"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14</w:t>
      </w:r>
    </w:p>
    <w:p>
      <w:pPr>
        <w:sectPr>
          <w:pgSz w:w="12240" w:h="15840" w:orient="portrait"/>
          <w:cols w:equalWidth="0" w:num="1">
            <w:col w:w="9360"/>
          </w:cols>
          <w:pgMar w:left="1440" w:top="1440" w:right="1440" w:bottom="474" w:gutter="0" w:footer="0" w:header="0"/>
        </w:sectPr>
      </w:pPr>
    </w:p>
    <w:bookmarkStart w:id="15" w:name="page16"/>
    <w:bookmarkEnd w:id="15"/>
    <w:p>
      <w:pPr>
        <w:spacing w:after="0" w:line="200" w:lineRule="exact"/>
        <w:rPr>
          <w:sz w:val="20"/>
          <w:szCs w:val="20"/>
          <w:color w:val="auto"/>
        </w:rPr>
      </w:pPr>
    </w:p>
    <w:p>
      <w:pPr>
        <w:spacing w:after="0" w:line="359" w:lineRule="exact"/>
        <w:rPr>
          <w:sz w:val="20"/>
          <w:szCs w:val="20"/>
          <w:color w:val="auto"/>
        </w:rPr>
      </w:pPr>
    </w:p>
    <w:p>
      <w:pPr>
        <w:ind w:left="360"/>
        <w:spacing w:after="0"/>
        <w:rPr>
          <w:sz w:val="20"/>
          <w:szCs w:val="20"/>
          <w:color w:val="auto"/>
        </w:rPr>
      </w:pPr>
      <w:r>
        <w:rPr>
          <w:rFonts w:ascii="Calibri" w:cs="Calibri" w:eastAsia="Calibri" w:hAnsi="Calibri"/>
          <w:sz w:val="28"/>
          <w:szCs w:val="28"/>
          <w:b w:val="1"/>
          <w:bCs w:val="1"/>
          <w:color w:val="auto"/>
        </w:rPr>
        <w:t>5. Results</w:t>
      </w:r>
    </w:p>
    <w:p>
      <w:pPr>
        <w:spacing w:after="0" w:line="376" w:lineRule="exact"/>
        <w:rPr>
          <w:sz w:val="20"/>
          <w:szCs w:val="20"/>
          <w:color w:val="auto"/>
        </w:rPr>
      </w:pPr>
    </w:p>
    <w:p>
      <w:pPr>
        <w:ind w:right="20" w:firstLine="720"/>
        <w:spacing w:after="0" w:line="355" w:lineRule="auto"/>
        <w:rPr>
          <w:sz w:val="20"/>
          <w:szCs w:val="20"/>
          <w:color w:val="auto"/>
        </w:rPr>
      </w:pPr>
      <w:r>
        <w:rPr>
          <w:rFonts w:ascii="Calibri" w:cs="Calibri" w:eastAsia="Calibri" w:hAnsi="Calibri"/>
          <w:sz w:val="22"/>
          <w:szCs w:val="22"/>
          <w:color w:val="auto"/>
        </w:rPr>
        <w:t>We start by outlining descriptive statistics on the projects in Table 1. Table 1 compares the evaluations of projects that achieved their funding goal on Kickstarter with those that did not succeed. The judges seem to consistently rate the successful projects higher than those that did not achieve their funding goal. Since there are 6 projects in each set, the probability that one of them will be ranked either the best or the worst is 1/6. However, Table 1 shows that projects that were funded by the crowds were twice as likely to be ranked as the best project, while those that were unsuccessful were more than two times as likely to be ranked as the worst project by judges. Finally, even though judges were told that should provide a hypothetical funding as if they were unconstrained in allocating funds to projects, they greatly favored projects supported by the crowd, allocating an average of 1.5 times more funds to successful projects than those that were unsuccessful.</w:t>
      </w:r>
    </w:p>
    <w:p>
      <w:pPr>
        <w:spacing w:after="0" w:line="167" w:lineRule="exact"/>
        <w:rPr>
          <w:sz w:val="20"/>
          <w:szCs w:val="20"/>
          <w:color w:val="auto"/>
        </w:rPr>
      </w:pPr>
    </w:p>
    <w:p>
      <w:pPr>
        <w:ind w:left="720"/>
        <w:spacing w:after="0"/>
        <w:rPr>
          <w:sz w:val="20"/>
          <w:szCs w:val="20"/>
          <w:color w:val="auto"/>
        </w:rPr>
      </w:pPr>
      <w:r>
        <w:rPr>
          <w:rFonts w:ascii="Calibri" w:cs="Calibri" w:eastAsia="Calibri" w:hAnsi="Calibri"/>
          <w:sz w:val="22"/>
          <w:szCs w:val="22"/>
          <w:color w:val="auto"/>
        </w:rPr>
        <w:t>[Table 1 about here]</w:t>
      </w:r>
    </w:p>
    <w:p>
      <w:pPr>
        <w:spacing w:after="0" w:line="293" w:lineRule="exact"/>
        <w:rPr>
          <w:sz w:val="20"/>
          <w:szCs w:val="20"/>
          <w:color w:val="auto"/>
        </w:rPr>
      </w:pPr>
    </w:p>
    <w:p>
      <w:pPr>
        <w:ind w:left="720"/>
        <w:spacing w:after="0"/>
        <w:rPr>
          <w:sz w:val="20"/>
          <w:szCs w:val="20"/>
          <w:color w:val="auto"/>
        </w:rPr>
      </w:pPr>
      <w:r>
        <w:rPr>
          <w:rFonts w:ascii="Calibri" w:cs="Calibri" w:eastAsia="Calibri" w:hAnsi="Calibri"/>
          <w:sz w:val="22"/>
          <w:szCs w:val="22"/>
          <w:color w:val="auto"/>
        </w:rPr>
        <w:t>[Figure 2 about here]</w:t>
      </w:r>
    </w:p>
    <w:p>
      <w:pPr>
        <w:spacing w:after="0" w:line="344" w:lineRule="exact"/>
        <w:rPr>
          <w:sz w:val="20"/>
          <w:szCs w:val="20"/>
          <w:color w:val="auto"/>
        </w:rPr>
      </w:pPr>
    </w:p>
    <w:p>
      <w:pPr>
        <w:ind w:right="20" w:firstLine="720"/>
        <w:spacing w:after="0" w:line="354" w:lineRule="auto"/>
        <w:rPr>
          <w:sz w:val="20"/>
          <w:szCs w:val="20"/>
          <w:color w:val="auto"/>
        </w:rPr>
      </w:pPr>
      <w:r>
        <w:rPr>
          <w:rFonts w:ascii="Calibri" w:cs="Calibri" w:eastAsia="Calibri" w:hAnsi="Calibri"/>
          <w:sz w:val="22"/>
          <w:szCs w:val="22"/>
          <w:color w:val="auto"/>
        </w:rPr>
        <w:t>There are two patterns that emerge from Table 1, which can be seen most clearly in Figure 2, which graphs the distribution of the judges combined scores for both successful and unsuccessful projects. First, there seems to be a strong and systematic positive correlation between the judgment of crowds and of experts: projects funded on Kickstarter are systematically evaluated as being better by experts. Second, this strong correlation does not tell the full story – the scores and the funding amounts proposed by the experts are not as stark as the decision about whether or not to fund projects, suggesting that there are projects that are funded on Kickstarter that do not seem to be highly rated by experts, and others that raised funding but were not as highly rated by experts. We probe these two patterns further in the following Tables.</w:t>
      </w:r>
    </w:p>
    <w:p>
      <w:pPr>
        <w:spacing w:after="0" w:line="171" w:lineRule="exact"/>
        <w:rPr>
          <w:sz w:val="20"/>
          <w:szCs w:val="20"/>
          <w:color w:val="auto"/>
        </w:rPr>
      </w:pPr>
    </w:p>
    <w:p>
      <w:pPr>
        <w:ind w:left="720"/>
        <w:spacing w:after="0"/>
        <w:rPr>
          <w:sz w:val="20"/>
          <w:szCs w:val="20"/>
          <w:color w:val="auto"/>
        </w:rPr>
      </w:pPr>
      <w:r>
        <w:rPr>
          <w:rFonts w:ascii="Calibri" w:cs="Calibri" w:eastAsia="Calibri" w:hAnsi="Calibri"/>
          <w:sz w:val="22"/>
          <w:szCs w:val="22"/>
          <w:color w:val="auto"/>
        </w:rPr>
        <w:t>[Table 2 about here]</w:t>
      </w:r>
    </w:p>
    <w:p>
      <w:pPr>
        <w:spacing w:after="0" w:line="345" w:lineRule="exact"/>
        <w:rPr>
          <w:sz w:val="20"/>
          <w:szCs w:val="20"/>
          <w:color w:val="auto"/>
        </w:rPr>
      </w:pPr>
    </w:p>
    <w:p>
      <w:pPr>
        <w:ind w:right="260" w:firstLine="720"/>
        <w:spacing w:after="0" w:line="348" w:lineRule="auto"/>
        <w:rPr>
          <w:sz w:val="20"/>
          <w:szCs w:val="20"/>
          <w:color w:val="auto"/>
        </w:rPr>
      </w:pPr>
      <w:r>
        <w:rPr>
          <w:rFonts w:ascii="Calibri" w:cs="Calibri" w:eastAsia="Calibri" w:hAnsi="Calibri"/>
          <w:sz w:val="22"/>
          <w:szCs w:val="22"/>
          <w:color w:val="auto"/>
        </w:rPr>
        <w:t>In Table 2, we investigate the robustness of the positive correlations between expert evaluations and crowd funding, using the results from the first judge who responded for each project. Columns 1-3 report the coefficients on OLS regressions, where the dependent variable is the average score assigned to a project by the judges. The main variable of interest is an indicator variable that takes a value of 1 for projects that either met or exceeded their funding goal. Column 1 of Table 2</w:t>
      </w:r>
    </w:p>
    <w:p>
      <w:pPr>
        <w:spacing w:after="0" w:line="205"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15</w:t>
      </w:r>
    </w:p>
    <w:p>
      <w:pPr>
        <w:sectPr>
          <w:pgSz w:w="12240" w:h="15840" w:orient="portrait"/>
          <w:cols w:equalWidth="0" w:num="1">
            <w:col w:w="9360"/>
          </w:cols>
          <w:pgMar w:left="1440" w:top="1440" w:right="1440" w:bottom="474" w:gutter="0" w:footer="0" w:header="0"/>
        </w:sectPr>
      </w:pPr>
    </w:p>
    <w:bookmarkStart w:id="16" w:name="page17"/>
    <w:bookmarkEnd w:id="16"/>
    <w:p>
      <w:pPr>
        <w:spacing w:after="0" w:line="41" w:lineRule="exact"/>
        <w:rPr>
          <w:sz w:val="20"/>
          <w:szCs w:val="20"/>
          <w:color w:val="auto"/>
        </w:rPr>
      </w:pPr>
    </w:p>
    <w:p>
      <w:pPr>
        <w:ind w:right="160"/>
        <w:spacing w:after="0" w:line="351" w:lineRule="auto"/>
        <w:rPr>
          <w:sz w:val="20"/>
          <w:szCs w:val="20"/>
          <w:color w:val="auto"/>
        </w:rPr>
      </w:pPr>
      <w:r>
        <w:rPr>
          <w:rFonts w:ascii="Calibri" w:cs="Calibri" w:eastAsia="Calibri" w:hAnsi="Calibri"/>
          <w:sz w:val="22"/>
          <w:szCs w:val="22"/>
          <w:color w:val="auto"/>
        </w:rPr>
        <w:t>reports the average scores of the two types of successful projects relative to the unsuccessful ones. Column 2 adds covariates related to the background of the judges, their experience with judging for grant-making foundations, and their prior familiarity with the specific projects in the survey they were asked to evaluate. Column 3 adds judge fixed effects to control for other fixed differences across judges, such as their average leniency or harshness, a bias in favor of or against theater projects raising money from the crowds, or a specific objective function they have for theater projects.</w:t>
      </w:r>
    </w:p>
    <w:p>
      <w:pPr>
        <w:spacing w:after="0" w:line="221" w:lineRule="exact"/>
        <w:rPr>
          <w:sz w:val="20"/>
          <w:szCs w:val="20"/>
          <w:color w:val="auto"/>
        </w:rPr>
      </w:pPr>
    </w:p>
    <w:p>
      <w:pPr>
        <w:ind w:right="300" w:firstLine="720"/>
        <w:spacing w:after="0" w:line="335" w:lineRule="auto"/>
        <w:rPr>
          <w:sz w:val="20"/>
          <w:szCs w:val="20"/>
          <w:color w:val="auto"/>
        </w:rPr>
      </w:pPr>
      <w:r>
        <w:rPr>
          <w:rFonts w:ascii="Calibri" w:cs="Calibri" w:eastAsia="Calibri" w:hAnsi="Calibri"/>
          <w:sz w:val="22"/>
          <w:szCs w:val="22"/>
          <w:color w:val="auto"/>
        </w:rPr>
        <w:t>Moving across Columns 1-3 of Table 2 provides a very consistent picture of the strong correlation between the evaluation of judges and crowds. The inclusion of covariates and judge fixed effects increases the R-squared of the regressions considerably, implying these control variables add significant explanatory power to the regressions. Yet the coefficient on the indicator variables for success remain remarkably stable.</w:t>
      </w:r>
      <w:r>
        <w:rPr>
          <w:rFonts w:ascii="Calibri" w:cs="Calibri" w:eastAsia="Calibri" w:hAnsi="Calibri"/>
          <w:sz w:val="27"/>
          <w:szCs w:val="27"/>
          <w:color w:val="auto"/>
          <w:vertAlign w:val="superscript"/>
        </w:rPr>
        <w:t>5</w:t>
      </w:r>
      <w:r>
        <w:rPr>
          <w:rFonts w:ascii="Calibri" w:cs="Calibri" w:eastAsia="Calibri" w:hAnsi="Calibri"/>
          <w:sz w:val="22"/>
          <w:szCs w:val="22"/>
          <w:color w:val="auto"/>
        </w:rPr>
        <w:t xml:space="preserve"> The magnitudes on the coefficients are intuitive and relate to the magnitudes reported in Table 1. Unsuccessful projects score approximately 2.6 out of 5 on average, while those that reach or exceed their funding goals score about 3.2.</w:t>
      </w:r>
      <w:r>
        <w:rPr>
          <w:rFonts w:ascii="Calibri" w:cs="Calibri" w:eastAsia="Calibri" w:hAnsi="Calibri"/>
          <w:sz w:val="27"/>
          <w:szCs w:val="27"/>
          <w:color w:val="auto"/>
          <w:vertAlign w:val="superscript"/>
        </w:rPr>
        <w:t>6</w:t>
      </w:r>
      <w:r>
        <w:rPr>
          <w:rFonts w:ascii="Calibri" w:cs="Calibri" w:eastAsia="Calibri" w:hAnsi="Calibri"/>
          <w:sz w:val="22"/>
          <w:szCs w:val="22"/>
          <w:color w:val="auto"/>
        </w:rPr>
        <w:t xml:space="preserve"> Columns 4-6 repeat the same regressions, but where the dependent variable is now the funding share proposed by the experts for projects. They validate the results shown in Columns 1-3.</w:t>
      </w:r>
    </w:p>
    <w:p>
      <w:pPr>
        <w:spacing w:after="0" w:line="241" w:lineRule="exact"/>
        <w:rPr>
          <w:sz w:val="20"/>
          <w:szCs w:val="20"/>
          <w:color w:val="auto"/>
        </w:rPr>
      </w:pPr>
    </w:p>
    <w:p>
      <w:pPr>
        <w:ind w:right="120" w:firstLine="720"/>
        <w:spacing w:after="0" w:line="348" w:lineRule="auto"/>
        <w:rPr>
          <w:sz w:val="20"/>
          <w:szCs w:val="20"/>
          <w:color w:val="auto"/>
        </w:rPr>
      </w:pPr>
      <w:r>
        <w:rPr>
          <w:rFonts w:ascii="Calibri" w:cs="Calibri" w:eastAsia="Calibri" w:hAnsi="Calibri"/>
          <w:sz w:val="22"/>
          <w:szCs w:val="22"/>
          <w:color w:val="auto"/>
        </w:rPr>
        <w:t>Table 2 therefore shows that, on average, the evaluation of equivalent projects by crowds and experts has a strong positive correlation. Moreover, it also documents that projects that exceed their goals are not the result of “the madness of crowds.” Rather, if we use the expert evaluations as a benchmark of quality, it points to the fact that, on average, crowds do a good job of evaluating projects and screening the good from the bad.</w:t>
      </w:r>
    </w:p>
    <w:p>
      <w:pPr>
        <w:spacing w:after="0" w:line="228" w:lineRule="exact"/>
        <w:rPr>
          <w:sz w:val="20"/>
          <w:szCs w:val="20"/>
          <w:color w:val="auto"/>
        </w:rPr>
      </w:pPr>
    </w:p>
    <w:p>
      <w:pPr>
        <w:ind w:right="140" w:firstLine="720"/>
        <w:spacing w:after="0" w:line="360" w:lineRule="auto"/>
        <w:rPr>
          <w:sz w:val="20"/>
          <w:szCs w:val="20"/>
          <w:color w:val="auto"/>
        </w:rPr>
      </w:pPr>
      <w:r>
        <w:rPr>
          <w:rFonts w:ascii="Calibri" w:cs="Calibri" w:eastAsia="Calibri" w:hAnsi="Calibri"/>
          <w:sz w:val="21"/>
          <w:szCs w:val="21"/>
          <w:color w:val="auto"/>
        </w:rPr>
        <w:t>The number of observations in the regressions in Table 2 is 120 rather than 180 because, although we have 2 sets of evaluations per project for half the projects, we have only included the first evaluation from each judge in order to provide consistency in terms of the weight given to each project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471170</wp:posOffset>
                </wp:positionV>
                <wp:extent cx="182880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7.1pt" to="144pt,37.1pt" o:allowincell="f" strokecolor="#000000" strokeweight="0.71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right="20"/>
        <w:spacing w:after="0" w:line="232" w:lineRule="auto"/>
        <w:tabs>
          <w:tab w:leader="none" w:pos="110" w:val="left"/>
        </w:tabs>
        <w:numPr>
          <w:ilvl w:val="0"/>
          <w:numId w:val="7"/>
        </w:numPr>
        <w:rPr>
          <w:rFonts w:ascii="Calibri" w:cs="Calibri" w:eastAsia="Calibri" w:hAnsi="Calibri"/>
          <w:sz w:val="26"/>
          <w:szCs w:val="26"/>
          <w:color w:val="auto"/>
          <w:vertAlign w:val="superscript"/>
        </w:rPr>
      </w:pPr>
      <w:r>
        <w:rPr>
          <w:rFonts w:ascii="Calibri" w:cs="Calibri" w:eastAsia="Calibri" w:hAnsi="Calibri"/>
          <w:sz w:val="20"/>
          <w:szCs w:val="20"/>
          <w:color w:val="auto"/>
        </w:rPr>
        <w:t>This is also reassuring because it shows us that the patterns we see are not driven by some judges “picking at random” and others who might be ‘peeking’ at the outcomes and thereby providing results that were systematically correlated with project outcomes. We should note also that we explicitly asked judges whether they were familiar with projects and in only 2 of 180 did they respond that they were very familiar with a particular project.</w:t>
      </w:r>
    </w:p>
    <w:p>
      <w:pPr>
        <w:spacing w:after="0" w:line="66" w:lineRule="exact"/>
        <w:rPr>
          <w:rFonts w:ascii="Calibri" w:cs="Calibri" w:eastAsia="Calibri" w:hAnsi="Calibri"/>
          <w:sz w:val="26"/>
          <w:szCs w:val="26"/>
          <w:color w:val="auto"/>
          <w:vertAlign w:val="superscript"/>
        </w:rPr>
      </w:pPr>
    </w:p>
    <w:p>
      <w:pPr>
        <w:ind w:right="20"/>
        <w:spacing w:after="0" w:line="215" w:lineRule="auto"/>
        <w:tabs>
          <w:tab w:leader="none" w:pos="110" w:val="left"/>
        </w:tabs>
        <w:numPr>
          <w:ilvl w:val="0"/>
          <w:numId w:val="7"/>
        </w:numPr>
        <w:rPr>
          <w:rFonts w:ascii="Calibri" w:cs="Calibri" w:eastAsia="Calibri" w:hAnsi="Calibri"/>
          <w:sz w:val="26"/>
          <w:szCs w:val="26"/>
          <w:color w:val="auto"/>
          <w:vertAlign w:val="superscript"/>
        </w:rPr>
      </w:pPr>
      <w:r>
        <w:rPr>
          <w:rFonts w:ascii="Calibri" w:cs="Calibri" w:eastAsia="Calibri" w:hAnsi="Calibri"/>
          <w:sz w:val="20"/>
          <w:szCs w:val="20"/>
          <w:color w:val="auto"/>
        </w:rPr>
        <w:t>In unreported regressions, we find that although the point estimates for the projects that exceed their goal is always higher, a Wald test for the difference in the coefficient between the two types of successful projects cannot reject the hypothesis that they are the same.</w:t>
      </w:r>
    </w:p>
    <w:p>
      <w:pPr>
        <w:spacing w:after="0" w:line="200" w:lineRule="exact"/>
        <w:rPr>
          <w:sz w:val="20"/>
          <w:szCs w:val="20"/>
          <w:color w:val="auto"/>
        </w:rPr>
      </w:pPr>
    </w:p>
    <w:p>
      <w:pPr>
        <w:spacing w:after="0" w:line="227"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16</w:t>
      </w:r>
    </w:p>
    <w:p>
      <w:pPr>
        <w:sectPr>
          <w:pgSz w:w="12240" w:h="15840" w:orient="portrait"/>
          <w:cols w:equalWidth="0" w:num="1">
            <w:col w:w="9360"/>
          </w:cols>
          <w:pgMar w:left="1440" w:top="1440" w:right="1440" w:bottom="474" w:gutter="0" w:footer="0" w:header="0"/>
        </w:sectPr>
      </w:pPr>
    </w:p>
    <w:bookmarkStart w:id="17" w:name="page18"/>
    <w:bookmarkEnd w:id="17"/>
    <w:p>
      <w:pPr>
        <w:spacing w:after="0" w:line="41" w:lineRule="exact"/>
        <w:rPr>
          <w:sz w:val="20"/>
          <w:szCs w:val="20"/>
          <w:color w:val="auto"/>
        </w:rPr>
      </w:pPr>
    </w:p>
    <w:p>
      <w:pPr>
        <w:ind w:right="540"/>
        <w:spacing w:after="0" w:line="316" w:lineRule="auto"/>
        <w:rPr>
          <w:sz w:val="20"/>
          <w:szCs w:val="20"/>
          <w:color w:val="auto"/>
        </w:rPr>
      </w:pPr>
      <w:r>
        <w:rPr>
          <w:rFonts w:ascii="Calibri" w:cs="Calibri" w:eastAsia="Calibri" w:hAnsi="Calibri"/>
          <w:sz w:val="22"/>
          <w:szCs w:val="22"/>
          <w:color w:val="auto"/>
        </w:rPr>
        <w:t>in the regression. This leads to the question as to whether our results are sensitive to the choice of judge.</w:t>
      </w:r>
    </w:p>
    <w:p>
      <w:pPr>
        <w:spacing w:after="0" w:line="258" w:lineRule="exact"/>
        <w:rPr>
          <w:sz w:val="20"/>
          <w:szCs w:val="20"/>
          <w:color w:val="auto"/>
        </w:rPr>
      </w:pPr>
    </w:p>
    <w:p>
      <w:pPr>
        <w:ind w:right="40" w:firstLine="720"/>
        <w:spacing w:after="0" w:line="350" w:lineRule="auto"/>
        <w:rPr>
          <w:sz w:val="20"/>
          <w:szCs w:val="20"/>
          <w:color w:val="auto"/>
        </w:rPr>
      </w:pPr>
      <w:r>
        <w:rPr>
          <w:rFonts w:ascii="Calibri" w:cs="Calibri" w:eastAsia="Calibri" w:hAnsi="Calibri"/>
          <w:sz w:val="22"/>
          <w:szCs w:val="22"/>
          <w:color w:val="auto"/>
        </w:rPr>
        <w:t>In order to address the question of the sensitivity of results to our choice of judge, we start by noting that since we have 10 sets of projects with two judges each, 10 projects only had one judge each, we have 2</w:t>
      </w:r>
      <w:r>
        <w:rPr>
          <w:rFonts w:ascii="Calibri" w:cs="Calibri" w:eastAsia="Calibri" w:hAnsi="Calibri"/>
          <w:sz w:val="27"/>
          <w:szCs w:val="27"/>
          <w:color w:val="auto"/>
          <w:vertAlign w:val="superscript"/>
        </w:rPr>
        <w:t>10</w:t>
      </w:r>
      <w:r>
        <w:rPr>
          <w:rFonts w:ascii="Calibri" w:cs="Calibri" w:eastAsia="Calibri" w:hAnsi="Calibri"/>
          <w:sz w:val="22"/>
          <w:szCs w:val="22"/>
          <w:color w:val="auto"/>
        </w:rPr>
        <w:t xml:space="preserve"> (or 1,024) possible combinations of judges for the 10 sets.</w:t>
      </w:r>
      <w:r>
        <w:rPr>
          <w:rFonts w:ascii="Calibri" w:cs="Calibri" w:eastAsia="Calibri" w:hAnsi="Calibri"/>
          <w:sz w:val="27"/>
          <w:szCs w:val="27"/>
          <w:color w:val="auto"/>
          <w:vertAlign w:val="superscript"/>
        </w:rPr>
        <w:t>7</w:t>
      </w:r>
      <w:r>
        <w:rPr>
          <w:rFonts w:ascii="Calibri" w:cs="Calibri" w:eastAsia="Calibri" w:hAnsi="Calibri"/>
          <w:sz w:val="22"/>
          <w:szCs w:val="22"/>
          <w:color w:val="auto"/>
        </w:rPr>
        <w:t xml:space="preserve"> To understand the role of the choice of judges, we look at all 1,024 combinations rather than just at the result of regressions from any one of these 1,024 combinations. This provides us with more confidence that we are not arbitrarily choosing a combination that happens to be statistically significant. We find the magnitude of the average score for successful projects ranges from 0.35 more than the unsuccessful to 0.7 more (with a mean of 0.52 larger). In all but two of the 1,024 combinations, the p-value is below 0.05. The largest p-value is 0.06, providing us with greater confidence that the results documented in Table 2 are statistically significant and robust to any of the other 1,023 combination of judges we might have picked in reporting our results. Similarly, the funding share results range from 0.18 more to 0.26 more for the projects that are successful on Kickstarter, and are always significant at the 5% significance level. Our results therefore document that there is a strong positive correlation between the evaluation by crowds and experts on projects.</w:t>
      </w:r>
    </w:p>
    <w:p>
      <w:pPr>
        <w:spacing w:after="0" w:line="229" w:lineRule="exact"/>
        <w:rPr>
          <w:sz w:val="20"/>
          <w:szCs w:val="20"/>
          <w:color w:val="auto"/>
        </w:rPr>
      </w:pPr>
    </w:p>
    <w:p>
      <w:pPr>
        <w:jc w:val="both"/>
        <w:ind w:right="200" w:firstLine="720"/>
        <w:spacing w:after="0" w:line="338" w:lineRule="auto"/>
        <w:rPr>
          <w:sz w:val="20"/>
          <w:szCs w:val="20"/>
          <w:color w:val="auto"/>
        </w:rPr>
      </w:pPr>
      <w:r>
        <w:rPr>
          <w:rFonts w:ascii="Calibri" w:cs="Calibri" w:eastAsia="Calibri" w:hAnsi="Calibri"/>
          <w:sz w:val="22"/>
          <w:szCs w:val="22"/>
          <w:color w:val="auto"/>
        </w:rPr>
        <w:t xml:space="preserve">Despite these positive results about the wisdom of crowds </w:t>
      </w:r>
      <w:r>
        <w:rPr>
          <w:rFonts w:ascii="Calibri" w:cs="Calibri" w:eastAsia="Calibri" w:hAnsi="Calibri"/>
          <w:sz w:val="22"/>
          <w:szCs w:val="22"/>
          <w:i w:val="1"/>
          <w:iCs w:val="1"/>
          <w:color w:val="auto"/>
        </w:rPr>
        <w:t>on average</w:t>
      </w:r>
      <w:r>
        <w:rPr>
          <w:rFonts w:ascii="Calibri" w:cs="Calibri" w:eastAsia="Calibri" w:hAnsi="Calibri"/>
          <w:sz w:val="22"/>
          <w:szCs w:val="22"/>
          <w:color w:val="auto"/>
        </w:rPr>
        <w:t>, it does not necessarily mean that they can perfectly substitute for experts in every instance – it is this heterogeneity between crowds and experts that we turn to next.</w:t>
      </w:r>
    </w:p>
    <w:p>
      <w:pPr>
        <w:spacing w:after="0" w:line="185" w:lineRule="exact"/>
        <w:rPr>
          <w:sz w:val="20"/>
          <w:szCs w:val="20"/>
          <w:color w:val="auto"/>
        </w:rPr>
      </w:pPr>
    </w:p>
    <w:p>
      <w:pPr>
        <w:spacing w:after="0"/>
        <w:rPr>
          <w:sz w:val="20"/>
          <w:szCs w:val="20"/>
          <w:color w:val="auto"/>
        </w:rPr>
      </w:pPr>
      <w:r>
        <w:rPr>
          <w:rFonts w:ascii="Calibri" w:cs="Calibri" w:eastAsia="Calibri" w:hAnsi="Calibri"/>
          <w:sz w:val="22"/>
          <w:szCs w:val="22"/>
          <w:i w:val="1"/>
          <w:iCs w:val="1"/>
          <w:color w:val="auto"/>
        </w:rPr>
        <w:t>Heterogeneity in Expert and Crowd Evaluations</w:t>
      </w:r>
    </w:p>
    <w:p>
      <w:pPr>
        <w:spacing w:after="0" w:line="344" w:lineRule="exact"/>
        <w:rPr>
          <w:sz w:val="20"/>
          <w:szCs w:val="20"/>
          <w:color w:val="auto"/>
        </w:rPr>
      </w:pPr>
    </w:p>
    <w:p>
      <w:pPr>
        <w:ind w:firstLine="720"/>
        <w:spacing w:after="0" w:line="351" w:lineRule="auto"/>
        <w:rPr>
          <w:sz w:val="20"/>
          <w:szCs w:val="20"/>
          <w:color w:val="auto"/>
        </w:rPr>
      </w:pPr>
      <w:r>
        <w:rPr>
          <w:rFonts w:ascii="Calibri" w:cs="Calibri" w:eastAsia="Calibri" w:hAnsi="Calibri"/>
          <w:sz w:val="22"/>
          <w:szCs w:val="22"/>
          <w:color w:val="auto"/>
        </w:rPr>
        <w:t>In order to examine heterogeneity in crowd and expert evaluations, we segment each of our 120 projects into one of four mutually exclusive categories – (1) those that are funded by both experts and crowds, (2) those that are funded by neither, (3) those funded only by experts and (4) those funded only by crowds. While we have outcome data on whether the crowd funded a project or not, we do not have actual funding decisions from experts. Rather, we have survey responses to a question asking them how much of the goal they would fund, assuming their grant-making budget was not constrained.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445135</wp:posOffset>
                </wp:positionV>
                <wp:extent cx="182880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5.05pt" to="144pt,35.05pt" o:allowincell="f" strokecolor="#000000" strokeweight="0.71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both"/>
        <w:ind w:right="120"/>
        <w:spacing w:after="0" w:line="213" w:lineRule="auto"/>
        <w:tabs>
          <w:tab w:leader="none" w:pos="110" w:val="left"/>
        </w:tabs>
        <w:numPr>
          <w:ilvl w:val="0"/>
          <w:numId w:val="8"/>
        </w:numPr>
        <w:rPr>
          <w:rFonts w:ascii="Calibri" w:cs="Calibri" w:eastAsia="Calibri" w:hAnsi="Calibri"/>
          <w:sz w:val="26"/>
          <w:szCs w:val="26"/>
          <w:color w:val="auto"/>
          <w:vertAlign w:val="superscript"/>
        </w:rPr>
      </w:pPr>
      <w:r>
        <w:rPr>
          <w:rFonts w:ascii="Calibri" w:cs="Calibri" w:eastAsia="Calibri" w:hAnsi="Calibri"/>
          <w:sz w:val="20"/>
          <w:szCs w:val="20"/>
          <w:color w:val="auto"/>
        </w:rPr>
        <w:t>As a simpler example, suppose we only had 4 sets, and had 2 sets that were sent to two judges (set 1 to judges A and B, set 2 to judges C and D) and 2 sets that we sent only to one judge (set 3 to judge E and set 4 to judge F). In this case we would have 2</w:t>
      </w:r>
      <w:r>
        <w:rPr>
          <w:rFonts w:ascii="Calibri" w:cs="Calibri" w:eastAsia="Calibri" w:hAnsi="Calibri"/>
          <w:sz w:val="25"/>
          <w:szCs w:val="25"/>
          <w:color w:val="auto"/>
          <w:vertAlign w:val="superscript"/>
        </w:rPr>
        <w:t>2</w:t>
      </w:r>
      <w:r>
        <w:rPr>
          <w:rFonts w:ascii="Calibri" w:cs="Calibri" w:eastAsia="Calibri" w:hAnsi="Calibri"/>
          <w:sz w:val="20"/>
          <w:szCs w:val="20"/>
          <w:color w:val="auto"/>
        </w:rPr>
        <w:t xml:space="preserve"> or 4 unique combinations of judge evaluations across 24 projects: ACEF, ADEF, BCEF and BDEF.</w:t>
      </w:r>
    </w:p>
    <w:p>
      <w:pPr>
        <w:spacing w:after="0" w:line="159"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17</w:t>
      </w:r>
    </w:p>
    <w:p>
      <w:pPr>
        <w:sectPr>
          <w:pgSz w:w="12240" w:h="15840" w:orient="portrait"/>
          <w:cols w:equalWidth="0" w:num="1">
            <w:col w:w="9360"/>
          </w:cols>
          <w:pgMar w:left="1440" w:top="1440" w:right="1440" w:bottom="474" w:gutter="0" w:footer="0" w:header="0"/>
        </w:sectPr>
      </w:pPr>
    </w:p>
    <w:bookmarkStart w:id="18" w:name="page19"/>
    <w:bookmarkEnd w:id="18"/>
    <w:p>
      <w:pPr>
        <w:spacing w:after="0" w:line="41" w:lineRule="exact"/>
        <w:rPr>
          <w:sz w:val="20"/>
          <w:szCs w:val="20"/>
          <w:color w:val="auto"/>
        </w:rPr>
      </w:pPr>
    </w:p>
    <w:p>
      <w:pPr>
        <w:ind w:right="20" w:firstLine="720"/>
        <w:spacing w:after="0" w:line="355" w:lineRule="auto"/>
        <w:rPr>
          <w:sz w:val="20"/>
          <w:szCs w:val="20"/>
          <w:color w:val="auto"/>
        </w:rPr>
      </w:pPr>
      <w:r>
        <w:rPr>
          <w:rFonts w:ascii="Calibri" w:cs="Calibri" w:eastAsia="Calibri" w:hAnsi="Calibri"/>
          <w:sz w:val="22"/>
          <w:szCs w:val="22"/>
          <w:color w:val="auto"/>
        </w:rPr>
        <w:t>Our categorization of whether a judge hypothetically funded a project is thus based on our mapping of their responses to a hypothetical funding decision, one that is dependent on two factors. The first factor is the harshness of the screen we use – that is, whether we deem a project to be funded by a judge only if the judge funds the project a 100% or if we are willing to deem the project to be funded by experts when they only want to fund, say, 50% or 75% of the goal. Although it may seem like we only want to use 100% as the funding threshold (just like with the funding criterion on Kickstarter), our discussions with experts suggest that they routinely give projects that seem viable less money than requested and hence we do not necessarily want to use the most harsh screen when deemed projects as hypothetically funded by experts. Second, as above, since half the projects are evaluated by 2 judges, the question of whether the project was funded by experts potentially depends on which expert’s funding choice we use.</w:t>
      </w:r>
    </w:p>
    <w:p>
      <w:pPr>
        <w:spacing w:after="0" w:line="174" w:lineRule="exact"/>
        <w:rPr>
          <w:sz w:val="20"/>
          <w:szCs w:val="20"/>
          <w:color w:val="auto"/>
        </w:rPr>
      </w:pPr>
    </w:p>
    <w:p>
      <w:pPr>
        <w:ind w:left="720"/>
        <w:spacing w:after="0"/>
        <w:rPr>
          <w:sz w:val="20"/>
          <w:szCs w:val="20"/>
          <w:color w:val="auto"/>
        </w:rPr>
      </w:pPr>
      <w:r>
        <w:rPr>
          <w:rFonts w:ascii="Calibri" w:cs="Calibri" w:eastAsia="Calibri" w:hAnsi="Calibri"/>
          <w:sz w:val="22"/>
          <w:szCs w:val="22"/>
          <w:color w:val="auto"/>
        </w:rPr>
        <w:t>[Table 3 about here]</w:t>
      </w:r>
    </w:p>
    <w:p>
      <w:pPr>
        <w:spacing w:after="0" w:line="342" w:lineRule="exact"/>
        <w:rPr>
          <w:sz w:val="20"/>
          <w:szCs w:val="20"/>
          <w:color w:val="auto"/>
        </w:rPr>
      </w:pPr>
    </w:p>
    <w:p>
      <w:pPr>
        <w:ind w:right="40" w:firstLine="720"/>
        <w:spacing w:after="0" w:line="354" w:lineRule="auto"/>
        <w:rPr>
          <w:sz w:val="20"/>
          <w:szCs w:val="20"/>
          <w:color w:val="auto"/>
        </w:rPr>
      </w:pPr>
      <w:r>
        <w:rPr>
          <w:rFonts w:ascii="Calibri" w:cs="Calibri" w:eastAsia="Calibri" w:hAnsi="Calibri"/>
          <w:sz w:val="22"/>
          <w:szCs w:val="22"/>
          <w:color w:val="auto"/>
        </w:rPr>
        <w:t>While in theory these different empirical strategies can make large differences, in practice we find that the distribution of projects across buckets, and the overall patterns we show in the subsequent tables are quite insensitive to the specific categorization we choose. To help put this in perspective, in Table 3 we document how the distribution of the 120 projects across these four categories changes for the 1,024 different permutations outlined above across three different screens. The first two columns correspond to a categorization scheme where we assumed that a project would only be viable if the judge allocated 100% of the funding goal to the project. The next two correspond to a screen where the funding threshold is 75% and finally, the last two columns correspond to a screen where the funding threshold is 50%.</w:t>
      </w:r>
    </w:p>
    <w:p>
      <w:pPr>
        <w:spacing w:after="0" w:line="223" w:lineRule="exact"/>
        <w:rPr>
          <w:sz w:val="20"/>
          <w:szCs w:val="20"/>
          <w:color w:val="auto"/>
        </w:rPr>
      </w:pPr>
    </w:p>
    <w:p>
      <w:pPr>
        <w:ind w:right="40" w:firstLine="720"/>
        <w:spacing w:after="0" w:line="348" w:lineRule="auto"/>
        <w:rPr>
          <w:sz w:val="20"/>
          <w:szCs w:val="20"/>
          <w:color w:val="auto"/>
        </w:rPr>
      </w:pPr>
      <w:r>
        <w:rPr>
          <w:rFonts w:ascii="Calibri" w:cs="Calibri" w:eastAsia="Calibri" w:hAnsi="Calibri"/>
          <w:sz w:val="22"/>
          <w:szCs w:val="22"/>
          <w:color w:val="auto"/>
        </w:rPr>
        <w:t>Within each funding screen, we first report the degree of agreement between experts and crowds – that is the percentage of cases where they either both fund a project or both don’t fund a project. The first row reports the average agreement for a given screen across all 1,024 combinations of judges. As can be seen from Columns 1, 3, and 5, there is a strong degree of agreement between experts and the crowds, around 59% on average, and ranging from 56.7% to 65%.</w:t>
      </w:r>
    </w:p>
    <w:p>
      <w:pPr>
        <w:spacing w:after="0" w:line="228" w:lineRule="exact"/>
        <w:rPr>
          <w:sz w:val="20"/>
          <w:szCs w:val="20"/>
          <w:color w:val="auto"/>
        </w:rPr>
      </w:pPr>
    </w:p>
    <w:p>
      <w:pPr>
        <w:ind w:right="180" w:firstLine="720"/>
        <w:spacing w:after="0" w:line="365" w:lineRule="auto"/>
        <w:rPr>
          <w:sz w:val="20"/>
          <w:szCs w:val="20"/>
          <w:color w:val="auto"/>
        </w:rPr>
      </w:pPr>
      <w:r>
        <w:rPr>
          <w:rFonts w:ascii="Calibri" w:cs="Calibri" w:eastAsia="Calibri" w:hAnsi="Calibri"/>
          <w:sz w:val="21"/>
          <w:szCs w:val="21"/>
          <w:color w:val="auto"/>
        </w:rPr>
        <w:t>We demonstrate the strength of this correlation in two, related ways. First, we compare the extent of agreement in Table 3A to a hypothetical case where a judge funds projects at random (with a 50% probability). The simulations show that the percentage of agreement needs to be approximately 55.5% or more before we can conclude that agreement is not due to a random process at the 90%</w:t>
      </w:r>
    </w:p>
    <w:p>
      <w:pPr>
        <w:spacing w:after="0" w:line="376"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18</w:t>
      </w:r>
    </w:p>
    <w:p>
      <w:pPr>
        <w:sectPr>
          <w:pgSz w:w="12240" w:h="15840" w:orient="portrait"/>
          <w:cols w:equalWidth="0" w:num="1">
            <w:col w:w="9360"/>
          </w:cols>
          <w:pgMar w:left="1440" w:top="1440" w:right="1440" w:bottom="474" w:gutter="0" w:footer="0" w:header="0"/>
        </w:sectPr>
      </w:pPr>
    </w:p>
    <w:bookmarkStart w:id="19" w:name="page20"/>
    <w:bookmarkEnd w:id="19"/>
    <w:p>
      <w:pPr>
        <w:spacing w:after="0" w:line="41" w:lineRule="exact"/>
        <w:rPr>
          <w:sz w:val="20"/>
          <w:szCs w:val="20"/>
          <w:color w:val="auto"/>
        </w:rPr>
      </w:pPr>
    </w:p>
    <w:p>
      <w:pPr>
        <w:ind w:right="80"/>
        <w:spacing w:after="0" w:line="338" w:lineRule="auto"/>
        <w:rPr>
          <w:sz w:val="20"/>
          <w:szCs w:val="20"/>
          <w:color w:val="auto"/>
        </w:rPr>
      </w:pPr>
      <w:r>
        <w:rPr>
          <w:rFonts w:ascii="Calibri" w:cs="Calibri" w:eastAsia="Calibri" w:hAnsi="Calibri"/>
          <w:sz w:val="22"/>
          <w:szCs w:val="22"/>
          <w:color w:val="auto"/>
        </w:rPr>
        <w:t>confidence interval and need to be 57.5% or more before we can conclude that agreement is not due to random process at the 95% confidence level. As can be seen from Table 3A, the minimum level of agreement using each screen is always greater than 55.5% and almost always greater than 57.5%.</w:t>
      </w:r>
    </w:p>
    <w:p>
      <w:pPr>
        <w:spacing w:after="0" w:line="234" w:lineRule="exact"/>
        <w:rPr>
          <w:sz w:val="20"/>
          <w:szCs w:val="20"/>
          <w:color w:val="auto"/>
        </w:rPr>
      </w:pPr>
    </w:p>
    <w:p>
      <w:pPr>
        <w:ind w:firstLine="720"/>
        <w:spacing w:after="0" w:line="357" w:lineRule="auto"/>
        <w:rPr>
          <w:sz w:val="20"/>
          <w:szCs w:val="20"/>
          <w:color w:val="auto"/>
        </w:rPr>
      </w:pPr>
      <w:r>
        <w:rPr>
          <w:rFonts w:ascii="Calibri" w:cs="Calibri" w:eastAsia="Calibri" w:hAnsi="Calibri"/>
          <w:sz w:val="22"/>
          <w:szCs w:val="22"/>
          <w:color w:val="auto"/>
        </w:rPr>
        <w:t xml:space="preserve">The second way we demonstrate the strength of the positive correlation is to run a regression where the dependent variable takes a value of 1 if there is agreement between the experts and crowds, and the key explanatory variable is where the project was successful on Kickstarter. The coefficient on the key variable of interest </w:t>
      </w:r>
      <w:r>
        <w:rPr>
          <w:rFonts w:ascii="Calibri" w:cs="Calibri" w:eastAsia="Calibri" w:hAnsi="Calibri"/>
          <w:sz w:val="22"/>
          <w:szCs w:val="22"/>
          <w:color w:val="auto"/>
        </w:rPr>
        <w:t>can be stated as ρ= E[Yi | Ci=1] –</w:t>
      </w:r>
      <w:r>
        <w:rPr>
          <w:rFonts w:ascii="Calibri" w:cs="Calibri" w:eastAsia="Calibri" w:hAnsi="Calibri"/>
          <w:sz w:val="22"/>
          <w:szCs w:val="22"/>
          <w:color w:val="auto"/>
        </w:rPr>
        <w:t xml:space="preserve"> E[Yi | Ci=0], where Yi is an indicator that takes the value of 1 if the judge funds the project i, Ci =1 if the crowd funded the project and Ci =0 if the crowd did not fund the project. If the judge funds a project each time the crowd does and does not fund the project each time the crowd does not, then E[Yi | Ci=1]=1 and E[Yi | Ci=0]=0 , leading the difference to be +1 (which, as one would like it to be, is perfect positive correlation). On the other hand, if the expert rejects a project each time the crowd funds it and funds the project each time the crowd does not, then E[Yi | Ci=1]=0 and E[Yi | Ci=0]=1 , leading the difference to be -1 (which, as one would like it to be, is perfect negative correlation). Further, note that if the judge funds projects at random, then E[Yi | Ci=1] = E[Yi | Ci=0] and hence the correlation between the crowd and expert evaluation is zero. The requirement for the conditional expectations to be equal is that the projects be funded at random, rather than the specific probability of say 50%. For example, a judge who used a stacked coin that funded every third project would still be as likely to fund a project that was funded by the crowd (1/3) as a project that was not funded by the crowd (still 1/3). This is because with a random coin flip that is unrelated to whether the crowd did or did not fund the project, the E[Yi]is independent of Ci , leading E[Yi | Ci=1] = E[Yi | Ci=0]. Therefore, under the null of random funding by the judges (at any approval rate), we should expect the coefficient in our regression to be zero.</w:t>
      </w:r>
    </w:p>
    <w:p>
      <w:pPr>
        <w:spacing w:after="0" w:line="225" w:lineRule="exact"/>
        <w:rPr>
          <w:sz w:val="20"/>
          <w:szCs w:val="20"/>
          <w:color w:val="auto"/>
        </w:rPr>
      </w:pPr>
    </w:p>
    <w:p>
      <w:pPr>
        <w:ind w:right="20" w:firstLine="720"/>
        <w:spacing w:after="0" w:line="352" w:lineRule="auto"/>
        <w:rPr>
          <w:sz w:val="20"/>
          <w:szCs w:val="20"/>
          <w:color w:val="auto"/>
        </w:rPr>
      </w:pPr>
      <w:r>
        <w:rPr>
          <w:rFonts w:ascii="Calibri" w:cs="Calibri" w:eastAsia="Calibri" w:hAnsi="Calibri"/>
          <w:sz w:val="22"/>
          <w:szCs w:val="22"/>
          <w:color w:val="auto"/>
        </w:rPr>
        <w:t>We report the result from these regressions in Table 3B, where, as with Table 2, we pick the first judge who responded to each set in our survey. The results from Table 3B show that there is in fact a strong, positive correlation between judge and crowd evaluations, rejecting the null hypothesis that this could be due to random at the 5% confidence interval. Of course, as with Table 2, we can check that our specific combination of judges is representative of the findings reported in Table 3B. We find that in every case our coefficients are significant at the 10% confidence interval, and in nearly 90% of the cases, they are also significant at the 5% confidence interval.</w:t>
      </w:r>
    </w:p>
    <w:p>
      <w:pPr>
        <w:spacing w:after="0" w:line="224" w:lineRule="exact"/>
        <w:rPr>
          <w:sz w:val="20"/>
          <w:szCs w:val="20"/>
          <w:color w:val="auto"/>
        </w:rPr>
      </w:pPr>
    </w:p>
    <w:p>
      <w:pPr>
        <w:ind w:right="20" w:firstLine="720"/>
        <w:spacing w:after="0" w:line="314" w:lineRule="auto"/>
        <w:rPr>
          <w:sz w:val="20"/>
          <w:szCs w:val="20"/>
          <w:color w:val="auto"/>
        </w:rPr>
      </w:pPr>
      <w:r>
        <w:rPr>
          <w:rFonts w:ascii="Calibri" w:cs="Calibri" w:eastAsia="Calibri" w:hAnsi="Calibri"/>
          <w:sz w:val="22"/>
          <w:szCs w:val="22"/>
          <w:color w:val="auto"/>
        </w:rPr>
        <w:t>Despite these differences in categorization of projects, it can be seen that therefore that there is strong agreement between judges and crowds. Regardless of the screen used, we can almost always</w:t>
      </w:r>
    </w:p>
    <w:p>
      <w:pPr>
        <w:spacing w:after="0" w:line="184"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19</w:t>
      </w:r>
    </w:p>
    <w:p>
      <w:pPr>
        <w:sectPr>
          <w:pgSz w:w="12240" w:h="15840" w:orient="portrait"/>
          <w:cols w:equalWidth="0" w:num="1">
            <w:col w:w="9360"/>
          </w:cols>
          <w:pgMar w:left="1440" w:top="1440" w:right="1440" w:bottom="474" w:gutter="0" w:footer="0" w:header="0"/>
        </w:sectPr>
      </w:pPr>
    </w:p>
    <w:bookmarkStart w:id="20" w:name="page21"/>
    <w:bookmarkEnd w:id="20"/>
    <w:p>
      <w:pPr>
        <w:spacing w:after="0" w:line="41" w:lineRule="exact"/>
        <w:rPr>
          <w:sz w:val="20"/>
          <w:szCs w:val="20"/>
          <w:color w:val="auto"/>
        </w:rPr>
      </w:pPr>
    </w:p>
    <w:p>
      <w:pPr>
        <w:ind w:right="80"/>
        <w:spacing w:after="0" w:line="353" w:lineRule="auto"/>
        <w:rPr>
          <w:sz w:val="20"/>
          <w:szCs w:val="20"/>
          <w:color w:val="auto"/>
        </w:rPr>
      </w:pPr>
      <w:r>
        <w:rPr>
          <w:rFonts w:ascii="Calibri" w:cs="Calibri" w:eastAsia="Calibri" w:hAnsi="Calibri"/>
          <w:sz w:val="22"/>
          <w:szCs w:val="22"/>
          <w:color w:val="auto"/>
        </w:rPr>
        <w:t>reject the hypothesis that the agreement was purely due to chance at the 95% confidence interval, and always reject it at the 10% confidence interval. This confirms the broad patterns we documented in Tables 1 and 2. However, Table 3A also documents that the “off diagonals” – the projects where the crowds and judges disagreed about the funding decision – represent about 40% of the projects and that these disagreements are most often comprised of projects that were rejected by experts but funded by the crowd. That is, among the projects where there is a disagreement, an overwhelming share – about three-quarters of the projects on average– are ones where the crowd chose to fund them but the experts did not.</w:t>
      </w:r>
    </w:p>
    <w:p>
      <w:pPr>
        <w:spacing w:after="0" w:line="222" w:lineRule="exact"/>
        <w:rPr>
          <w:sz w:val="20"/>
          <w:szCs w:val="20"/>
          <w:color w:val="auto"/>
        </w:rPr>
      </w:pPr>
    </w:p>
    <w:p>
      <w:pPr>
        <w:ind w:firstLine="720"/>
        <w:spacing w:after="0" w:line="356" w:lineRule="auto"/>
        <w:rPr>
          <w:sz w:val="20"/>
          <w:szCs w:val="20"/>
          <w:color w:val="auto"/>
        </w:rPr>
      </w:pPr>
      <w:r>
        <w:rPr>
          <w:rFonts w:ascii="Calibri" w:cs="Calibri" w:eastAsia="Calibri" w:hAnsi="Calibri"/>
          <w:sz w:val="22"/>
          <w:szCs w:val="22"/>
          <w:color w:val="auto"/>
        </w:rPr>
        <w:t>In subsequent tables, we focus on two questions related to this heterogeneity. First, are there systematic differences in the attributes of the projects that are funded by only the crowd and only the experts? The second question arises from the fact that the majority of disagreements are constituted by projects funded by the crowd but rejected by experts. Given that many projects were funded by the crowd, but not by experts, are the results of these projects systematically different than those where experts and the crowd agreed? Since these projects were successfully funded on Kickstarter, we are able to examine real outcomes to study this issue. These questions get to the heart of the how the difference in the organization of crowds from that of experts may lead to different types of projects being funded.</w:t>
      </w:r>
    </w:p>
    <w:p>
      <w:pPr>
        <w:spacing w:after="0" w:line="200" w:lineRule="exact"/>
        <w:rPr>
          <w:sz w:val="20"/>
          <w:szCs w:val="20"/>
          <w:color w:val="auto"/>
        </w:rPr>
      </w:pPr>
    </w:p>
    <w:p>
      <w:pPr>
        <w:spacing w:after="0" w:line="352" w:lineRule="exact"/>
        <w:rPr>
          <w:sz w:val="20"/>
          <w:szCs w:val="20"/>
          <w:color w:val="auto"/>
        </w:rPr>
      </w:pPr>
    </w:p>
    <w:p>
      <w:pPr>
        <w:ind w:left="720"/>
        <w:spacing w:after="0"/>
        <w:rPr>
          <w:sz w:val="20"/>
          <w:szCs w:val="20"/>
          <w:color w:val="auto"/>
        </w:rPr>
      </w:pPr>
      <w:r>
        <w:rPr>
          <w:rFonts w:ascii="Calibri" w:cs="Calibri" w:eastAsia="Calibri" w:hAnsi="Calibri"/>
          <w:sz w:val="22"/>
          <w:szCs w:val="22"/>
          <w:color w:val="auto"/>
        </w:rPr>
        <w:t>[Table 4 about here]</w:t>
      </w:r>
    </w:p>
    <w:p>
      <w:pPr>
        <w:spacing w:after="0" w:line="342" w:lineRule="exact"/>
        <w:rPr>
          <w:sz w:val="20"/>
          <w:szCs w:val="20"/>
          <w:color w:val="auto"/>
        </w:rPr>
      </w:pPr>
    </w:p>
    <w:p>
      <w:pPr>
        <w:ind w:right="60" w:firstLine="720"/>
        <w:spacing w:after="0" w:line="344" w:lineRule="auto"/>
        <w:rPr>
          <w:sz w:val="20"/>
          <w:szCs w:val="20"/>
          <w:color w:val="auto"/>
        </w:rPr>
      </w:pPr>
      <w:r>
        <w:rPr>
          <w:rFonts w:ascii="Calibri" w:cs="Calibri" w:eastAsia="Calibri" w:hAnsi="Calibri"/>
          <w:sz w:val="22"/>
          <w:szCs w:val="22"/>
          <w:color w:val="auto"/>
        </w:rPr>
        <w:t>In Table 4, we first examine whether there are systematic differences in the characteristics of projects that were funded only by the crowds compared to those funded only by experts.</w:t>
      </w:r>
      <w:r>
        <w:rPr>
          <w:rFonts w:ascii="Calibri" w:cs="Calibri" w:eastAsia="Calibri" w:hAnsi="Calibri"/>
          <w:sz w:val="27"/>
          <w:szCs w:val="27"/>
          <w:color w:val="auto"/>
          <w:vertAlign w:val="superscript"/>
        </w:rPr>
        <w:t>8</w:t>
      </w:r>
      <w:r>
        <w:rPr>
          <w:rFonts w:ascii="Calibri" w:cs="Calibri" w:eastAsia="Calibri" w:hAnsi="Calibri"/>
          <w:sz w:val="22"/>
          <w:szCs w:val="22"/>
          <w:color w:val="auto"/>
        </w:rPr>
        <w:t xml:space="preserve"> To do so, we run OLS regressions, where the dependent variable is the specific characteristic we are examining, and the main right hand side variables are indicators for whether the project fell in one of the four mutually exclusive categories outlined above. The projects that were funded by neither the crowd nor the experts are treated as the omitted, reference category, so all coefficients can be interpreted as deviations from this baseline. The specific screen we use for these regressions is one where the funding threshold is 75%. All regressions include judge fixed effects and the set of control variables used in Table 2. We report robust standard errors that are clustered by judge.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635635</wp:posOffset>
                </wp:positionV>
                <wp:extent cx="182880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0.05pt" to="144pt,50.05pt" o:allowincell="f" strokecolor="#000000" strokeweight="0.71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right="180"/>
        <w:spacing w:after="0" w:line="206" w:lineRule="auto"/>
        <w:tabs>
          <w:tab w:leader="none" w:pos="110" w:val="left"/>
        </w:tabs>
        <w:numPr>
          <w:ilvl w:val="0"/>
          <w:numId w:val="9"/>
        </w:numPr>
        <w:rPr>
          <w:rFonts w:ascii="Calibri" w:cs="Calibri" w:eastAsia="Calibri" w:hAnsi="Calibri"/>
          <w:sz w:val="25"/>
          <w:szCs w:val="25"/>
          <w:color w:val="auto"/>
          <w:vertAlign w:val="superscript"/>
        </w:rPr>
      </w:pPr>
      <w:r>
        <w:rPr>
          <w:rFonts w:ascii="Calibri" w:cs="Calibri" w:eastAsia="Calibri" w:hAnsi="Calibri"/>
          <w:sz w:val="19"/>
          <w:szCs w:val="19"/>
          <w:color w:val="auto"/>
        </w:rPr>
        <w:t>From this point on, we now focus on the combination of judges that were used in the regressions in Table 2 and 3B that have been shown to be quite typical of the 1,024 possible combinations of judges we might have used.</w:t>
      </w:r>
    </w:p>
    <w:p>
      <w:pPr>
        <w:spacing w:after="0" w:line="158"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20</w:t>
      </w:r>
    </w:p>
    <w:p>
      <w:pPr>
        <w:sectPr>
          <w:pgSz w:w="12240" w:h="15840" w:orient="portrait"/>
          <w:cols w:equalWidth="0" w:num="1">
            <w:col w:w="9360"/>
          </w:cols>
          <w:pgMar w:left="1440" w:top="1440" w:right="1440" w:bottom="474" w:gutter="0" w:footer="0" w:header="0"/>
        </w:sectPr>
      </w:pPr>
    </w:p>
    <w:bookmarkStart w:id="21" w:name="page22"/>
    <w:bookmarkEnd w:id="21"/>
    <w:p>
      <w:pPr>
        <w:spacing w:after="0" w:line="41" w:lineRule="exact"/>
        <w:rPr>
          <w:sz w:val="20"/>
          <w:szCs w:val="20"/>
          <w:color w:val="auto"/>
        </w:rPr>
      </w:pPr>
    </w:p>
    <w:p>
      <w:pPr>
        <w:ind w:firstLine="720"/>
        <w:spacing w:after="0" w:line="356" w:lineRule="auto"/>
        <w:rPr>
          <w:sz w:val="20"/>
          <w:szCs w:val="20"/>
          <w:color w:val="auto"/>
        </w:rPr>
      </w:pPr>
      <w:r>
        <w:rPr>
          <w:rFonts w:ascii="Calibri" w:cs="Calibri" w:eastAsia="Calibri" w:hAnsi="Calibri"/>
          <w:sz w:val="22"/>
          <w:szCs w:val="22"/>
          <w:color w:val="auto"/>
        </w:rPr>
        <w:t>Table 4 shows some interesting patterns. First, projects that were not liked by either the crowds or judges had larger funding goals than any of the other three categories. Projects that were funded had systematically lower funding goals, although a large funding goal does not account for why the crowd did not fund the subset of projects that the experts liked that were unsuccessful on Kickstarter. Columns 2-6 provide an explanation for why this may be the case. Column 2 documents that projects that were ultimately funded (rows (a) and (c)) have significantly larger average funding amounts than those that were funded only by the experts (row (b)). A Wald test for the difference in coefficients shows that these differences are also statistically significant. That is, it seems that while the funding goals were not different, projects that the crowds liked had significantly larger average funding amounts compared to those that were not funded. Note that average funding size is a relevant metric since Kickstarter collects and keeps data on all those who commit funding to projects even when the project is unsuccessful in meeting its goal. This is because commitments are made in a continuous manner, but are only “drawn upon” when the project has met its goal. Thus, we still have instances where some individuals have committed funding to unsuccessful projects. In these instances, we find that the average funding amounts are significantly lower. This is most easily seen by looking at Figure 2.</w:t>
      </w:r>
    </w:p>
    <w:p>
      <w:pPr>
        <w:spacing w:after="0" w:line="227" w:lineRule="exact"/>
        <w:rPr>
          <w:sz w:val="20"/>
          <w:szCs w:val="20"/>
          <w:color w:val="auto"/>
        </w:rPr>
      </w:pPr>
    </w:p>
    <w:p>
      <w:pPr>
        <w:ind w:firstLine="480"/>
        <w:spacing w:after="0" w:line="338" w:lineRule="auto"/>
        <w:rPr>
          <w:sz w:val="20"/>
          <w:szCs w:val="20"/>
          <w:color w:val="auto"/>
        </w:rPr>
      </w:pPr>
      <w:r>
        <w:rPr>
          <w:rFonts w:ascii="Calibri" w:cs="Calibri" w:eastAsia="Calibri" w:hAnsi="Calibri"/>
          <w:sz w:val="22"/>
          <w:szCs w:val="22"/>
          <w:color w:val="auto"/>
        </w:rPr>
        <w:t>The pattern seen in Figure 2 could be for two reasons. First, those who were successful could be connected to a wealthier network, so that they are able to get larger commitments from their backers and hence more easily reach their goal. This might be particularly true because studies of crowdfunding suggest that friends and family are often a critical base for campaigns (Agrawal et al., 2010)</w:t>
      </w:r>
      <w:r>
        <w:rPr>
          <w:rFonts w:ascii="Calibri" w:cs="Calibri" w:eastAsia="Calibri" w:hAnsi="Calibri"/>
          <w:sz w:val="27"/>
          <w:szCs w:val="27"/>
          <w:color w:val="auto"/>
          <w:vertAlign w:val="superscript"/>
        </w:rPr>
        <w:t>9</w:t>
      </w:r>
      <w:r>
        <w:rPr>
          <w:rFonts w:ascii="Calibri" w:cs="Calibri" w:eastAsia="Calibri" w:hAnsi="Calibri"/>
          <w:sz w:val="22"/>
          <w:szCs w:val="22"/>
          <w:color w:val="auto"/>
        </w:rPr>
        <w:t>. The second explanation is that there are systematic differences in the ways in which the two groups approach fundraising on Kickstarter, and that the differences in commitments are an indication of the skill associated with raising money from crowds.</w:t>
      </w:r>
      <w:r>
        <w:rPr>
          <w:rFonts w:ascii="Calibri" w:cs="Calibri" w:eastAsia="Calibri" w:hAnsi="Calibri"/>
          <w:sz w:val="27"/>
          <w:szCs w:val="27"/>
          <w:color w:val="auto"/>
          <w:vertAlign w:val="superscript"/>
        </w:rPr>
        <w:t>10</w:t>
      </w:r>
      <w:r>
        <w:rPr>
          <w:rFonts w:ascii="Calibri" w:cs="Calibri" w:eastAsia="Calibri" w:hAnsi="Calibri"/>
          <w:sz w:val="22"/>
          <w:szCs w:val="22"/>
          <w:color w:val="auto"/>
        </w:rPr>
        <w:t xml:space="preserve"> Of course, these are not mutually exclusive explanations and both could be true. The evidence presented in Table 4 is certainly consistent with theory that there are differences in fundraising approaches, and provides some suggestive evidence that networks may also be important. Columns 3 and 4 of Table 4 show that projects that successfully raise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344170</wp:posOffset>
                </wp:positionV>
                <wp:extent cx="182880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7.1pt" to="144pt,27.1pt" o:allowincell="f" strokecolor="#000000" strokeweight="0.71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right="480"/>
        <w:spacing w:after="0" w:line="196" w:lineRule="auto"/>
        <w:tabs>
          <w:tab w:leader="none" w:pos="110" w:val="left"/>
        </w:tabs>
        <w:numPr>
          <w:ilvl w:val="0"/>
          <w:numId w:val="10"/>
        </w:numPr>
        <w:rPr>
          <w:rFonts w:ascii="Calibri" w:cs="Calibri" w:eastAsia="Calibri" w:hAnsi="Calibri"/>
          <w:sz w:val="26"/>
          <w:szCs w:val="26"/>
          <w:color w:val="auto"/>
          <w:vertAlign w:val="superscript"/>
        </w:rPr>
      </w:pPr>
      <w:r>
        <w:rPr>
          <w:rFonts w:ascii="Calibri" w:cs="Calibri" w:eastAsia="Calibri" w:hAnsi="Calibri"/>
          <w:sz w:val="20"/>
          <w:szCs w:val="20"/>
          <w:color w:val="auto"/>
        </w:rPr>
        <w:t>In our follow-up survey of successful projects, project creators suggested that friend and family support was important, but probably not the provider of the majority of funding. In a five point Likert scale ranging from</w:t>
      </w:r>
    </w:p>
    <w:p>
      <w:pPr>
        <w:spacing w:after="0" w:line="67" w:lineRule="exact"/>
        <w:rPr>
          <w:rFonts w:ascii="Calibri" w:cs="Calibri" w:eastAsia="Calibri" w:hAnsi="Calibri"/>
          <w:sz w:val="26"/>
          <w:szCs w:val="26"/>
          <w:color w:val="auto"/>
          <w:vertAlign w:val="superscript"/>
        </w:rPr>
      </w:pPr>
    </w:p>
    <w:p>
      <w:pPr>
        <w:ind w:right="340"/>
        <w:spacing w:after="0" w:line="226" w:lineRule="auto"/>
        <w:rPr>
          <w:rFonts w:ascii="Calibri" w:cs="Calibri" w:eastAsia="Calibri" w:hAnsi="Calibri"/>
          <w:sz w:val="26"/>
          <w:szCs w:val="26"/>
          <w:color w:val="auto"/>
          <w:vertAlign w:val="superscript"/>
        </w:rPr>
      </w:pPr>
      <w:r>
        <w:rPr>
          <w:rFonts w:ascii="Calibri" w:cs="Calibri" w:eastAsia="Calibri" w:hAnsi="Calibri"/>
          <w:sz w:val="20"/>
          <w:szCs w:val="20"/>
          <w:color w:val="auto"/>
        </w:rPr>
        <w:t>“strongly disagree” to “strongly agree,” the mean answer to the question “My backers were mostly friends and family” was 3.7, s.d.=1.1,</w:t>
      </w:r>
    </w:p>
    <w:p>
      <w:pPr>
        <w:spacing w:after="0" w:line="68" w:lineRule="exact"/>
        <w:rPr>
          <w:rFonts w:ascii="Calibri" w:cs="Calibri" w:eastAsia="Calibri" w:hAnsi="Calibri"/>
          <w:sz w:val="26"/>
          <w:szCs w:val="26"/>
          <w:color w:val="auto"/>
          <w:vertAlign w:val="superscript"/>
        </w:rPr>
      </w:pPr>
    </w:p>
    <w:p>
      <w:pPr>
        <w:ind w:right="80"/>
        <w:spacing w:after="0" w:line="225" w:lineRule="auto"/>
        <w:tabs>
          <w:tab w:leader="none" w:pos="175" w:val="left"/>
        </w:tabs>
        <w:numPr>
          <w:ilvl w:val="0"/>
          <w:numId w:val="10"/>
        </w:numPr>
        <w:rPr>
          <w:rFonts w:ascii="Calibri" w:cs="Calibri" w:eastAsia="Calibri" w:hAnsi="Calibri"/>
          <w:sz w:val="25"/>
          <w:szCs w:val="25"/>
          <w:color w:val="auto"/>
          <w:vertAlign w:val="superscript"/>
        </w:rPr>
      </w:pPr>
      <w:r>
        <w:rPr>
          <w:rFonts w:ascii="Calibri" w:cs="Calibri" w:eastAsia="Calibri" w:hAnsi="Calibri"/>
          <w:sz w:val="19"/>
          <w:szCs w:val="19"/>
          <w:color w:val="auto"/>
        </w:rPr>
        <w:t>Note that there is also the possibility that projects that offered a higher consumption utility (say because people wanted to watch the play) raised higher amounts through ticket sales. As we note later, this was not the case, so we do not focus on this possible mechanism.</w:t>
      </w:r>
    </w:p>
    <w:p>
      <w:pPr>
        <w:spacing w:after="0" w:line="200" w:lineRule="exact"/>
        <w:rPr>
          <w:sz w:val="20"/>
          <w:szCs w:val="20"/>
          <w:color w:val="auto"/>
        </w:rPr>
      </w:pPr>
    </w:p>
    <w:p>
      <w:pPr>
        <w:spacing w:after="0" w:line="228"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21</w:t>
      </w:r>
    </w:p>
    <w:p>
      <w:pPr>
        <w:sectPr>
          <w:pgSz w:w="12240" w:h="15840" w:orient="portrait"/>
          <w:cols w:equalWidth="0" w:num="1">
            <w:col w:w="9360"/>
          </w:cols>
          <w:pgMar w:left="1440" w:top="1440" w:right="1440" w:bottom="474" w:gutter="0" w:footer="0" w:header="0"/>
        </w:sectPr>
      </w:pPr>
    </w:p>
    <w:bookmarkStart w:id="22" w:name="page23"/>
    <w:bookmarkEnd w:id="22"/>
    <w:p>
      <w:pPr>
        <w:spacing w:after="0" w:line="41" w:lineRule="exact"/>
        <w:rPr>
          <w:sz w:val="20"/>
          <w:szCs w:val="20"/>
          <w:color w:val="auto"/>
        </w:rPr>
      </w:pPr>
    </w:p>
    <w:p>
      <w:pPr>
        <w:ind w:right="60"/>
        <w:spacing w:after="0" w:line="316" w:lineRule="auto"/>
        <w:rPr>
          <w:sz w:val="20"/>
          <w:szCs w:val="20"/>
          <w:color w:val="auto"/>
        </w:rPr>
      </w:pPr>
      <w:r>
        <w:rPr>
          <w:rFonts w:ascii="Calibri" w:cs="Calibri" w:eastAsia="Calibri" w:hAnsi="Calibri"/>
          <w:sz w:val="22"/>
          <w:szCs w:val="22"/>
          <w:color w:val="auto"/>
        </w:rPr>
        <w:t>money from crowds provide a greater number of reward levels for the crowds and also more commonly post “updates” about their project within the first three days after launch. This is equally true for rows</w:t>
      </w:r>
    </w:p>
    <w:p>
      <w:pPr>
        <w:spacing w:after="0" w:line="100" w:lineRule="exact"/>
        <w:rPr>
          <w:sz w:val="20"/>
          <w:szCs w:val="20"/>
          <w:color w:val="auto"/>
        </w:rPr>
      </w:pPr>
    </w:p>
    <w:p>
      <w:pPr>
        <w:ind w:right="80"/>
        <w:spacing w:after="0" w:line="341" w:lineRule="auto"/>
        <w:tabs>
          <w:tab w:leader="none" w:pos="290" w:val="left"/>
        </w:tabs>
        <w:numPr>
          <w:ilvl w:val="0"/>
          <w:numId w:val="11"/>
        </w:numPr>
        <w:rPr>
          <w:rFonts w:ascii="Calibri" w:cs="Calibri" w:eastAsia="Calibri" w:hAnsi="Calibri"/>
          <w:sz w:val="22"/>
          <w:szCs w:val="22"/>
          <w:color w:val="auto"/>
        </w:rPr>
      </w:pPr>
      <w:r>
        <w:rPr>
          <w:rFonts w:ascii="Calibri" w:cs="Calibri" w:eastAsia="Calibri" w:hAnsi="Calibri"/>
          <w:sz w:val="22"/>
          <w:szCs w:val="22"/>
          <w:color w:val="auto"/>
        </w:rPr>
        <w:t>and (c), but we can see that row (b) is significantly different. Moreover, Columns 5 and 6 document that the projects that were rated highly by experts but did not raise money from crowds also did not provide as many pictures or videos as those that were successful. In addition, Column 7 suggests that the language in the projects that were funded only by experts tended to be more formal</w:t>
      </w:r>
      <w:r>
        <w:rPr>
          <w:rFonts w:ascii="Calibri" w:cs="Calibri" w:eastAsia="Calibri" w:hAnsi="Calibri"/>
          <w:sz w:val="27"/>
          <w:szCs w:val="27"/>
          <w:color w:val="auto"/>
          <w:vertAlign w:val="superscript"/>
        </w:rPr>
        <w:t>11</w:t>
      </w:r>
      <w:r>
        <w:rPr>
          <w:rFonts w:ascii="Calibri" w:cs="Calibri" w:eastAsia="Calibri" w:hAnsi="Calibri"/>
          <w:sz w:val="22"/>
          <w:szCs w:val="22"/>
          <w:color w:val="auto"/>
        </w:rPr>
        <w:t xml:space="preserve"> than those funded by only the crowd, suggesting that crowds may have a disposition towards less formal language. Together, columns 3-7 paint a consistent picture: raising money from the crowd seems to involve a skill that may be independent of the quality of the project (in much the same way as raising money from experts requires skill). Those who do not pitch to the crowd in an appropriate way may not be successful in raising money, even if the quality of the underlying project is high</w:t>
      </w:r>
      <w:r>
        <w:rPr>
          <w:rFonts w:ascii="Calibri" w:cs="Calibri" w:eastAsia="Calibri" w:hAnsi="Calibri"/>
          <w:sz w:val="27"/>
          <w:szCs w:val="27"/>
          <w:color w:val="auto"/>
          <w:vertAlign w:val="superscript"/>
        </w:rPr>
        <w:t>12</w:t>
      </w:r>
      <w:r>
        <w:rPr>
          <w:rFonts w:ascii="Calibri" w:cs="Calibri" w:eastAsia="Calibri" w:hAnsi="Calibri"/>
          <w:sz w:val="22"/>
          <w:szCs w:val="22"/>
          <w:color w:val="auto"/>
        </w:rPr>
        <w:t>.</w:t>
      </w:r>
    </w:p>
    <w:p>
      <w:pPr>
        <w:spacing w:after="0" w:line="178" w:lineRule="exact"/>
        <w:rPr>
          <w:sz w:val="20"/>
          <w:szCs w:val="20"/>
          <w:color w:val="auto"/>
        </w:rPr>
      </w:pPr>
    </w:p>
    <w:p>
      <w:pPr>
        <w:ind w:right="60" w:firstLine="480"/>
        <w:spacing w:after="0" w:line="355" w:lineRule="auto"/>
        <w:rPr>
          <w:sz w:val="20"/>
          <w:szCs w:val="20"/>
          <w:color w:val="auto"/>
        </w:rPr>
      </w:pPr>
      <w:r>
        <w:rPr>
          <w:rFonts w:ascii="Calibri" w:cs="Calibri" w:eastAsia="Calibri" w:hAnsi="Calibri"/>
          <w:sz w:val="22"/>
          <w:szCs w:val="22"/>
          <w:color w:val="auto"/>
        </w:rPr>
        <w:t>Columns 8 and 9 examine the hypothesis that those who are successful in raising money from crowds may have better or wealthier networks. Column 8 shows that those who were successful had the same network size, as proxied by the number of Facebook friends. A difference in funding commitment for a similar size of network could be consistent with wealthier friends and family, although it could also proxy for the skill in approaching the crowd. In Column 9, we show that those projects that only the crowd liked were somewhat more likely to be based in New York or California – this could proxy for the wealth of the local network or again, could proxy for savviness with social media and running crowdfunding campaigns. Alternatively it could also be due only to the degree of diffusion of the Kickstarter platform in these two states. On balance, we find the strongest evidence for systematic differences in raising crowd funding as stemming from skill in running such campaigns, although we cannot rule out that this was also due to differences in networks. Further evidence of the role of skill in crowdfunding stems from the fact that the attributes of projects funded by both the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685165</wp:posOffset>
                </wp:positionV>
                <wp:extent cx="182880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3.95pt" to="144pt,53.95pt" o:allowincell="f" strokecolor="#000000" strokeweight="0.71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right="120"/>
        <w:spacing w:after="0" w:line="236" w:lineRule="auto"/>
        <w:tabs>
          <w:tab w:leader="none" w:pos="175" w:val="left"/>
        </w:tabs>
        <w:numPr>
          <w:ilvl w:val="0"/>
          <w:numId w:val="12"/>
        </w:numPr>
        <w:rPr>
          <w:rFonts w:ascii="Calibri" w:cs="Calibri" w:eastAsia="Calibri" w:hAnsi="Calibri"/>
          <w:sz w:val="25"/>
          <w:szCs w:val="25"/>
          <w:color w:val="auto"/>
          <w:vertAlign w:val="superscript"/>
        </w:rPr>
      </w:pPr>
      <w:r>
        <w:rPr>
          <w:rFonts w:ascii="Calibri" w:cs="Calibri" w:eastAsia="Calibri" w:hAnsi="Calibri"/>
          <w:sz w:val="19"/>
          <w:szCs w:val="19"/>
          <w:color w:val="auto"/>
        </w:rPr>
        <w:t>Our measure of formality in this context is the share of words in the proposal that were longer than 6 letters, as studies have shown that longer world length in a body of text is correlated with the level of formality in that text (Brooke, Wang, &amp; Hirst, 2010; Karlgren &amp; Cutting, 1994). We also have some qualitative evidence that proposals that used swear words were less likely to be funded by experts, suggesting that informality may be punished.</w:t>
      </w:r>
    </w:p>
    <w:p>
      <w:pPr>
        <w:spacing w:after="0" w:line="69" w:lineRule="exact"/>
        <w:rPr>
          <w:rFonts w:ascii="Calibri" w:cs="Calibri" w:eastAsia="Calibri" w:hAnsi="Calibri"/>
          <w:sz w:val="25"/>
          <w:szCs w:val="25"/>
          <w:color w:val="auto"/>
          <w:vertAlign w:val="superscript"/>
        </w:rPr>
      </w:pPr>
    </w:p>
    <w:p>
      <w:pPr>
        <w:ind w:right="180"/>
        <w:spacing w:after="0"/>
        <w:tabs>
          <w:tab w:leader="none" w:pos="175" w:val="left"/>
        </w:tabs>
        <w:numPr>
          <w:ilvl w:val="0"/>
          <w:numId w:val="12"/>
        </w:numPr>
        <w:rPr>
          <w:rFonts w:ascii="Calibri" w:cs="Calibri" w:eastAsia="Calibri" w:hAnsi="Calibri"/>
          <w:sz w:val="25"/>
          <w:szCs w:val="25"/>
          <w:color w:val="auto"/>
          <w:vertAlign w:val="superscript"/>
        </w:rPr>
      </w:pPr>
      <w:r>
        <w:rPr>
          <w:rFonts w:ascii="Calibri" w:cs="Calibri" w:eastAsia="Calibri" w:hAnsi="Calibri"/>
          <w:sz w:val="19"/>
          <w:szCs w:val="19"/>
          <w:color w:val="auto"/>
        </w:rPr>
        <w:t>These factors of the pitch tend to be established prior to the launch of a crowdfunding campaign. For updates, we follow Mollick (2014) and only measure whether projects were updated in the first three days after launch, reducing the risk that updates are a reaction to success. At the same time, we cannot rule out that these factors could be changed in reaction to the crowd and are careful, therefore, not to push a causal explanation for these differences.</w:t>
      </w:r>
    </w:p>
    <w:p>
      <w:pPr>
        <w:spacing w:after="0" w:line="200" w:lineRule="exact"/>
        <w:rPr>
          <w:sz w:val="20"/>
          <w:szCs w:val="20"/>
          <w:color w:val="auto"/>
        </w:rPr>
      </w:pPr>
    </w:p>
    <w:p>
      <w:pPr>
        <w:spacing w:after="0" w:line="207"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22</w:t>
      </w:r>
    </w:p>
    <w:p>
      <w:pPr>
        <w:sectPr>
          <w:pgSz w:w="12240" w:h="15840" w:orient="portrait"/>
          <w:cols w:equalWidth="0" w:num="1">
            <w:col w:w="9360"/>
          </w:cols>
          <w:pgMar w:left="1440" w:top="1440" w:right="1440" w:bottom="474" w:gutter="0" w:footer="0" w:header="0"/>
        </w:sectPr>
      </w:pPr>
    </w:p>
    <w:bookmarkStart w:id="23" w:name="page24"/>
    <w:bookmarkEnd w:id="23"/>
    <w:p>
      <w:pPr>
        <w:spacing w:after="0" w:line="41" w:lineRule="exact"/>
        <w:rPr>
          <w:sz w:val="20"/>
          <w:szCs w:val="20"/>
          <w:color w:val="auto"/>
        </w:rPr>
      </w:pPr>
    </w:p>
    <w:p>
      <w:pPr>
        <w:ind w:right="260"/>
        <w:spacing w:after="0" w:line="316" w:lineRule="auto"/>
        <w:rPr>
          <w:sz w:val="20"/>
          <w:szCs w:val="20"/>
          <w:color w:val="auto"/>
        </w:rPr>
      </w:pPr>
      <w:r>
        <w:rPr>
          <w:rFonts w:ascii="Calibri" w:cs="Calibri" w:eastAsia="Calibri" w:hAnsi="Calibri"/>
          <w:sz w:val="22"/>
          <w:szCs w:val="22"/>
          <w:color w:val="auto"/>
        </w:rPr>
        <w:t>crowd and experts (row (a)) are more similar to those funded by only the crowd (row (c)) than each of these is to those funded only by experts (row (b)).</w:t>
      </w:r>
    </w:p>
    <w:p>
      <w:pPr>
        <w:spacing w:after="0" w:line="258" w:lineRule="exact"/>
        <w:rPr>
          <w:sz w:val="20"/>
          <w:szCs w:val="20"/>
          <w:color w:val="auto"/>
        </w:rPr>
      </w:pPr>
    </w:p>
    <w:p>
      <w:pPr>
        <w:ind w:right="40" w:firstLine="480"/>
        <w:spacing w:after="0" w:line="353" w:lineRule="auto"/>
        <w:rPr>
          <w:sz w:val="20"/>
          <w:szCs w:val="20"/>
          <w:color w:val="auto"/>
        </w:rPr>
      </w:pPr>
      <w:r>
        <w:rPr>
          <w:rFonts w:ascii="Calibri" w:cs="Calibri" w:eastAsia="Calibri" w:hAnsi="Calibri"/>
          <w:sz w:val="22"/>
          <w:szCs w:val="22"/>
          <w:color w:val="auto"/>
        </w:rPr>
        <w:t>Next, we consider how judges rate projects that are supported by the crowd alone compare to those that are not. Table 5 provides the differences in scores attributed to these projects by our experts. The specifications run in Table 5 are identical to those in Table 4, with the exception that the dependent variables are dimensions along which the experts were asked to evaluate the projects. The high scores associated with rows (a) and (b) are mechanical, in that these are projects that the experts would have funded. Nevertheless, it is worth noting that the projects that the crowd and experts funded rank higher than those funded only by experts, again reinforcing the notion that the projects where both crowds and experts agree to fund are likely to be extremely high quality.</w:t>
      </w:r>
    </w:p>
    <w:p>
      <w:pPr>
        <w:spacing w:after="0" w:line="225" w:lineRule="exact"/>
        <w:rPr>
          <w:sz w:val="20"/>
          <w:szCs w:val="20"/>
          <w:color w:val="auto"/>
        </w:rPr>
      </w:pPr>
    </w:p>
    <w:p>
      <w:pPr>
        <w:ind w:firstLine="480"/>
        <w:spacing w:after="0" w:line="357" w:lineRule="auto"/>
        <w:rPr>
          <w:sz w:val="20"/>
          <w:szCs w:val="20"/>
          <w:color w:val="auto"/>
        </w:rPr>
      </w:pPr>
      <w:r>
        <w:rPr>
          <w:rFonts w:ascii="Calibri" w:cs="Calibri" w:eastAsia="Calibri" w:hAnsi="Calibri"/>
          <w:sz w:val="22"/>
          <w:szCs w:val="22"/>
          <w:color w:val="auto"/>
        </w:rPr>
        <w:t>Looking at row (c) is also instructive since it shows that the point estimates are consistently higher than the omitted category, although they are often imprecisely estimated so that the differences are not statistically significant. That is, there is a subset of projects that the crowd funded that the experts found no better than the omitted category (those that neither the crowd nor experts liked). Indeed, our survey of the successful Kickstarter projects suggests that this was also true to experts in general: the subset that only the crowd funded raised an average of $1,900 from institutional sources prior to the campaign compared to $4,850 for those that the experts and crowds funded. That is, our finding that experts did not rate these projects as highly seems to be broadly representative of how other experts may have also viewed these projects. Nevertheless, it is interesting that the one column where there is a statistically significant difference between row (c) and the omitted category is around the quality of the project. That is, among projects that the experts chose not to fund, those that were funded by the crowd were deemed to be higher quality projects by the experts than those that the crowd did not fund (although, of course they were also ranked as lower quality than rows (a) and (b)). Again, this supports the notion that even when there is disagreement between crowds and experts on the funding decision, there still seems to be some level of congruence in terms of the broad sense of which projects are higher quality.</w:t>
      </w: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ind w:right="40" w:firstLine="480"/>
        <w:spacing w:after="0" w:line="348" w:lineRule="auto"/>
        <w:rPr>
          <w:sz w:val="20"/>
          <w:szCs w:val="20"/>
          <w:color w:val="auto"/>
        </w:rPr>
      </w:pPr>
      <w:r>
        <w:rPr>
          <w:rFonts w:ascii="Calibri" w:cs="Calibri" w:eastAsia="Calibri" w:hAnsi="Calibri"/>
          <w:sz w:val="22"/>
          <w:szCs w:val="22"/>
          <w:color w:val="auto"/>
        </w:rPr>
        <w:t>In Tables 6 and 7, we turn to qualitative evidence about the longer-term outcomes of projects. We relied on survey data for information on both audience size and the degree to which projects succeeded or failed at meeting their audience goals. We also asked respondents to provide links or excerpts from reviews. In all cases, we also attempted to locate reviews ourselves by searching for the project on Factiva and on Google. To be conservative, we classified projects in one of four ways: We considered</w:t>
      </w:r>
    </w:p>
    <w:p>
      <w:pPr>
        <w:spacing w:after="0" w:line="150"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23</w:t>
      </w:r>
    </w:p>
    <w:p>
      <w:pPr>
        <w:sectPr>
          <w:pgSz w:w="12240" w:h="15840" w:orient="portrait"/>
          <w:cols w:equalWidth="0" w:num="1">
            <w:col w:w="9360"/>
          </w:cols>
          <w:pgMar w:left="1440" w:top="1440" w:right="1440" w:bottom="474" w:gutter="0" w:footer="0" w:header="0"/>
        </w:sectPr>
      </w:pPr>
    </w:p>
    <w:bookmarkStart w:id="24" w:name="page25"/>
    <w:bookmarkEnd w:id="24"/>
    <w:p>
      <w:pPr>
        <w:spacing w:after="0" w:line="23" w:lineRule="exact"/>
        <w:rPr>
          <w:sz w:val="20"/>
          <w:szCs w:val="20"/>
          <w:color w:val="auto"/>
        </w:rPr>
      </w:pPr>
    </w:p>
    <w:p>
      <w:pPr>
        <w:ind w:right="20"/>
        <w:spacing w:after="0" w:line="342" w:lineRule="auto"/>
        <w:rPr>
          <w:sz w:val="20"/>
          <w:szCs w:val="20"/>
          <w:color w:val="auto"/>
        </w:rPr>
      </w:pPr>
      <w:r>
        <w:rPr>
          <w:rFonts w:ascii="Calibri" w:cs="Calibri" w:eastAsia="Calibri" w:hAnsi="Calibri"/>
          <w:sz w:val="22"/>
          <w:szCs w:val="22"/>
          <w:color w:val="auto"/>
        </w:rPr>
        <w:t>projects to be failures if they received only bad reviews and did not run for their full length.</w:t>
      </w:r>
      <w:r>
        <w:rPr>
          <w:rFonts w:ascii="Calibri" w:cs="Calibri" w:eastAsia="Calibri" w:hAnsi="Calibri"/>
          <w:sz w:val="27"/>
          <w:szCs w:val="27"/>
          <w:color w:val="auto"/>
          <w:vertAlign w:val="superscript"/>
        </w:rPr>
        <w:t>13</w:t>
      </w:r>
      <w:r>
        <w:rPr>
          <w:rFonts w:ascii="Calibri" w:cs="Calibri" w:eastAsia="Calibri" w:hAnsi="Calibri"/>
          <w:sz w:val="22"/>
          <w:szCs w:val="22"/>
          <w:color w:val="auto"/>
        </w:rPr>
        <w:t xml:space="preserve"> Successes made up the vast majority of projects. These were projects that ran for their intended length but did not earn rave reviews from national publications, though they may have received good local press. This category contains a wide range of projects, some much more successful than others, as indicated by the qualitative data in the tables. Finally, we categorized projects as commercial hits if they had substantially extended runs in front of large crowds, and as critical hits if they received either rave reviews from national publications, or else won prestigious theater awards.</w:t>
      </w:r>
    </w:p>
    <w:p>
      <w:pPr>
        <w:spacing w:after="0" w:line="233" w:lineRule="exact"/>
        <w:rPr>
          <w:sz w:val="20"/>
          <w:szCs w:val="20"/>
          <w:color w:val="auto"/>
        </w:rPr>
      </w:pPr>
    </w:p>
    <w:p>
      <w:pPr>
        <w:jc w:val="both"/>
        <w:ind w:right="40" w:firstLine="480"/>
        <w:spacing w:after="0" w:line="337" w:lineRule="auto"/>
        <w:rPr>
          <w:sz w:val="20"/>
          <w:szCs w:val="20"/>
          <w:color w:val="auto"/>
        </w:rPr>
      </w:pPr>
      <w:r>
        <w:rPr>
          <w:rFonts w:ascii="Calibri" w:cs="Calibri" w:eastAsia="Calibri" w:hAnsi="Calibri"/>
          <w:sz w:val="22"/>
          <w:szCs w:val="22"/>
          <w:color w:val="auto"/>
        </w:rPr>
        <w:t>In Table 6, we look at the long-term outcome of the projects that both crowds and experts funded. We have survey responses that include self-reported outcome data on 11 of the 22 such projects. Using our conservative coding regime, none of these projects failed, and one turned into a commercial hit.</w:t>
      </w:r>
    </w:p>
    <w:p>
      <w:pPr>
        <w:spacing w:after="0" w:line="77" w:lineRule="exact"/>
        <w:rPr>
          <w:sz w:val="20"/>
          <w:szCs w:val="20"/>
          <w:color w:val="auto"/>
        </w:rPr>
      </w:pPr>
    </w:p>
    <w:p>
      <w:pPr>
        <w:jc w:val="both"/>
        <w:ind w:right="40"/>
        <w:spacing w:after="0" w:line="345" w:lineRule="auto"/>
        <w:rPr>
          <w:sz w:val="20"/>
          <w:szCs w:val="20"/>
          <w:color w:val="auto"/>
        </w:rPr>
      </w:pPr>
      <w:r>
        <w:rPr>
          <w:rFonts w:ascii="Calibri" w:cs="Calibri" w:eastAsia="Calibri" w:hAnsi="Calibri"/>
          <w:sz w:val="22"/>
          <w:szCs w:val="22"/>
          <w:color w:val="auto"/>
        </w:rPr>
        <w:t>Examining the more detailed qualitative data, it is apparent that there were a wide variety of critical and commercial outcomes, but a relative dearth of either clear failures or runaway successes. Though these results are tentative, most projects selected by both the crowd and experts appeared to deliver on their promise, with some variation in the critical and commercial acclaim achieved.</w:t>
      </w:r>
    </w:p>
    <w:p>
      <w:pPr>
        <w:spacing w:after="0" w:line="227" w:lineRule="exact"/>
        <w:rPr>
          <w:sz w:val="20"/>
          <w:szCs w:val="20"/>
          <w:color w:val="auto"/>
        </w:rPr>
      </w:pPr>
    </w:p>
    <w:p>
      <w:pPr>
        <w:ind w:firstLine="480"/>
        <w:spacing w:after="0" w:line="355" w:lineRule="auto"/>
        <w:rPr>
          <w:sz w:val="20"/>
          <w:szCs w:val="20"/>
          <w:color w:val="auto"/>
        </w:rPr>
      </w:pPr>
      <w:r>
        <w:rPr>
          <w:rFonts w:ascii="Calibri" w:cs="Calibri" w:eastAsia="Calibri" w:hAnsi="Calibri"/>
          <w:sz w:val="22"/>
          <w:szCs w:val="22"/>
          <w:color w:val="auto"/>
        </w:rPr>
        <w:t>In Table 7, we re-create this for projects that the crowd funded, but which the experts did not. Here we have self-reported outcome data on 17 out of the 38 productions. Remarkably, we find quite a similar pattern, with the vast majority of projects achieving the same level of success as the projects endorsed by the experts. To the extent that there are differences, there is one failure among the crowd-selected projects, and four projects that we could consider hits. Two of these hits are critical, rather than commercial, successes – an ironic outcome, given that these performances were rejected by the expert critics, but embraced by the crowd, in the funding stage. We find that the broad picture is one where 94% of the funded projects supported by the crowd alone had at least moderate success, and 24% were extremely successful, some artistically, and some commercially. This compares to a 100% success rate from the projects backed by both crowds and experts, of which 9% were extremely</w:t>
      </w:r>
    </w:p>
    <w:p>
      <w:pPr>
        <w:spacing w:after="0" w:line="5" w:lineRule="exact"/>
        <w:rPr>
          <w:sz w:val="20"/>
          <w:szCs w:val="20"/>
          <w:color w:val="auto"/>
        </w:rPr>
      </w:pPr>
    </w:p>
    <w:p>
      <w:pPr>
        <w:spacing w:after="0"/>
        <w:rPr>
          <w:sz w:val="20"/>
          <w:szCs w:val="20"/>
          <w:color w:val="auto"/>
        </w:rPr>
      </w:pPr>
      <w:r>
        <w:rPr>
          <w:rFonts w:ascii="Calibri" w:cs="Calibri" w:eastAsia="Calibri" w:hAnsi="Calibri"/>
          <w:sz w:val="22"/>
          <w:szCs w:val="22"/>
          <w:color w:val="auto"/>
        </w:rPr>
        <w:t>successful</w:t>
      </w:r>
      <w:r>
        <w:rPr>
          <w:rFonts w:ascii="Calibri" w:cs="Calibri" w:eastAsia="Calibri" w:hAnsi="Calibri"/>
          <w:sz w:val="27"/>
          <w:szCs w:val="27"/>
          <w:color w:val="auto"/>
          <w:vertAlign w:val="superscript"/>
        </w:rPr>
        <w:t>14</w:t>
      </w:r>
      <w:r>
        <w:rPr>
          <w:rFonts w:ascii="Calibri" w:cs="Calibri" w:eastAsia="Calibri" w:hAnsi="Calibri"/>
          <w:sz w:val="22"/>
          <w:szCs w:val="22"/>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273685</wp:posOffset>
                </wp:positionV>
                <wp:extent cx="182880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1.55pt" to="144pt,21.55pt" o:allowincell="f" strokecolor="#000000" strokeweight="0.7199pt"/>
            </w:pict>
          </mc:Fallback>
        </mc:AlternateContent>
      </w:r>
    </w:p>
    <w:p>
      <w:pPr>
        <w:spacing w:after="0" w:line="200" w:lineRule="exact"/>
        <w:rPr>
          <w:sz w:val="20"/>
          <w:szCs w:val="20"/>
          <w:color w:val="auto"/>
        </w:rPr>
      </w:pPr>
    </w:p>
    <w:p>
      <w:pPr>
        <w:spacing w:after="0" w:line="362" w:lineRule="exact"/>
        <w:rPr>
          <w:sz w:val="20"/>
          <w:szCs w:val="20"/>
          <w:color w:val="auto"/>
        </w:rPr>
      </w:pPr>
    </w:p>
    <w:p>
      <w:pPr>
        <w:ind w:right="420"/>
        <w:spacing w:after="0" w:line="236" w:lineRule="auto"/>
        <w:tabs>
          <w:tab w:leader="none" w:pos="175" w:val="left"/>
        </w:tabs>
        <w:numPr>
          <w:ilvl w:val="0"/>
          <w:numId w:val="13"/>
        </w:numPr>
        <w:rPr>
          <w:rFonts w:ascii="Calibri" w:cs="Calibri" w:eastAsia="Calibri" w:hAnsi="Calibri"/>
          <w:sz w:val="25"/>
          <w:szCs w:val="25"/>
          <w:color w:val="auto"/>
          <w:vertAlign w:val="superscript"/>
        </w:rPr>
      </w:pPr>
      <w:r>
        <w:rPr>
          <w:rFonts w:ascii="Calibri" w:cs="Calibri" w:eastAsia="Calibri" w:hAnsi="Calibri"/>
          <w:sz w:val="19"/>
          <w:szCs w:val="19"/>
          <w:color w:val="auto"/>
        </w:rPr>
        <w:t>One concern about crowdfunding has been that some projects may fail to deliver entirely, either because of malicious intent or else failure on the part of the project creators. We found only one example of this sort of project, in this case due to the death of a project creator, adding to research suggesting fraud on Kickstarter is uncommon (Mollick, 2014)</w:t>
      </w:r>
    </w:p>
    <w:p>
      <w:pPr>
        <w:spacing w:after="0" w:line="69" w:lineRule="exact"/>
        <w:rPr>
          <w:rFonts w:ascii="Calibri" w:cs="Calibri" w:eastAsia="Calibri" w:hAnsi="Calibri"/>
          <w:sz w:val="25"/>
          <w:szCs w:val="25"/>
          <w:color w:val="auto"/>
          <w:vertAlign w:val="superscript"/>
        </w:rPr>
      </w:pPr>
    </w:p>
    <w:p>
      <w:pPr>
        <w:ind w:right="120"/>
        <w:spacing w:after="0" w:line="225" w:lineRule="auto"/>
        <w:tabs>
          <w:tab w:leader="none" w:pos="175" w:val="left"/>
        </w:tabs>
        <w:numPr>
          <w:ilvl w:val="0"/>
          <w:numId w:val="13"/>
        </w:numPr>
        <w:rPr>
          <w:rFonts w:ascii="Calibri" w:cs="Calibri" w:eastAsia="Calibri" w:hAnsi="Calibri"/>
          <w:sz w:val="25"/>
          <w:szCs w:val="25"/>
          <w:color w:val="auto"/>
          <w:vertAlign w:val="superscript"/>
        </w:rPr>
      </w:pPr>
      <w:r>
        <w:rPr>
          <w:rFonts w:ascii="Calibri" w:cs="Calibri" w:eastAsia="Calibri" w:hAnsi="Calibri"/>
          <w:sz w:val="19"/>
          <w:szCs w:val="19"/>
          <w:color w:val="auto"/>
        </w:rPr>
        <w:t>While we did not have survey results for the remaining 32 projects, we did seek to establish whether or not critical reviews of the projects indicated any substantial deviation from that observed in the projects for which we had survey results. We did not locate any indication of a systematic difference. Of the 11 projects that did not</w:t>
      </w:r>
    </w:p>
    <w:p>
      <w:pPr>
        <w:spacing w:after="0" w:line="200" w:lineRule="exact"/>
        <w:rPr>
          <w:sz w:val="20"/>
          <w:szCs w:val="20"/>
          <w:color w:val="auto"/>
        </w:rPr>
      </w:pPr>
    </w:p>
    <w:p>
      <w:pPr>
        <w:spacing w:after="0" w:line="228"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24</w:t>
      </w:r>
    </w:p>
    <w:p>
      <w:pPr>
        <w:sectPr>
          <w:pgSz w:w="12240" w:h="15840" w:orient="portrait"/>
          <w:cols w:equalWidth="0" w:num="1">
            <w:col w:w="9360"/>
          </w:cols>
          <w:pgMar w:left="1440" w:top="1440" w:right="1440" w:bottom="474" w:gutter="0" w:footer="0" w:header="0"/>
        </w:sectPr>
      </w:pPr>
    </w:p>
    <w:bookmarkStart w:id="25" w:name="page26"/>
    <w:bookmarkEnd w:id="25"/>
    <w:p>
      <w:pPr>
        <w:spacing w:after="0" w:line="41" w:lineRule="exact"/>
        <w:rPr>
          <w:sz w:val="20"/>
          <w:szCs w:val="20"/>
          <w:color w:val="auto"/>
        </w:rPr>
      </w:pPr>
    </w:p>
    <w:p>
      <w:pPr>
        <w:ind w:right="240" w:firstLine="480"/>
        <w:spacing w:after="0" w:line="345" w:lineRule="auto"/>
        <w:rPr>
          <w:sz w:val="20"/>
          <w:szCs w:val="20"/>
          <w:color w:val="auto"/>
        </w:rPr>
      </w:pPr>
      <w:r>
        <w:rPr>
          <w:rFonts w:ascii="Calibri" w:cs="Calibri" w:eastAsia="Calibri" w:hAnsi="Calibri"/>
          <w:sz w:val="22"/>
          <w:szCs w:val="22"/>
          <w:color w:val="auto"/>
        </w:rPr>
        <w:t>We also endeavored to examine the outcomes of the 11 projects selected by experts but not funded by the crowd. We were able to determine that seven of these projects were ultimately staged. All seven would be considered minor successes, but none achieved high levels of critical notice, or substantial commercial success.</w:t>
      </w:r>
    </w:p>
    <w:p>
      <w:pPr>
        <w:spacing w:after="0" w:line="227" w:lineRule="exact"/>
        <w:rPr>
          <w:sz w:val="20"/>
          <w:szCs w:val="20"/>
          <w:color w:val="auto"/>
        </w:rPr>
      </w:pPr>
    </w:p>
    <w:p>
      <w:pPr>
        <w:ind w:firstLine="480"/>
        <w:spacing w:after="0" w:line="354" w:lineRule="auto"/>
        <w:rPr>
          <w:sz w:val="20"/>
          <w:szCs w:val="20"/>
          <w:color w:val="auto"/>
        </w:rPr>
      </w:pPr>
      <w:r>
        <w:rPr>
          <w:rFonts w:ascii="Calibri" w:cs="Calibri" w:eastAsia="Calibri" w:hAnsi="Calibri"/>
          <w:sz w:val="22"/>
          <w:szCs w:val="22"/>
          <w:color w:val="auto"/>
        </w:rPr>
        <w:t>Although we hesitate to draw broad conclusions from the limited data, we find it interesting that within the bucket of projects unfunded by experts, the experts do seem to give higher ratings to projects that were ultimately more successful. This suggests that the screen used by the crowd is somewhat lower, but not entirely without merit (although the crowd also funded the only project to fail dramatically). These results are suggestive of a case where the crowd selects some projects with greater variability in potential outcome than experts, resulting in more failures, but more breakout hits, than the experts, similar to findings about how the structure or the number of participants in screening can generate more high quality and low quality ideas (Sah &amp; Stiglitz, 1986; Terwiesch &amp; Ulrich, 2009; Terwiesch &amp; Xu, 2008).</w:t>
      </w:r>
    </w:p>
    <w:p>
      <w:pPr>
        <w:spacing w:after="0" w:line="220" w:lineRule="exact"/>
        <w:rPr>
          <w:sz w:val="20"/>
          <w:szCs w:val="20"/>
          <w:color w:val="auto"/>
        </w:rPr>
      </w:pPr>
    </w:p>
    <w:p>
      <w:pPr>
        <w:ind w:right="40" w:firstLine="480"/>
        <w:spacing w:after="0" w:line="353" w:lineRule="auto"/>
        <w:rPr>
          <w:sz w:val="20"/>
          <w:szCs w:val="20"/>
          <w:color w:val="auto"/>
        </w:rPr>
      </w:pPr>
      <w:r>
        <w:rPr>
          <w:rFonts w:ascii="Calibri" w:cs="Calibri" w:eastAsia="Calibri" w:hAnsi="Calibri"/>
          <w:sz w:val="22"/>
          <w:szCs w:val="22"/>
          <w:color w:val="auto"/>
        </w:rPr>
        <w:t>A possible alternative explanation of the ability of the crowd to pick successful projects is that the crowd might serve as the factor that makes these products succeed. By pre-purchasing tickets through Kickstarter (one of many potential rewards offered by artists), they may be assuring the success of these shows. Using our survey data, we examined the 14 projects that provided us with estimates of total ticket sales. Together, these projects sold 25,779 tickets overall, of which 961 were pre-sold through Kickstarter, or less than 4%. Pre-sales on Kickstarter did not seem to account for the success of these shows, based on this measure. Further, pre-sales would not be predictive of critical acclaim, which also seemed to accrue disproportionately to projects backed by the crowd alone.</w:t>
      </w:r>
    </w:p>
    <w:p>
      <w:pPr>
        <w:spacing w:after="0" w:line="178" w:lineRule="exact"/>
        <w:rPr>
          <w:sz w:val="20"/>
          <w:szCs w:val="20"/>
          <w:color w:val="auto"/>
        </w:rPr>
      </w:pPr>
    </w:p>
    <w:p>
      <w:pPr>
        <w:spacing w:after="0"/>
        <w:rPr>
          <w:sz w:val="20"/>
          <w:szCs w:val="20"/>
          <w:color w:val="auto"/>
        </w:rPr>
      </w:pPr>
      <w:r>
        <w:rPr>
          <w:rFonts w:ascii="Calibri" w:cs="Calibri" w:eastAsia="Calibri" w:hAnsi="Calibri"/>
          <w:sz w:val="28"/>
          <w:szCs w:val="28"/>
          <w:b w:val="1"/>
          <w:bCs w:val="1"/>
          <w:color w:val="auto"/>
        </w:rPr>
        <w:t>6. Discussion</w:t>
      </w:r>
    </w:p>
    <w:p>
      <w:pPr>
        <w:spacing w:after="0" w:line="376" w:lineRule="exact"/>
        <w:rPr>
          <w:sz w:val="20"/>
          <w:szCs w:val="20"/>
          <w:color w:val="auto"/>
        </w:rPr>
      </w:pPr>
    </w:p>
    <w:p>
      <w:pPr>
        <w:ind w:right="220" w:firstLine="360"/>
        <w:spacing w:after="0" w:line="316" w:lineRule="auto"/>
        <w:rPr>
          <w:sz w:val="20"/>
          <w:szCs w:val="20"/>
          <w:color w:val="auto"/>
        </w:rPr>
      </w:pPr>
      <w:r>
        <w:rPr>
          <w:rFonts w:ascii="Calibri" w:cs="Calibri" w:eastAsia="Calibri" w:hAnsi="Calibri"/>
          <w:sz w:val="22"/>
          <w:szCs w:val="22"/>
          <w:color w:val="auto"/>
        </w:rPr>
        <w:t>Given the rise of crowds as a vital part of decision-making in areas ranging from product design to entrepreneurship, the question of how the judgment of crowds compares to that of experts is of great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243205</wp:posOffset>
                </wp:positionV>
                <wp:extent cx="182880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9.15pt" to="144pt,19.15pt" o:allowincell="f" strokecolor="#000000" strokeweight="0.7199pt"/>
            </w:pict>
          </mc:Fallback>
        </mc:AlternateContent>
      </w:r>
    </w:p>
    <w:p>
      <w:pPr>
        <w:spacing w:after="0" w:line="200" w:lineRule="exact"/>
        <w:rPr>
          <w:sz w:val="20"/>
          <w:szCs w:val="20"/>
          <w:color w:val="auto"/>
        </w:rPr>
      </w:pPr>
    </w:p>
    <w:p>
      <w:pPr>
        <w:spacing w:after="0" w:line="314" w:lineRule="exact"/>
        <w:rPr>
          <w:sz w:val="20"/>
          <w:szCs w:val="20"/>
          <w:color w:val="auto"/>
        </w:rPr>
      </w:pPr>
    </w:p>
    <w:p>
      <w:pPr>
        <w:ind w:right="60"/>
        <w:spacing w:after="0" w:line="252" w:lineRule="auto"/>
        <w:rPr>
          <w:sz w:val="20"/>
          <w:szCs w:val="20"/>
          <w:color w:val="auto"/>
        </w:rPr>
      </w:pPr>
      <w:r>
        <w:rPr>
          <w:rFonts w:ascii="Calibri" w:cs="Calibri" w:eastAsia="Calibri" w:hAnsi="Calibri"/>
          <w:sz w:val="20"/>
          <w:szCs w:val="20"/>
          <w:color w:val="auto"/>
        </w:rPr>
        <w:t>answer the survey but which were supported by the crowd and the experts, 10 appeared to be successes, with 1 project failing due to the death of a key member of the theater troupe. Of the 21 projects that were funded only by the crowd, at least 1 was a critical success, winning a prestigious theater award, while 2 others appeared to win less prestigious theater honors. Additionally, 2 were partial failures, having delivered some of the performances promised in their campaign, but not all, although both projects promised to finish delivery in 2014 or 2015, and still appeared to enjoy backer support. These results align with those from the survey group, suggesting that there does not appear to be large hidden biases in Tables 6 and 7, but that if anything, the crowd seems to be associated with slightly more variance in outcomes.</w:t>
      </w:r>
    </w:p>
    <w:p>
      <w:pPr>
        <w:spacing w:after="0" w:line="147"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25</w:t>
      </w:r>
    </w:p>
    <w:p>
      <w:pPr>
        <w:sectPr>
          <w:pgSz w:w="12240" w:h="15840" w:orient="portrait"/>
          <w:cols w:equalWidth="0" w:num="1">
            <w:col w:w="9360"/>
          </w:cols>
          <w:pgMar w:left="1440" w:top="1440" w:right="1440" w:bottom="474" w:gutter="0" w:footer="0" w:header="0"/>
        </w:sectPr>
      </w:pPr>
    </w:p>
    <w:bookmarkStart w:id="26" w:name="page27"/>
    <w:bookmarkEnd w:id="26"/>
    <w:p>
      <w:pPr>
        <w:spacing w:after="0" w:line="41" w:lineRule="exact"/>
        <w:rPr>
          <w:sz w:val="20"/>
          <w:szCs w:val="20"/>
          <w:color w:val="auto"/>
        </w:rPr>
      </w:pPr>
    </w:p>
    <w:p>
      <w:pPr>
        <w:ind w:right="40"/>
        <w:spacing w:after="0" w:line="338" w:lineRule="auto"/>
        <w:rPr>
          <w:sz w:val="20"/>
          <w:szCs w:val="20"/>
          <w:color w:val="auto"/>
        </w:rPr>
      </w:pPr>
      <w:r>
        <w:rPr>
          <w:rFonts w:ascii="Calibri" w:cs="Calibri" w:eastAsia="Calibri" w:hAnsi="Calibri"/>
          <w:sz w:val="22"/>
          <w:szCs w:val="22"/>
          <w:color w:val="auto"/>
        </w:rPr>
        <w:t>importance. While there have been some signs that crowds could act wisely, most examples of crowd wisdom either include experts that ultimately exercise final judgment, as in crowdsourcing (Afuah &amp; Tucci, 2012; Poetz &amp; Schreier, 2012) or compare aggregated predictions to those of individuals (Budescu</w:t>
      </w:r>
    </w:p>
    <w:p>
      <w:pPr>
        <w:spacing w:after="0" w:line="75" w:lineRule="exact"/>
        <w:rPr>
          <w:sz w:val="20"/>
          <w:szCs w:val="20"/>
          <w:color w:val="auto"/>
        </w:rPr>
      </w:pPr>
    </w:p>
    <w:p>
      <w:pPr>
        <w:spacing w:after="0" w:line="348" w:lineRule="auto"/>
        <w:tabs>
          <w:tab w:leader="none" w:pos="201" w:val="left"/>
        </w:tabs>
        <w:numPr>
          <w:ilvl w:val="0"/>
          <w:numId w:val="14"/>
        </w:numPr>
        <w:rPr>
          <w:rFonts w:ascii="Calibri" w:cs="Calibri" w:eastAsia="Calibri" w:hAnsi="Calibri"/>
          <w:sz w:val="22"/>
          <w:szCs w:val="22"/>
          <w:color w:val="auto"/>
        </w:rPr>
      </w:pPr>
      <w:r>
        <w:rPr>
          <w:rFonts w:ascii="Calibri" w:cs="Calibri" w:eastAsia="Calibri" w:hAnsi="Calibri"/>
          <w:sz w:val="22"/>
          <w:szCs w:val="22"/>
          <w:color w:val="auto"/>
        </w:rPr>
        <w:t>Chen, 2014; Larrick &amp; Soll, 2012; Wolfers &amp; Zitzewitz, 2004). Crowdfunding, like other emerging areas where crowds act without intermediaries or secondary markets, operates differently, heightening the risk that the crowd could be “mad” – subject to irrational exuberance, follies of group decision-making, or other collective pitfalls. Further, even if crowds are not directly irrational, they could still only express idiosyncratic or popular tastes, ignoring proposals that would normally be supported by experts.</w:t>
      </w:r>
    </w:p>
    <w:p>
      <w:pPr>
        <w:spacing w:after="0" w:line="225" w:lineRule="exact"/>
        <w:rPr>
          <w:sz w:val="20"/>
          <w:szCs w:val="20"/>
          <w:color w:val="auto"/>
        </w:rPr>
      </w:pPr>
    </w:p>
    <w:p>
      <w:pPr>
        <w:ind w:right="40" w:firstLine="360"/>
        <w:spacing w:after="0" w:line="353" w:lineRule="auto"/>
        <w:rPr>
          <w:sz w:val="20"/>
          <w:szCs w:val="20"/>
          <w:color w:val="auto"/>
        </w:rPr>
      </w:pPr>
      <w:r>
        <w:rPr>
          <w:rFonts w:ascii="Calibri" w:cs="Calibri" w:eastAsia="Calibri" w:hAnsi="Calibri"/>
          <w:sz w:val="22"/>
          <w:szCs w:val="22"/>
          <w:color w:val="auto"/>
        </w:rPr>
        <w:t>The first contribution of our work is to document strong congruence in the judgment of crowds and experts in a highly subjective environment such as theater, even outside of prediction markets or forecasting competitions. These results were robust to many kinds of measurement. Further, we see no signs that, for those decisions where crowds and experts diverge, that the decisions supported by the crowd alone perform systematically worse than those of the experts. The projects selected by the crowd succeeded 93% of the time, while those selected by crowds and experts succeeded 100% of the time. However, among the successes, the crowds also seemed associated with bigger hits, suggesting more variability in the outcomes rather than a lower mean.</w:t>
      </w:r>
    </w:p>
    <w:p>
      <w:pPr>
        <w:spacing w:after="0" w:line="225" w:lineRule="exact"/>
        <w:rPr>
          <w:sz w:val="20"/>
          <w:szCs w:val="20"/>
          <w:color w:val="auto"/>
        </w:rPr>
      </w:pPr>
    </w:p>
    <w:p>
      <w:pPr>
        <w:ind w:right="40" w:firstLine="360"/>
        <w:spacing w:after="0" w:line="355" w:lineRule="auto"/>
        <w:rPr>
          <w:sz w:val="20"/>
          <w:szCs w:val="20"/>
          <w:color w:val="auto"/>
        </w:rPr>
      </w:pPr>
      <w:r>
        <w:rPr>
          <w:rFonts w:ascii="Calibri" w:cs="Calibri" w:eastAsia="Calibri" w:hAnsi="Calibri"/>
          <w:sz w:val="22"/>
          <w:szCs w:val="22"/>
          <w:color w:val="auto"/>
        </w:rPr>
        <w:t>Our results also shed light on the differences between crowd and expert judgment. The biggest differences we found between projects that the crowd alone supported versus those supported by experts seemed to be in the style of presentation, rather than the quality of the actual project itself. The more “crowdfunding friendly” a quality proposal was – taking advantage of the internet by using videos and pictures, including many rewards for backers, and so on – the more it seemed to appeal to the crowd. Similarly, experts also seem to have signals that they look for – for example the degree of formality of a proposal, or the presence of swear words. Our results suggest that these differences in tastes can have meaningful real outcomes, in that the crowd seems willing to fund projects that experts are not, even when experts are given unlimited funds and similarly, the crowd seems to systematically miss projects that experts like because they are not pitched in a “crowdfunding friendly” format.</w:t>
      </w:r>
    </w:p>
    <w:p>
      <w:pPr>
        <w:spacing w:after="0" w:line="217" w:lineRule="exact"/>
        <w:rPr>
          <w:sz w:val="20"/>
          <w:szCs w:val="20"/>
          <w:color w:val="auto"/>
        </w:rPr>
      </w:pPr>
    </w:p>
    <w:p>
      <w:pPr>
        <w:ind w:right="60" w:firstLine="360"/>
        <w:spacing w:after="0" w:line="348" w:lineRule="auto"/>
        <w:rPr>
          <w:sz w:val="20"/>
          <w:szCs w:val="20"/>
          <w:color w:val="auto"/>
        </w:rPr>
      </w:pPr>
      <w:r>
        <w:rPr>
          <w:rFonts w:ascii="Calibri" w:cs="Calibri" w:eastAsia="Calibri" w:hAnsi="Calibri"/>
          <w:sz w:val="22"/>
          <w:szCs w:val="22"/>
          <w:color w:val="auto"/>
        </w:rPr>
        <w:t>In this sense, our paper provides evidence of the important role crowdfunding can have in democratizing entry among projects that experts might have rejected. For example, crowdfunding provides the possibility of funding to individuals who would not otherwise have access to funds because of the potential challenges of applying for NEA grants: they may not have experience or knowledge of grant writing, may have the wrong skillset to apply, or may be proposing programs that are not within</w:t>
      </w:r>
    </w:p>
    <w:p>
      <w:pPr>
        <w:spacing w:after="0" w:line="150"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26</w:t>
      </w:r>
    </w:p>
    <w:p>
      <w:pPr>
        <w:sectPr>
          <w:pgSz w:w="12240" w:h="15840" w:orient="portrait"/>
          <w:cols w:equalWidth="0" w:num="1">
            <w:col w:w="9360"/>
          </w:cols>
          <w:pgMar w:left="1440" w:top="1440" w:right="1440" w:bottom="474" w:gutter="0" w:footer="0" w:header="0"/>
        </w:sectPr>
      </w:pPr>
    </w:p>
    <w:bookmarkStart w:id="27" w:name="page28"/>
    <w:bookmarkEnd w:id="27"/>
    <w:p>
      <w:pPr>
        <w:spacing w:after="0" w:line="23" w:lineRule="exact"/>
        <w:rPr>
          <w:sz w:val="20"/>
          <w:szCs w:val="20"/>
          <w:color w:val="auto"/>
        </w:rPr>
      </w:pPr>
    </w:p>
    <w:p>
      <w:pPr>
        <w:spacing w:after="0" w:line="339" w:lineRule="auto"/>
        <w:rPr>
          <w:sz w:val="20"/>
          <w:szCs w:val="20"/>
          <w:color w:val="auto"/>
        </w:rPr>
      </w:pPr>
      <w:r>
        <w:rPr>
          <w:rFonts w:ascii="Calibri" w:cs="Calibri" w:eastAsia="Calibri" w:hAnsi="Calibri"/>
          <w:sz w:val="22"/>
          <w:szCs w:val="22"/>
          <w:color w:val="auto"/>
        </w:rPr>
        <w:t xml:space="preserve">NEA guidelines. </w:t>
      </w:r>
      <w:r>
        <w:rPr>
          <w:rFonts w:ascii="Calibri" w:cs="Calibri" w:eastAsia="Calibri" w:hAnsi="Calibri"/>
          <w:sz w:val="27"/>
          <w:szCs w:val="27"/>
          <w:color w:val="auto"/>
          <w:vertAlign w:val="superscript"/>
        </w:rPr>
        <w:t>15</w:t>
      </w:r>
      <w:r>
        <w:rPr>
          <w:rFonts w:ascii="Calibri" w:cs="Calibri" w:eastAsia="Calibri" w:hAnsi="Calibri"/>
          <w:sz w:val="22"/>
          <w:szCs w:val="22"/>
          <w:color w:val="auto"/>
        </w:rPr>
        <w:t xml:space="preserve"> Based on this evidence, the change from a hierarchical expert-led system to a mixed expert and crowd-based one may have large positive effects on the types of innovations that the system produces (Sah &amp; Stiglitz, 1986), as allowing more ideas to come to fruition has been shown to lead to increased innovation quality (Kornish &amp; Ulrich, 2011; Terwiesch &amp; Ulrich, 2009). Similarly, a more diverse pool of individual innovators can further increase innovation (Østergaard, Timmermans, &amp; Kristinsson, 2011).</w:t>
      </w:r>
    </w:p>
    <w:p>
      <w:pPr>
        <w:spacing w:after="0" w:line="234" w:lineRule="exact"/>
        <w:rPr>
          <w:sz w:val="20"/>
          <w:szCs w:val="20"/>
          <w:color w:val="auto"/>
        </w:rPr>
      </w:pPr>
    </w:p>
    <w:p>
      <w:pPr>
        <w:ind w:firstLine="360"/>
        <w:spacing w:after="0" w:line="351" w:lineRule="auto"/>
        <w:rPr>
          <w:sz w:val="20"/>
          <w:szCs w:val="20"/>
          <w:color w:val="auto"/>
        </w:rPr>
      </w:pPr>
      <w:r>
        <w:rPr>
          <w:rFonts w:ascii="Calibri" w:cs="Calibri" w:eastAsia="Calibri" w:hAnsi="Calibri"/>
          <w:sz w:val="22"/>
          <w:szCs w:val="22"/>
          <w:color w:val="auto"/>
        </w:rPr>
        <w:t>It is important to note that, while we find encouraging evidence for the value of crowd decision-making, this does not devalue the role of experts. For example, some discussions with experts showed more willingness to fund more artistically challenging work that may not appeal to the crowd. Experts may also be less swayed by the salesmanship of the pitch, as evidenced by the lower importance they appeared to place on the multimedia in the pitch itself. Our results are consistent with, and indeed support, the notion that in a crowd-based decision regime there is still a critical place for expert judges. In fact, we aim to stress that our setting and research design does not allow us to speak definitively to the important and pertinent policy question of what would happen to theater projects if we shifted from a purely expert-funded model to a purely crowd-funded one. This is because we are focused on projects that applied to a crowd funding site rather than the universe of artistic projects that might be available</w:t>
      </w:r>
      <w:r>
        <w:rPr>
          <w:rFonts w:ascii="Calibri" w:cs="Calibri" w:eastAsia="Calibri" w:hAnsi="Calibri"/>
          <w:sz w:val="27"/>
          <w:szCs w:val="27"/>
          <w:color w:val="auto"/>
          <w:vertAlign w:val="superscript"/>
        </w:rPr>
        <w:t>16</w:t>
      </w:r>
      <w:r>
        <w:rPr>
          <w:rFonts w:ascii="Calibri" w:cs="Calibri" w:eastAsia="Calibri" w:hAnsi="Calibri"/>
          <w:sz w:val="22"/>
          <w:szCs w:val="22"/>
          <w:color w:val="auto"/>
        </w:rPr>
        <w:t>. For example, some have argued that the growing importance of Kickstarter in the funding of the arts reduces the need for the government to provide funding to such endeavors through the NEA, which has an annual operating budget of about $150 million. Although our results suggest that crowdfunding can play an important role to complement such organizations, we are less well-positioned to speak to questions related to how a decrease in theater grants from the NEA would impact the nature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356870</wp:posOffset>
                </wp:positionV>
                <wp:extent cx="182880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8.1pt" to="144pt,28.1pt" o:allowincell="f" strokecolor="#000000" strokeweight="0.71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right="100"/>
        <w:spacing w:after="0"/>
        <w:tabs>
          <w:tab w:leader="none" w:pos="175" w:val="left"/>
        </w:tabs>
        <w:numPr>
          <w:ilvl w:val="0"/>
          <w:numId w:val="15"/>
        </w:numPr>
        <w:rPr>
          <w:rFonts w:ascii="Calibri" w:cs="Calibri" w:eastAsia="Calibri" w:hAnsi="Calibri"/>
          <w:sz w:val="25"/>
          <w:szCs w:val="25"/>
          <w:color w:val="auto"/>
          <w:vertAlign w:val="superscript"/>
        </w:rPr>
      </w:pPr>
      <w:r>
        <w:rPr>
          <w:rFonts w:ascii="Calibri" w:cs="Calibri" w:eastAsia="Calibri" w:hAnsi="Calibri"/>
          <w:sz w:val="19"/>
          <w:szCs w:val="19"/>
          <w:color w:val="auto"/>
        </w:rPr>
        <w:t>As noted above, there are some suggestions in the data that the crowd may be more willing to take a chance on projects with higher variance outcomes than experts might be comfortable with. Though it is not statistically testable, we find that the crowd funded a higher percentage of hits (27%) than the experts (7%), and also the only project that failed due to a quality issue. Increasing the number of high variance projects may lead to more breakthrough ideas.</w:t>
      </w:r>
    </w:p>
    <w:p>
      <w:pPr>
        <w:spacing w:after="0" w:line="317" w:lineRule="exact"/>
        <w:rPr>
          <w:rFonts w:ascii="Calibri" w:cs="Calibri" w:eastAsia="Calibri" w:hAnsi="Calibri"/>
          <w:sz w:val="25"/>
          <w:szCs w:val="25"/>
          <w:color w:val="auto"/>
          <w:vertAlign w:val="superscript"/>
        </w:rPr>
      </w:pPr>
    </w:p>
    <w:p>
      <w:pPr>
        <w:ind w:right="40"/>
        <w:spacing w:after="0" w:line="256" w:lineRule="auto"/>
        <w:tabs>
          <w:tab w:leader="none" w:pos="175" w:val="left"/>
        </w:tabs>
        <w:numPr>
          <w:ilvl w:val="0"/>
          <w:numId w:val="15"/>
        </w:numPr>
        <w:rPr>
          <w:rFonts w:ascii="Calibri" w:cs="Calibri" w:eastAsia="Calibri" w:hAnsi="Calibri"/>
          <w:sz w:val="25"/>
          <w:szCs w:val="25"/>
          <w:color w:val="auto"/>
          <w:vertAlign w:val="superscript"/>
        </w:rPr>
      </w:pPr>
      <w:r>
        <w:rPr>
          <w:rFonts w:ascii="Calibri" w:cs="Calibri" w:eastAsia="Calibri" w:hAnsi="Calibri"/>
          <w:sz w:val="19"/>
          <w:szCs w:val="19"/>
          <w:color w:val="auto"/>
        </w:rPr>
        <w:t xml:space="preserve">Consider the following example: Say of 10 projects p1- p10, the crowd would fund p1-p3, neither crowds nor experts would fund p4 and experts would fund p5-p10. If a study sample contained only projects p1- p6, say because p7-p10 were not conducive to being listed on a crowdfunding site, then showing that a majority p1-p6 were funded by the crowd does not tell us anything about whether the crowd-only or expert-only system is better. In this example, if one were to choose between a crowd-funded or expert-funded system, the expert-based one would fund six projects compared to only three under a purely crowd-funded system even though the sample in question had a lower share of projects funded by experts. This is why one would need the </w:t>
      </w:r>
      <w:r>
        <w:rPr>
          <w:rFonts w:ascii="Calibri" w:cs="Calibri" w:eastAsia="Calibri" w:hAnsi="Calibri"/>
          <w:sz w:val="19"/>
          <w:szCs w:val="19"/>
          <w:i w:val="1"/>
          <w:iCs w:val="1"/>
          <w:color w:val="auto"/>
        </w:rPr>
        <w:t>universe</w:t>
      </w:r>
      <w:r>
        <w:rPr>
          <w:rFonts w:ascii="Calibri" w:cs="Calibri" w:eastAsia="Calibri" w:hAnsi="Calibri"/>
          <w:sz w:val="19"/>
          <w:szCs w:val="19"/>
          <w:color w:val="auto"/>
        </w:rPr>
        <w:t xml:space="preserve"> of projects, together with project fixed effects to effectively address this policy question. We thank a referee for clarifying this issue.</w:t>
      </w:r>
    </w:p>
    <w:p>
      <w:pPr>
        <w:spacing w:after="0" w:line="200" w:lineRule="exact"/>
        <w:rPr>
          <w:sz w:val="20"/>
          <w:szCs w:val="20"/>
          <w:color w:val="auto"/>
        </w:rPr>
      </w:pPr>
    </w:p>
    <w:p>
      <w:pPr>
        <w:spacing w:after="0" w:line="205"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27</w:t>
      </w:r>
    </w:p>
    <w:p>
      <w:pPr>
        <w:sectPr>
          <w:pgSz w:w="12240" w:h="15840" w:orient="portrait"/>
          <w:cols w:equalWidth="0" w:num="1">
            <w:col w:w="9360"/>
          </w:cols>
          <w:pgMar w:left="1440" w:top="1440" w:right="1440" w:bottom="474" w:gutter="0" w:footer="0" w:header="0"/>
        </w:sectPr>
      </w:pPr>
    </w:p>
    <w:bookmarkStart w:id="28" w:name="page29"/>
    <w:bookmarkEnd w:id="28"/>
    <w:p>
      <w:pPr>
        <w:spacing w:after="0" w:line="41" w:lineRule="exact"/>
        <w:rPr>
          <w:sz w:val="20"/>
          <w:szCs w:val="20"/>
          <w:color w:val="auto"/>
        </w:rPr>
      </w:pPr>
    </w:p>
    <w:p>
      <w:pPr>
        <w:ind w:right="120"/>
        <w:spacing w:after="0" w:line="316" w:lineRule="auto"/>
        <w:rPr>
          <w:sz w:val="20"/>
          <w:szCs w:val="20"/>
          <w:color w:val="auto"/>
        </w:rPr>
      </w:pPr>
      <w:r>
        <w:rPr>
          <w:rFonts w:ascii="Calibri" w:cs="Calibri" w:eastAsia="Calibri" w:hAnsi="Calibri"/>
          <w:sz w:val="22"/>
          <w:szCs w:val="22"/>
          <w:color w:val="auto"/>
        </w:rPr>
        <w:t>and style of theater productions in the United States, especially theater produced by underrepresented groups, or works that are artistically challenging.</w:t>
      </w:r>
    </w:p>
    <w:p>
      <w:pPr>
        <w:spacing w:after="0" w:line="258" w:lineRule="exact"/>
        <w:rPr>
          <w:sz w:val="20"/>
          <w:szCs w:val="20"/>
          <w:color w:val="auto"/>
        </w:rPr>
      </w:pPr>
    </w:p>
    <w:p>
      <w:pPr>
        <w:ind w:right="60" w:firstLine="720"/>
        <w:spacing w:after="0" w:line="352" w:lineRule="auto"/>
        <w:rPr>
          <w:sz w:val="20"/>
          <w:szCs w:val="20"/>
          <w:color w:val="auto"/>
        </w:rPr>
      </w:pPr>
      <w:r>
        <w:rPr>
          <w:rFonts w:ascii="Calibri" w:cs="Calibri" w:eastAsia="Calibri" w:hAnsi="Calibri"/>
          <w:sz w:val="22"/>
          <w:szCs w:val="22"/>
          <w:color w:val="auto"/>
        </w:rPr>
        <w:t>Although our analysis was conducted for theater projects, we feel that our key result, that experts demonstrate a strong congruence with projects funded by the crowd, is likely to generalize to other settings where the crowd is an end user for the product being financed and hence might be well positioned to judge the project. While this is likely to be true for many aspects of the arts, such as film, music and dance, we believe that there are also aspects of technological innovation where crowds can play a key role in complementing experts as sources of capital. Kickstarter has proven to be an influential source for innovations in areas as gaming and consumer-facing internet technologies, as well as more specialized areas such as wearable computing and 3D printing. Indeed, a number of startups that have raised funding on Kickstarter have gone on to raise institutional venture capital suggesting the growing role that the crowd can play in providing validation of “traction” for experts.</w:t>
      </w:r>
      <w:r>
        <w:rPr>
          <w:rFonts w:ascii="Calibri" w:cs="Calibri" w:eastAsia="Calibri" w:hAnsi="Calibri"/>
          <w:sz w:val="27"/>
          <w:szCs w:val="27"/>
          <w:color w:val="auto"/>
          <w:vertAlign w:val="superscript"/>
        </w:rPr>
        <w:t>17</w:t>
      </w:r>
    </w:p>
    <w:p>
      <w:pPr>
        <w:spacing w:after="0" w:line="160" w:lineRule="exact"/>
        <w:rPr>
          <w:sz w:val="20"/>
          <w:szCs w:val="20"/>
          <w:color w:val="auto"/>
        </w:rPr>
      </w:pPr>
    </w:p>
    <w:p>
      <w:pPr>
        <w:ind w:right="40" w:firstLine="360"/>
        <w:spacing w:after="0" w:line="356" w:lineRule="auto"/>
        <w:rPr>
          <w:sz w:val="20"/>
          <w:szCs w:val="20"/>
          <w:color w:val="auto"/>
        </w:rPr>
      </w:pPr>
      <w:r>
        <w:rPr>
          <w:rFonts w:ascii="Calibri" w:cs="Calibri" w:eastAsia="Calibri" w:hAnsi="Calibri"/>
          <w:sz w:val="22"/>
          <w:szCs w:val="22"/>
          <w:color w:val="auto"/>
        </w:rPr>
        <w:t>Our research has some limitations and strengths. One limitation is our study stems from the research design: we chose to restrict our analysis to a set of projects where, ex ante, we believed there to be overlap in the types of projects that were funded by the crowd and the types of projects our experts would evaluate in other settings, such as when reviewing for the NEA or foundations. We thus restricted our study to theater projects seeking at least $10,000. While we believe that theater offers a conservative test of crowd wisdom, given its subjective nature and the divide between critics and customers, we cannot necessarily generalize these findings to all other forms of crowd judgment. Furthermore, our results speak to crowd funding behavior conditional on the funding size we studied. If projects seeking much smaller funding, even within theater, are more frivolous or associated with different crowdfunding motivations, our findings will not apply to them. Second, while our outcome data is strongly suggestive of similar outcomes between the crowd only and the expert and crowd backed projects, it is circumstantial in nature, and hard to measure directly. Third, we focus only on projects that applied for crowdfunding, rather than the universe of all theater projects, which implies that we are limited in our ability to speak to which screening regime (crowds vs. experts) is better suited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651510</wp:posOffset>
                </wp:positionV>
                <wp:extent cx="182880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1.3pt" to="144pt,51.3pt" o:allowincell="f" strokecolor="#000000" strokeweight="0.71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ind w:right="20"/>
        <w:spacing w:after="0" w:line="236" w:lineRule="auto"/>
        <w:tabs>
          <w:tab w:leader="none" w:pos="175" w:val="left"/>
        </w:tabs>
        <w:numPr>
          <w:ilvl w:val="0"/>
          <w:numId w:val="16"/>
        </w:numPr>
        <w:rPr>
          <w:rFonts w:ascii="Calibri" w:cs="Calibri" w:eastAsia="Calibri" w:hAnsi="Calibri"/>
          <w:sz w:val="25"/>
          <w:szCs w:val="25"/>
          <w:color w:val="auto"/>
          <w:vertAlign w:val="superscript"/>
        </w:rPr>
      </w:pPr>
      <w:r>
        <w:rPr>
          <w:rFonts w:ascii="Calibri" w:cs="Calibri" w:eastAsia="Calibri" w:hAnsi="Calibri"/>
          <w:sz w:val="19"/>
          <w:szCs w:val="19"/>
          <w:color w:val="auto"/>
        </w:rPr>
        <w:t>For example, Kerr, Nanda, and Rhodes-Kropf (2014) document the difficulty that even professional investors have in predicting which investments are likely to be successful. Indeed, there seems to be a growing move among early stage investors to demonstrate ‘traction’ with customers, as is demonstrated by platforms such as AngelList profiling these metrics for potential investors.</w:t>
      </w:r>
    </w:p>
    <w:p>
      <w:pPr>
        <w:spacing w:after="0" w:line="160"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28</w:t>
      </w:r>
    </w:p>
    <w:p>
      <w:pPr>
        <w:sectPr>
          <w:pgSz w:w="12240" w:h="15840" w:orient="portrait"/>
          <w:cols w:equalWidth="0" w:num="1">
            <w:col w:w="9360"/>
          </w:cols>
          <w:pgMar w:left="1440" w:top="1440" w:right="1440" w:bottom="474" w:gutter="0" w:footer="0" w:header="0"/>
        </w:sectPr>
      </w:pPr>
    </w:p>
    <w:bookmarkStart w:id="29" w:name="page30"/>
    <w:bookmarkEnd w:id="29"/>
    <w:p>
      <w:pPr>
        <w:spacing w:after="0" w:line="41" w:lineRule="exact"/>
        <w:rPr>
          <w:sz w:val="20"/>
          <w:szCs w:val="20"/>
          <w:color w:val="auto"/>
        </w:rPr>
      </w:pPr>
    </w:p>
    <w:p>
      <w:pPr>
        <w:ind w:right="240"/>
        <w:spacing w:after="0" w:line="316" w:lineRule="auto"/>
        <w:rPr>
          <w:sz w:val="20"/>
          <w:szCs w:val="20"/>
          <w:color w:val="auto"/>
        </w:rPr>
      </w:pPr>
      <w:r>
        <w:rPr>
          <w:rFonts w:ascii="Calibri" w:cs="Calibri" w:eastAsia="Calibri" w:hAnsi="Calibri"/>
          <w:sz w:val="22"/>
          <w:szCs w:val="22"/>
          <w:color w:val="auto"/>
        </w:rPr>
        <w:t>to the projects applying for funding or to address the question of how a shift from one funding regime to another might impact which projects are commercialized.</w:t>
      </w:r>
    </w:p>
    <w:p>
      <w:pPr>
        <w:spacing w:after="0" w:line="258" w:lineRule="exact"/>
        <w:rPr>
          <w:sz w:val="20"/>
          <w:szCs w:val="20"/>
          <w:color w:val="auto"/>
        </w:rPr>
      </w:pPr>
    </w:p>
    <w:p>
      <w:pPr>
        <w:ind w:right="140" w:firstLine="360"/>
        <w:spacing w:after="0" w:line="351" w:lineRule="auto"/>
        <w:rPr>
          <w:sz w:val="20"/>
          <w:szCs w:val="20"/>
          <w:color w:val="auto"/>
        </w:rPr>
      </w:pPr>
      <w:r>
        <w:rPr>
          <w:rFonts w:ascii="Calibri" w:cs="Calibri" w:eastAsia="Calibri" w:hAnsi="Calibri"/>
          <w:sz w:val="22"/>
          <w:szCs w:val="22"/>
          <w:color w:val="auto"/>
        </w:rPr>
        <w:t>Despite these limitations, however, our approach also has strengths. A key strength is that by using panels of expert judges to evaluate existing projects, we were able to avoid many of the endogenity concerns that might otherwise arise in such studies. Further, the opinions of judges on projects are robust to judge fixed effects, suggesting that our results are not purely the result of idiosyncratic views of some judges. Additionally, we were able to use field data representing actual crowd decisions from the largest crowdfunding platform, observing both successful and failed projects.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spacing w:after="0"/>
        <w:rPr>
          <w:sz w:val="20"/>
          <w:szCs w:val="20"/>
          <w:color w:val="auto"/>
        </w:rPr>
      </w:pPr>
      <w:r>
        <w:rPr>
          <w:rFonts w:ascii="Calibri" w:cs="Calibri" w:eastAsia="Calibri" w:hAnsi="Calibri"/>
          <w:sz w:val="28"/>
          <w:szCs w:val="28"/>
          <w:b w:val="1"/>
          <w:bCs w:val="1"/>
          <w:color w:val="auto"/>
        </w:rPr>
        <w:t>7. Conclusion</w:t>
      </w:r>
    </w:p>
    <w:p>
      <w:pPr>
        <w:spacing w:after="0" w:line="379" w:lineRule="exact"/>
        <w:rPr>
          <w:sz w:val="20"/>
          <w:szCs w:val="20"/>
          <w:color w:val="auto"/>
        </w:rPr>
      </w:pPr>
    </w:p>
    <w:p>
      <w:pPr>
        <w:ind w:firstLine="360"/>
        <w:spacing w:after="0" w:line="356" w:lineRule="auto"/>
        <w:rPr>
          <w:sz w:val="20"/>
          <w:szCs w:val="20"/>
          <w:color w:val="auto"/>
        </w:rPr>
      </w:pPr>
      <w:r>
        <w:rPr>
          <w:rFonts w:ascii="Calibri" w:cs="Calibri" w:eastAsia="Calibri" w:hAnsi="Calibri"/>
          <w:sz w:val="22"/>
          <w:szCs w:val="22"/>
          <w:color w:val="auto"/>
        </w:rPr>
        <w:t>Our study offers the first detailed comparison of crowd and expert judgment, an issue of increasing relevance in a world where crowdfunding, crowdsourcing, crowdscience, and related concepts are increasing in popularity, and where billions of dollars are being deployed through crowdfunding platforms. In particular, we can effectively address the extent to which experts agree or disagree with the funding decisions of the crowd, and thereby use this as a benchmark for the wisdom of crowds. We find that the crowd is more wise than mad, generally agreeing with the experts, and that, on average, the projects selected by the crowd alone seem to do as well as those selected by experts. For academics, our work highlights the need to better understand the ways in which crowd decisions are made and the circumstances under which the crowd, experts, or a combination should be deployed to address particular needs. Practically, this paper suggests that crowdfunding may be a viable source of entrepreneurial financing, for both cultural projects and traditional startups. The crowd has the potential to increase innovation, lower barriers to entry, and democratize the entrepreneurial process by allowing more ideas to compete in the marketplace, particularly as a complement to expert judgment.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29</w:t>
      </w:r>
    </w:p>
    <w:p>
      <w:pPr>
        <w:sectPr>
          <w:pgSz w:w="12240" w:h="15840" w:orient="portrait"/>
          <w:cols w:equalWidth="0" w:num="1">
            <w:col w:w="9360"/>
          </w:cols>
          <w:pgMar w:left="1440" w:top="1440" w:right="1440" w:bottom="474" w:gutter="0" w:footer="0" w:header="0"/>
        </w:sectPr>
      </w:pPr>
    </w:p>
    <w:bookmarkStart w:id="30" w:name="page31"/>
    <w:bookmarkEnd w:id="30"/>
    <w:p>
      <w:pPr>
        <w:spacing w:after="0"/>
        <w:rPr>
          <w:sz w:val="20"/>
          <w:szCs w:val="20"/>
          <w:color w:val="auto"/>
        </w:rPr>
      </w:pPr>
      <w:r>
        <w:rPr>
          <w:rFonts w:ascii="Calibri" w:cs="Calibri" w:eastAsia="Calibri" w:hAnsi="Calibri"/>
          <w:sz w:val="28"/>
          <w:szCs w:val="28"/>
          <w:b w:val="1"/>
          <w:bCs w:val="1"/>
          <w:color w:val="auto"/>
        </w:rPr>
        <w:t>References</w:t>
      </w:r>
    </w:p>
    <w:p>
      <w:pPr>
        <w:spacing w:after="0" w:line="200" w:lineRule="exact"/>
        <w:rPr>
          <w:sz w:val="20"/>
          <w:szCs w:val="20"/>
          <w:color w:val="auto"/>
        </w:rPr>
      </w:pPr>
    </w:p>
    <w:p>
      <w:pPr>
        <w:spacing w:after="0" w:line="297" w:lineRule="exact"/>
        <w:rPr>
          <w:sz w:val="20"/>
          <w:szCs w:val="20"/>
          <w:color w:val="auto"/>
        </w:rPr>
      </w:pPr>
    </w:p>
    <w:p>
      <w:pPr>
        <w:ind w:left="480" w:right="80" w:hanging="479"/>
        <w:spacing w:after="0" w:line="218" w:lineRule="auto"/>
        <w:rPr>
          <w:sz w:val="20"/>
          <w:szCs w:val="20"/>
          <w:color w:val="auto"/>
        </w:rPr>
      </w:pPr>
      <w:r>
        <w:rPr>
          <w:rFonts w:ascii="Calibri" w:cs="Calibri" w:eastAsia="Calibri" w:hAnsi="Calibri"/>
          <w:sz w:val="22"/>
          <w:szCs w:val="22"/>
          <w:color w:val="auto"/>
        </w:rPr>
        <w:t xml:space="preserve">Afuah, A., &amp; Tucci, C. L. (2012). Crowdsourcing as a solution to distant search. </w:t>
      </w:r>
      <w:r>
        <w:rPr>
          <w:rFonts w:ascii="Calibri" w:cs="Calibri" w:eastAsia="Calibri" w:hAnsi="Calibri"/>
          <w:sz w:val="22"/>
          <w:szCs w:val="22"/>
          <w:i w:val="1"/>
          <w:iCs w:val="1"/>
          <w:color w:val="auto"/>
        </w:rPr>
        <w:t>Academy of Management</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Review</w:t>
      </w:r>
      <w:r>
        <w:rPr>
          <w:rFonts w:ascii="Calibri" w:cs="Calibri" w:eastAsia="Calibri" w:hAnsi="Calibri"/>
          <w:sz w:val="22"/>
          <w:szCs w:val="22"/>
          <w:color w:val="auto"/>
        </w:rPr>
        <w:t>,</w:t>
      </w:r>
      <w:r>
        <w:rPr>
          <w:rFonts w:ascii="Calibri" w:cs="Calibri" w:eastAsia="Calibri" w:hAnsi="Calibri"/>
          <w:sz w:val="22"/>
          <w:szCs w:val="22"/>
          <w:i w:val="1"/>
          <w:iCs w:val="1"/>
          <w:color w:val="auto"/>
        </w:rPr>
        <w:t xml:space="preserve"> 37</w:t>
      </w:r>
      <w:r>
        <w:rPr>
          <w:rFonts w:ascii="Calibri" w:cs="Calibri" w:eastAsia="Calibri" w:hAnsi="Calibri"/>
          <w:sz w:val="22"/>
          <w:szCs w:val="22"/>
          <w:color w:val="auto"/>
        </w:rPr>
        <w:t>(3), 355–375.</w:t>
      </w:r>
    </w:p>
    <w:p>
      <w:pPr>
        <w:spacing w:after="0" w:line="331" w:lineRule="exact"/>
        <w:rPr>
          <w:sz w:val="20"/>
          <w:szCs w:val="20"/>
          <w:color w:val="auto"/>
        </w:rPr>
      </w:pPr>
    </w:p>
    <w:p>
      <w:pPr>
        <w:ind w:left="480" w:right="20" w:hanging="479"/>
        <w:spacing w:after="0" w:line="218" w:lineRule="auto"/>
        <w:rPr>
          <w:sz w:val="20"/>
          <w:szCs w:val="20"/>
          <w:color w:val="auto"/>
        </w:rPr>
      </w:pPr>
      <w:r>
        <w:rPr>
          <w:rFonts w:ascii="Calibri" w:cs="Calibri" w:eastAsia="Calibri" w:hAnsi="Calibri"/>
          <w:sz w:val="22"/>
          <w:szCs w:val="22"/>
          <w:color w:val="auto"/>
        </w:rPr>
        <w:t xml:space="preserve">Agrawal, A., Catalini, C., &amp; Goldfarb, A. (2010). The Geography of Crowdfunding. </w:t>
      </w:r>
      <w:r>
        <w:rPr>
          <w:rFonts w:ascii="Calibri" w:cs="Calibri" w:eastAsia="Calibri" w:hAnsi="Calibri"/>
          <w:sz w:val="22"/>
          <w:szCs w:val="22"/>
          <w:i w:val="1"/>
          <w:iCs w:val="1"/>
          <w:color w:val="auto"/>
        </w:rPr>
        <w:t>SSRN Electronic Journal</w:t>
      </w:r>
      <w:r>
        <w:rPr>
          <w:rFonts w:ascii="Calibri" w:cs="Calibri" w:eastAsia="Calibri" w:hAnsi="Calibri"/>
          <w:sz w:val="22"/>
          <w:szCs w:val="22"/>
          <w:color w:val="auto"/>
        </w:rPr>
        <w:t>. doi:10.2139/ssrn.1692661</w:t>
      </w:r>
    </w:p>
    <w:p>
      <w:pPr>
        <w:spacing w:after="0" w:line="328" w:lineRule="exact"/>
        <w:rPr>
          <w:sz w:val="20"/>
          <w:szCs w:val="20"/>
          <w:color w:val="auto"/>
        </w:rPr>
      </w:pPr>
    </w:p>
    <w:p>
      <w:pPr>
        <w:ind w:left="480" w:right="280" w:hanging="479"/>
        <w:spacing w:after="0" w:line="218" w:lineRule="auto"/>
        <w:rPr>
          <w:sz w:val="20"/>
          <w:szCs w:val="20"/>
          <w:color w:val="auto"/>
        </w:rPr>
      </w:pPr>
      <w:r>
        <w:rPr>
          <w:rFonts w:ascii="Calibri" w:cs="Calibri" w:eastAsia="Calibri" w:hAnsi="Calibri"/>
          <w:sz w:val="22"/>
          <w:szCs w:val="22"/>
          <w:color w:val="auto"/>
        </w:rPr>
        <w:t xml:space="preserve">Agrawal, A., Catalini, C., &amp; Goldfarb, A. (2013). The Simple Economics of Crowdfunding. </w:t>
      </w:r>
      <w:r>
        <w:rPr>
          <w:rFonts w:ascii="Calibri" w:cs="Calibri" w:eastAsia="Calibri" w:hAnsi="Calibri"/>
          <w:sz w:val="22"/>
          <w:szCs w:val="22"/>
          <w:i w:val="1"/>
          <w:iCs w:val="1"/>
          <w:color w:val="auto"/>
        </w:rPr>
        <w:t>Policy and the</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Economy</w:t>
      </w:r>
      <w:r>
        <w:rPr>
          <w:rFonts w:ascii="Calibri" w:cs="Calibri" w:eastAsia="Calibri" w:hAnsi="Calibri"/>
          <w:sz w:val="22"/>
          <w:szCs w:val="22"/>
          <w:color w:val="auto"/>
        </w:rPr>
        <w:t>,</w:t>
      </w:r>
      <w:r>
        <w:rPr>
          <w:rFonts w:ascii="Calibri" w:cs="Calibri" w:eastAsia="Calibri" w:hAnsi="Calibri"/>
          <w:sz w:val="22"/>
          <w:szCs w:val="22"/>
          <w:i w:val="1"/>
          <w:iCs w:val="1"/>
          <w:color w:val="auto"/>
        </w:rPr>
        <w:t xml:space="preserve"> 14</w:t>
      </w:r>
      <w:r>
        <w:rPr>
          <w:rFonts w:ascii="Calibri" w:cs="Calibri" w:eastAsia="Calibri" w:hAnsi="Calibri"/>
          <w:sz w:val="22"/>
          <w:szCs w:val="22"/>
          <w:color w:val="auto"/>
        </w:rPr>
        <w:t>, 1–46.</w:t>
      </w:r>
    </w:p>
    <w:p>
      <w:pPr>
        <w:spacing w:after="0" w:line="331" w:lineRule="exact"/>
        <w:rPr>
          <w:sz w:val="20"/>
          <w:szCs w:val="20"/>
          <w:color w:val="auto"/>
        </w:rPr>
      </w:pPr>
    </w:p>
    <w:p>
      <w:pPr>
        <w:ind w:left="480" w:right="340" w:hanging="479"/>
        <w:spacing w:after="0" w:line="225" w:lineRule="auto"/>
        <w:rPr>
          <w:sz w:val="20"/>
          <w:szCs w:val="20"/>
          <w:color w:val="auto"/>
        </w:rPr>
      </w:pPr>
      <w:r>
        <w:rPr>
          <w:rFonts w:ascii="Calibri" w:cs="Calibri" w:eastAsia="Calibri" w:hAnsi="Calibri"/>
          <w:sz w:val="22"/>
          <w:szCs w:val="22"/>
          <w:color w:val="auto"/>
        </w:rPr>
        <w:t xml:space="preserve">Bahrami, B., Olsen, K., Bang, D., Roepstorff, A., Rees, G., &amp; Frith, C. (2012). What failure in collective decision-making tells us about metacognition. </w:t>
      </w:r>
      <w:r>
        <w:rPr>
          <w:rFonts w:ascii="Calibri" w:cs="Calibri" w:eastAsia="Calibri" w:hAnsi="Calibri"/>
          <w:sz w:val="22"/>
          <w:szCs w:val="22"/>
          <w:i w:val="1"/>
          <w:iCs w:val="1"/>
          <w:color w:val="auto"/>
        </w:rPr>
        <w:t>Philosophical Transactions of the Royal Society B:</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Biological Sciences</w:t>
      </w:r>
      <w:r>
        <w:rPr>
          <w:rFonts w:ascii="Calibri" w:cs="Calibri" w:eastAsia="Calibri" w:hAnsi="Calibri"/>
          <w:sz w:val="22"/>
          <w:szCs w:val="22"/>
          <w:color w:val="auto"/>
        </w:rPr>
        <w:t>,</w:t>
      </w:r>
      <w:r>
        <w:rPr>
          <w:rFonts w:ascii="Calibri" w:cs="Calibri" w:eastAsia="Calibri" w:hAnsi="Calibri"/>
          <w:sz w:val="22"/>
          <w:szCs w:val="22"/>
          <w:i w:val="1"/>
          <w:iCs w:val="1"/>
          <w:color w:val="auto"/>
        </w:rPr>
        <w:t xml:space="preserve"> 367</w:t>
      </w:r>
      <w:r>
        <w:rPr>
          <w:rFonts w:ascii="Calibri" w:cs="Calibri" w:eastAsia="Calibri" w:hAnsi="Calibri"/>
          <w:sz w:val="22"/>
          <w:szCs w:val="22"/>
          <w:color w:val="auto"/>
        </w:rPr>
        <w:t>(1594), 1350–1365.</w:t>
      </w:r>
    </w:p>
    <w:p>
      <w:pPr>
        <w:spacing w:after="0" w:line="330" w:lineRule="exact"/>
        <w:rPr>
          <w:sz w:val="20"/>
          <w:szCs w:val="20"/>
          <w:color w:val="auto"/>
        </w:rPr>
      </w:pPr>
    </w:p>
    <w:p>
      <w:pPr>
        <w:ind w:left="480" w:right="400" w:hanging="479"/>
        <w:spacing w:after="0" w:line="218" w:lineRule="auto"/>
        <w:rPr>
          <w:sz w:val="20"/>
          <w:szCs w:val="20"/>
          <w:color w:val="auto"/>
        </w:rPr>
      </w:pPr>
      <w:r>
        <w:rPr>
          <w:rFonts w:ascii="Calibri" w:cs="Calibri" w:eastAsia="Calibri" w:hAnsi="Calibri"/>
          <w:sz w:val="22"/>
          <w:szCs w:val="22"/>
          <w:color w:val="auto"/>
        </w:rPr>
        <w:t xml:space="preserve">Balaratnasingam, S., &amp; Janca, A. (2006). Mass hysteria revisited. </w:t>
      </w:r>
      <w:r>
        <w:rPr>
          <w:rFonts w:ascii="Calibri" w:cs="Calibri" w:eastAsia="Calibri" w:hAnsi="Calibri"/>
          <w:sz w:val="22"/>
          <w:szCs w:val="22"/>
          <w:i w:val="1"/>
          <w:iCs w:val="1"/>
          <w:color w:val="auto"/>
        </w:rPr>
        <w:t>Current Opinion in Psychiatry</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19</w:t>
      </w:r>
      <w:r>
        <w:rPr>
          <w:rFonts w:ascii="Calibri" w:cs="Calibri" w:eastAsia="Calibri" w:hAnsi="Calibri"/>
          <w:sz w:val="22"/>
          <w:szCs w:val="22"/>
          <w:color w:val="auto"/>
        </w:rPr>
        <w:t>(2), 171–174.</w:t>
      </w:r>
    </w:p>
    <w:p>
      <w:pPr>
        <w:spacing w:after="0" w:line="328" w:lineRule="exact"/>
        <w:rPr>
          <w:sz w:val="20"/>
          <w:szCs w:val="20"/>
          <w:color w:val="auto"/>
        </w:rPr>
      </w:pPr>
    </w:p>
    <w:p>
      <w:pPr>
        <w:ind w:left="480" w:right="400" w:hanging="479"/>
        <w:spacing w:after="0" w:line="218" w:lineRule="auto"/>
        <w:rPr>
          <w:sz w:val="20"/>
          <w:szCs w:val="20"/>
          <w:color w:val="auto"/>
        </w:rPr>
      </w:pPr>
      <w:r>
        <w:rPr>
          <w:rFonts w:ascii="Calibri" w:cs="Calibri" w:eastAsia="Calibri" w:hAnsi="Calibri"/>
          <w:sz w:val="22"/>
          <w:szCs w:val="22"/>
          <w:color w:val="auto"/>
        </w:rPr>
        <w:t xml:space="preserve">Banerjee, A. V. (1992). A simple model of herd behavior. </w:t>
      </w:r>
      <w:r>
        <w:rPr>
          <w:rFonts w:ascii="Calibri" w:cs="Calibri" w:eastAsia="Calibri" w:hAnsi="Calibri"/>
          <w:sz w:val="22"/>
          <w:szCs w:val="22"/>
          <w:i w:val="1"/>
          <w:iCs w:val="1"/>
          <w:color w:val="auto"/>
        </w:rPr>
        <w:t>The Quarterly Journal of Economics</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107</w:t>
      </w:r>
      <w:r>
        <w:rPr>
          <w:rFonts w:ascii="Calibri" w:cs="Calibri" w:eastAsia="Calibri" w:hAnsi="Calibri"/>
          <w:sz w:val="22"/>
          <w:szCs w:val="22"/>
          <w:color w:val="auto"/>
        </w:rPr>
        <w:t>(3), 797–817.</w:t>
      </w:r>
    </w:p>
    <w:p>
      <w:pPr>
        <w:spacing w:after="0" w:line="282" w:lineRule="exact"/>
        <w:rPr>
          <w:sz w:val="20"/>
          <w:szCs w:val="20"/>
          <w:color w:val="auto"/>
        </w:rPr>
      </w:pPr>
    </w:p>
    <w:p>
      <w:pPr>
        <w:spacing w:after="0"/>
        <w:rPr>
          <w:sz w:val="20"/>
          <w:szCs w:val="20"/>
          <w:color w:val="auto"/>
        </w:rPr>
      </w:pPr>
      <w:r>
        <w:rPr>
          <w:rFonts w:ascii="Calibri" w:cs="Calibri" w:eastAsia="Calibri" w:hAnsi="Calibri"/>
          <w:sz w:val="22"/>
          <w:szCs w:val="22"/>
          <w:color w:val="auto"/>
        </w:rPr>
        <w:t>Barsade, S. G. (2002). The ripple effect: Emotional contagion and its influence on group behavior.</w:t>
      </w:r>
    </w:p>
    <w:p>
      <w:pPr>
        <w:ind w:left="480"/>
        <w:spacing w:after="0"/>
        <w:rPr>
          <w:sz w:val="20"/>
          <w:szCs w:val="20"/>
          <w:color w:val="auto"/>
        </w:rPr>
      </w:pPr>
      <w:r>
        <w:rPr>
          <w:rFonts w:ascii="Calibri" w:cs="Calibri" w:eastAsia="Calibri" w:hAnsi="Calibri"/>
          <w:sz w:val="22"/>
          <w:szCs w:val="22"/>
          <w:i w:val="1"/>
          <w:iCs w:val="1"/>
          <w:color w:val="auto"/>
        </w:rPr>
        <w:t>Administrative Science Quarterly</w:t>
      </w:r>
      <w:r>
        <w:rPr>
          <w:rFonts w:ascii="Calibri" w:cs="Calibri" w:eastAsia="Calibri" w:hAnsi="Calibri"/>
          <w:sz w:val="22"/>
          <w:szCs w:val="22"/>
          <w:color w:val="auto"/>
        </w:rPr>
        <w:t>,</w:t>
      </w:r>
      <w:r>
        <w:rPr>
          <w:rFonts w:ascii="Calibri" w:cs="Calibri" w:eastAsia="Calibri" w:hAnsi="Calibri"/>
          <w:sz w:val="22"/>
          <w:szCs w:val="22"/>
          <w:i w:val="1"/>
          <w:iCs w:val="1"/>
          <w:color w:val="auto"/>
        </w:rPr>
        <w:t xml:space="preserve"> 47</w:t>
      </w:r>
      <w:r>
        <w:rPr>
          <w:rFonts w:ascii="Calibri" w:cs="Calibri" w:eastAsia="Calibri" w:hAnsi="Calibri"/>
          <w:sz w:val="22"/>
          <w:szCs w:val="22"/>
          <w:color w:val="auto"/>
        </w:rPr>
        <w:t>(4), 644–675.</w:t>
      </w:r>
    </w:p>
    <w:p>
      <w:pPr>
        <w:spacing w:after="0" w:line="328" w:lineRule="exact"/>
        <w:rPr>
          <w:sz w:val="20"/>
          <w:szCs w:val="20"/>
          <w:color w:val="auto"/>
        </w:rPr>
      </w:pPr>
    </w:p>
    <w:p>
      <w:pPr>
        <w:ind w:left="480" w:right="420" w:hanging="479"/>
        <w:spacing w:after="0" w:line="225" w:lineRule="auto"/>
        <w:rPr>
          <w:sz w:val="20"/>
          <w:szCs w:val="20"/>
          <w:color w:val="auto"/>
        </w:rPr>
      </w:pPr>
      <w:r>
        <w:rPr>
          <w:rFonts w:ascii="Calibri" w:cs="Calibri" w:eastAsia="Calibri" w:hAnsi="Calibri"/>
          <w:sz w:val="22"/>
          <w:szCs w:val="22"/>
          <w:color w:val="auto"/>
        </w:rPr>
        <w:t xml:space="preserve">Baum, J., &amp; Silverman, B. (2004). Picking winners or building them? Alliance, intellectual, and human capital as selection criteria in venture financing and performance of biotechnology startups. </w:t>
      </w:r>
      <w:r>
        <w:rPr>
          <w:rFonts w:ascii="Calibri" w:cs="Calibri" w:eastAsia="Calibri" w:hAnsi="Calibri"/>
          <w:sz w:val="22"/>
          <w:szCs w:val="22"/>
          <w:i w:val="1"/>
          <w:iCs w:val="1"/>
          <w:color w:val="auto"/>
        </w:rPr>
        <w:t>Journal of Business Venturing</w:t>
      </w:r>
      <w:r>
        <w:rPr>
          <w:rFonts w:ascii="Calibri" w:cs="Calibri" w:eastAsia="Calibri" w:hAnsi="Calibri"/>
          <w:sz w:val="22"/>
          <w:szCs w:val="22"/>
          <w:color w:val="auto"/>
        </w:rPr>
        <w:t>,</w:t>
      </w:r>
      <w:r>
        <w:rPr>
          <w:rFonts w:ascii="Calibri" w:cs="Calibri" w:eastAsia="Calibri" w:hAnsi="Calibri"/>
          <w:sz w:val="22"/>
          <w:szCs w:val="22"/>
          <w:i w:val="1"/>
          <w:iCs w:val="1"/>
          <w:color w:val="auto"/>
        </w:rPr>
        <w:t xml:space="preserve"> 19</w:t>
      </w:r>
      <w:r>
        <w:rPr>
          <w:rFonts w:ascii="Calibri" w:cs="Calibri" w:eastAsia="Calibri" w:hAnsi="Calibri"/>
          <w:sz w:val="22"/>
          <w:szCs w:val="22"/>
          <w:color w:val="auto"/>
        </w:rPr>
        <w:t>(3), 411–436.</w:t>
      </w:r>
    </w:p>
    <w:p>
      <w:pPr>
        <w:spacing w:after="0" w:line="332" w:lineRule="exact"/>
        <w:rPr>
          <w:sz w:val="20"/>
          <w:szCs w:val="20"/>
          <w:color w:val="auto"/>
        </w:rPr>
      </w:pPr>
    </w:p>
    <w:p>
      <w:pPr>
        <w:ind w:left="480" w:right="620" w:hanging="479"/>
        <w:spacing w:after="0" w:line="218" w:lineRule="auto"/>
        <w:rPr>
          <w:sz w:val="20"/>
          <w:szCs w:val="20"/>
          <w:color w:val="auto"/>
        </w:rPr>
      </w:pPr>
      <w:r>
        <w:rPr>
          <w:rFonts w:ascii="Calibri" w:cs="Calibri" w:eastAsia="Calibri" w:hAnsi="Calibri"/>
          <w:sz w:val="22"/>
          <w:szCs w:val="22"/>
          <w:color w:val="auto"/>
        </w:rPr>
        <w:t xml:space="preserve">Bikhchandani, S., Hirshleifer, D., &amp; Welch, I. (1992). A theory of fads, fashion, custom, and cultural change as informational cascades. </w:t>
      </w:r>
      <w:r>
        <w:rPr>
          <w:rFonts w:ascii="Calibri" w:cs="Calibri" w:eastAsia="Calibri" w:hAnsi="Calibri"/>
          <w:sz w:val="22"/>
          <w:szCs w:val="22"/>
          <w:i w:val="1"/>
          <w:iCs w:val="1"/>
          <w:color w:val="auto"/>
        </w:rPr>
        <w:t>Journal of Political Economy</w:t>
      </w:r>
      <w:r>
        <w:rPr>
          <w:rFonts w:ascii="Calibri" w:cs="Calibri" w:eastAsia="Calibri" w:hAnsi="Calibri"/>
          <w:sz w:val="22"/>
          <w:szCs w:val="22"/>
          <w:color w:val="auto"/>
        </w:rPr>
        <w:t>, 992–1026.</w:t>
      </w:r>
    </w:p>
    <w:p>
      <w:pPr>
        <w:spacing w:after="0" w:line="328" w:lineRule="exact"/>
        <w:rPr>
          <w:sz w:val="20"/>
          <w:szCs w:val="20"/>
          <w:color w:val="auto"/>
        </w:rPr>
      </w:pPr>
    </w:p>
    <w:p>
      <w:pPr>
        <w:ind w:left="480" w:right="220" w:hanging="479"/>
        <w:spacing w:after="0" w:line="218" w:lineRule="auto"/>
        <w:rPr>
          <w:sz w:val="20"/>
          <w:szCs w:val="20"/>
          <w:color w:val="auto"/>
        </w:rPr>
      </w:pPr>
      <w:r>
        <w:rPr>
          <w:rFonts w:ascii="Calibri" w:cs="Calibri" w:eastAsia="Calibri" w:hAnsi="Calibri"/>
          <w:sz w:val="22"/>
          <w:szCs w:val="22"/>
          <w:color w:val="auto"/>
        </w:rPr>
        <w:t xml:space="preserve">Bogers, M., Afuah, A., &amp; Bastian, B. (2010). Users as innovators: a review, critique, and future research directions. </w:t>
      </w:r>
      <w:r>
        <w:rPr>
          <w:rFonts w:ascii="Calibri" w:cs="Calibri" w:eastAsia="Calibri" w:hAnsi="Calibri"/>
          <w:sz w:val="22"/>
          <w:szCs w:val="22"/>
          <w:i w:val="1"/>
          <w:iCs w:val="1"/>
          <w:color w:val="auto"/>
        </w:rPr>
        <w:t>Journal of Management</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36</w:t>
      </w:r>
      <w:r>
        <w:rPr>
          <w:rFonts w:ascii="Calibri" w:cs="Calibri" w:eastAsia="Calibri" w:hAnsi="Calibri"/>
          <w:sz w:val="22"/>
          <w:szCs w:val="22"/>
          <w:color w:val="auto"/>
        </w:rPr>
        <w:t>, 857–875.</w:t>
      </w:r>
    </w:p>
    <w:p>
      <w:pPr>
        <w:spacing w:after="0" w:line="331" w:lineRule="exact"/>
        <w:rPr>
          <w:sz w:val="20"/>
          <w:szCs w:val="20"/>
          <w:color w:val="auto"/>
        </w:rPr>
      </w:pPr>
    </w:p>
    <w:p>
      <w:pPr>
        <w:ind w:left="480" w:right="240" w:hanging="479"/>
        <w:spacing w:after="0" w:line="218" w:lineRule="auto"/>
        <w:rPr>
          <w:sz w:val="20"/>
          <w:szCs w:val="20"/>
          <w:color w:val="auto"/>
        </w:rPr>
      </w:pPr>
      <w:r>
        <w:rPr>
          <w:rFonts w:ascii="Calibri" w:cs="Calibri" w:eastAsia="Calibri" w:hAnsi="Calibri"/>
          <w:sz w:val="22"/>
          <w:szCs w:val="22"/>
          <w:color w:val="auto"/>
        </w:rPr>
        <w:t xml:space="preserve">Boudreau, K., Lacetera, N., &amp; Lakhani, K. (2010). </w:t>
      </w:r>
      <w:r>
        <w:rPr>
          <w:rFonts w:ascii="Calibri" w:cs="Calibri" w:eastAsia="Calibri" w:hAnsi="Calibri"/>
          <w:sz w:val="22"/>
          <w:szCs w:val="22"/>
          <w:i w:val="1"/>
          <w:iCs w:val="1"/>
          <w:color w:val="auto"/>
        </w:rPr>
        <w:t>The Effects of Increasing Competition and Uncertainty</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on Incentives and Extreme-Value Outcomes in Innovation Contests</w:t>
      </w:r>
      <w:r>
        <w:rPr>
          <w:rFonts w:ascii="Calibri" w:cs="Calibri" w:eastAsia="Calibri" w:hAnsi="Calibri"/>
          <w:sz w:val="22"/>
          <w:szCs w:val="22"/>
          <w:color w:val="auto"/>
        </w:rPr>
        <w:t>.</w:t>
      </w:r>
      <w:r>
        <w:rPr>
          <w:rFonts w:ascii="Calibri" w:cs="Calibri" w:eastAsia="Calibri" w:hAnsi="Calibri"/>
          <w:sz w:val="22"/>
          <w:szCs w:val="22"/>
          <w:i w:val="1"/>
          <w:iCs w:val="1"/>
          <w:color w:val="auto"/>
        </w:rPr>
        <w:t xml:space="preserve"> Harvard Business School</w:t>
      </w:r>
      <w:r>
        <w:rPr>
          <w:rFonts w:ascii="Calibri" w:cs="Calibri" w:eastAsia="Calibri" w:hAnsi="Calibri"/>
          <w:sz w:val="22"/>
          <w:szCs w:val="22"/>
          <w:color w:val="auto"/>
        </w:rPr>
        <w:t>.</w:t>
      </w:r>
    </w:p>
    <w:p>
      <w:pPr>
        <w:spacing w:after="0" w:line="328" w:lineRule="exact"/>
        <w:rPr>
          <w:sz w:val="20"/>
          <w:szCs w:val="20"/>
          <w:color w:val="auto"/>
        </w:rPr>
      </w:pPr>
    </w:p>
    <w:p>
      <w:pPr>
        <w:ind w:left="480" w:right="600" w:hanging="479"/>
        <w:spacing w:after="0" w:line="218" w:lineRule="auto"/>
        <w:rPr>
          <w:sz w:val="20"/>
          <w:szCs w:val="20"/>
          <w:color w:val="auto"/>
        </w:rPr>
      </w:pPr>
      <w:r>
        <w:rPr>
          <w:rFonts w:ascii="Calibri" w:cs="Calibri" w:eastAsia="Calibri" w:hAnsi="Calibri"/>
          <w:sz w:val="22"/>
          <w:szCs w:val="22"/>
          <w:color w:val="auto"/>
        </w:rPr>
        <w:t xml:space="preserve">Boudreau, K., Lacetera, N., &amp; Lakhani, K. (2011). Incentives and Problem Uncertainty in Innovation Contests: An Empirical Analysis. </w:t>
      </w:r>
      <w:r>
        <w:rPr>
          <w:rFonts w:ascii="Calibri" w:cs="Calibri" w:eastAsia="Calibri" w:hAnsi="Calibri"/>
          <w:sz w:val="22"/>
          <w:szCs w:val="22"/>
          <w:i w:val="1"/>
          <w:iCs w:val="1"/>
          <w:color w:val="auto"/>
        </w:rPr>
        <w:t>Management Science</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57</w:t>
      </w:r>
      <w:r>
        <w:rPr>
          <w:rFonts w:ascii="Calibri" w:cs="Calibri" w:eastAsia="Calibri" w:hAnsi="Calibri"/>
          <w:sz w:val="22"/>
          <w:szCs w:val="22"/>
          <w:color w:val="auto"/>
        </w:rPr>
        <w:t>(5), 843–863.</w:t>
      </w:r>
    </w:p>
    <w:p>
      <w:pPr>
        <w:spacing w:after="0" w:line="331" w:lineRule="exact"/>
        <w:rPr>
          <w:sz w:val="20"/>
          <w:szCs w:val="20"/>
          <w:color w:val="auto"/>
        </w:rPr>
      </w:pPr>
    </w:p>
    <w:p>
      <w:pPr>
        <w:ind w:left="480" w:right="500" w:hanging="479"/>
        <w:spacing w:after="0" w:line="218" w:lineRule="auto"/>
        <w:rPr>
          <w:sz w:val="20"/>
          <w:szCs w:val="20"/>
          <w:color w:val="auto"/>
        </w:rPr>
      </w:pPr>
      <w:r>
        <w:rPr>
          <w:rFonts w:ascii="Calibri" w:cs="Calibri" w:eastAsia="Calibri" w:hAnsi="Calibri"/>
          <w:sz w:val="22"/>
          <w:szCs w:val="22"/>
          <w:color w:val="auto"/>
        </w:rPr>
        <w:t xml:space="preserve">Bourdieu, P. (1975). The specificity of the scientific field and the social conditions of the progress of reason. </w:t>
      </w:r>
      <w:r>
        <w:rPr>
          <w:rFonts w:ascii="Calibri" w:cs="Calibri" w:eastAsia="Calibri" w:hAnsi="Calibri"/>
          <w:sz w:val="22"/>
          <w:szCs w:val="22"/>
          <w:i w:val="1"/>
          <w:iCs w:val="1"/>
          <w:color w:val="auto"/>
        </w:rPr>
        <w:t>Social Science Information</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14</w:t>
      </w:r>
      <w:r>
        <w:rPr>
          <w:rFonts w:ascii="Calibri" w:cs="Calibri" w:eastAsia="Calibri" w:hAnsi="Calibri"/>
          <w:sz w:val="22"/>
          <w:szCs w:val="22"/>
          <w:color w:val="auto"/>
        </w:rPr>
        <w:t>(6), 19–47. doi:10.1177/053901847501400602</w:t>
      </w:r>
    </w:p>
    <w:p>
      <w:pPr>
        <w:spacing w:after="0" w:line="279" w:lineRule="exact"/>
        <w:rPr>
          <w:sz w:val="20"/>
          <w:szCs w:val="20"/>
          <w:color w:val="auto"/>
        </w:rPr>
      </w:pPr>
    </w:p>
    <w:p>
      <w:pPr>
        <w:spacing w:after="0"/>
        <w:rPr>
          <w:sz w:val="20"/>
          <w:szCs w:val="20"/>
          <w:color w:val="auto"/>
        </w:rPr>
      </w:pPr>
      <w:r>
        <w:rPr>
          <w:rFonts w:ascii="Calibri" w:cs="Calibri" w:eastAsia="Calibri" w:hAnsi="Calibri"/>
          <w:sz w:val="22"/>
          <w:szCs w:val="22"/>
          <w:color w:val="auto"/>
        </w:rPr>
        <w:t xml:space="preserve">Bourdieu, P. (1984). </w:t>
      </w:r>
      <w:r>
        <w:rPr>
          <w:rFonts w:ascii="Calibri" w:cs="Calibri" w:eastAsia="Calibri" w:hAnsi="Calibri"/>
          <w:sz w:val="22"/>
          <w:szCs w:val="22"/>
          <w:i w:val="1"/>
          <w:iCs w:val="1"/>
          <w:color w:val="auto"/>
        </w:rPr>
        <w:t>Distinction: A social critique of the judgement of taste</w:t>
      </w:r>
      <w:r>
        <w:rPr>
          <w:rFonts w:ascii="Calibri" w:cs="Calibri" w:eastAsia="Calibri" w:hAnsi="Calibri"/>
          <w:sz w:val="22"/>
          <w:szCs w:val="22"/>
          <w:color w:val="auto"/>
        </w:rPr>
        <w:t>. Harvard University Press.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30</w:t>
      </w:r>
    </w:p>
    <w:p>
      <w:pPr>
        <w:sectPr>
          <w:pgSz w:w="12240" w:h="15840" w:orient="portrait"/>
          <w:cols w:equalWidth="0" w:num="1">
            <w:col w:w="9360"/>
          </w:cols>
          <w:pgMar w:left="1440" w:top="1434" w:right="1440" w:bottom="474" w:gutter="0" w:footer="0" w:header="0"/>
        </w:sectPr>
      </w:pPr>
    </w:p>
    <w:bookmarkStart w:id="31" w:name="page32"/>
    <w:bookmarkEnd w:id="31"/>
    <w:p>
      <w:pPr>
        <w:spacing w:after="0" w:line="41" w:lineRule="exact"/>
        <w:rPr>
          <w:sz w:val="20"/>
          <w:szCs w:val="20"/>
          <w:color w:val="auto"/>
        </w:rPr>
      </w:pPr>
    </w:p>
    <w:p>
      <w:pPr>
        <w:jc w:val="both"/>
        <w:ind w:left="480" w:right="200" w:hanging="479"/>
        <w:spacing w:after="0" w:line="225" w:lineRule="auto"/>
        <w:rPr>
          <w:sz w:val="20"/>
          <w:szCs w:val="20"/>
          <w:color w:val="auto"/>
        </w:rPr>
      </w:pPr>
      <w:r>
        <w:rPr>
          <w:rFonts w:ascii="Calibri" w:cs="Calibri" w:eastAsia="Calibri" w:hAnsi="Calibri"/>
          <w:sz w:val="22"/>
          <w:szCs w:val="22"/>
          <w:color w:val="auto"/>
        </w:rPr>
        <w:t xml:space="preserve">Brooke, J., Wang, T., &amp; Hirst, G. (2010). Automatic acquisition of lexical formality. In </w:t>
      </w:r>
      <w:r>
        <w:rPr>
          <w:rFonts w:ascii="Calibri" w:cs="Calibri" w:eastAsia="Calibri" w:hAnsi="Calibri"/>
          <w:sz w:val="22"/>
          <w:szCs w:val="22"/>
          <w:i w:val="1"/>
          <w:iCs w:val="1"/>
          <w:color w:val="auto"/>
        </w:rPr>
        <w:t>Proceedings of the</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 xml:space="preserve">23rd International Conference on Computational Linguistics: Posters </w:t>
      </w:r>
      <w:r>
        <w:rPr>
          <w:rFonts w:ascii="Calibri" w:cs="Calibri" w:eastAsia="Calibri" w:hAnsi="Calibri"/>
          <w:sz w:val="22"/>
          <w:szCs w:val="22"/>
          <w:color w:val="auto"/>
        </w:rPr>
        <w:t>(pp. 90–98). Association for</w:t>
      </w:r>
      <w:r>
        <w:rPr>
          <w:rFonts w:ascii="Calibri" w:cs="Calibri" w:eastAsia="Calibri" w:hAnsi="Calibri"/>
          <w:sz w:val="22"/>
          <w:szCs w:val="22"/>
          <w:i w:val="1"/>
          <w:iCs w:val="1"/>
          <w:color w:val="auto"/>
        </w:rPr>
        <w:t xml:space="preserve"> </w:t>
      </w:r>
      <w:r>
        <w:rPr>
          <w:rFonts w:ascii="Calibri" w:cs="Calibri" w:eastAsia="Calibri" w:hAnsi="Calibri"/>
          <w:sz w:val="22"/>
          <w:szCs w:val="22"/>
          <w:color w:val="auto"/>
        </w:rPr>
        <w:t>Computational Linguistics.</w:t>
      </w:r>
    </w:p>
    <w:p>
      <w:pPr>
        <w:spacing w:after="0" w:line="330" w:lineRule="exact"/>
        <w:rPr>
          <w:sz w:val="20"/>
          <w:szCs w:val="20"/>
          <w:color w:val="auto"/>
        </w:rPr>
      </w:pPr>
    </w:p>
    <w:p>
      <w:pPr>
        <w:jc w:val="both"/>
        <w:ind w:left="480" w:right="220" w:hanging="479"/>
        <w:spacing w:after="0" w:line="218" w:lineRule="auto"/>
        <w:rPr>
          <w:sz w:val="20"/>
          <w:szCs w:val="20"/>
          <w:color w:val="auto"/>
        </w:rPr>
      </w:pPr>
      <w:r>
        <w:rPr>
          <w:rFonts w:ascii="Calibri" w:cs="Calibri" w:eastAsia="Calibri" w:hAnsi="Calibri"/>
          <w:sz w:val="22"/>
          <w:szCs w:val="22"/>
          <w:color w:val="auto"/>
        </w:rPr>
        <w:t xml:space="preserve">Budescu, D. V, &amp; Chen, E. (2014). Identifying Expertise to Extract the Wisdom of Crowds. </w:t>
      </w:r>
      <w:r>
        <w:rPr>
          <w:rFonts w:ascii="Calibri" w:cs="Calibri" w:eastAsia="Calibri" w:hAnsi="Calibri"/>
          <w:sz w:val="22"/>
          <w:szCs w:val="22"/>
          <w:i w:val="1"/>
          <w:iCs w:val="1"/>
          <w:color w:val="auto"/>
        </w:rPr>
        <w:t>Management</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Science</w:t>
      </w:r>
      <w:r>
        <w:rPr>
          <w:rFonts w:ascii="Calibri" w:cs="Calibri" w:eastAsia="Calibri" w:hAnsi="Calibri"/>
          <w:sz w:val="22"/>
          <w:szCs w:val="22"/>
          <w:color w:val="auto"/>
        </w:rPr>
        <w:t>,</w:t>
      </w:r>
      <w:r>
        <w:rPr>
          <w:rFonts w:ascii="Calibri" w:cs="Calibri" w:eastAsia="Calibri" w:hAnsi="Calibri"/>
          <w:sz w:val="22"/>
          <w:szCs w:val="22"/>
          <w:i w:val="1"/>
          <w:iCs w:val="1"/>
          <w:color w:val="auto"/>
        </w:rPr>
        <w:t xml:space="preserve"> Forthcoming</w:t>
      </w:r>
      <w:r>
        <w:rPr>
          <w:rFonts w:ascii="Calibri" w:cs="Calibri" w:eastAsia="Calibri" w:hAnsi="Calibri"/>
          <w:sz w:val="22"/>
          <w:szCs w:val="22"/>
          <w:color w:val="auto"/>
        </w:rPr>
        <w:t>.</w:t>
      </w:r>
    </w:p>
    <w:p>
      <w:pPr>
        <w:spacing w:after="0" w:line="282" w:lineRule="exact"/>
        <w:rPr>
          <w:sz w:val="20"/>
          <w:szCs w:val="20"/>
          <w:color w:val="auto"/>
        </w:rPr>
      </w:pPr>
    </w:p>
    <w:p>
      <w:pPr>
        <w:spacing w:after="0"/>
        <w:rPr>
          <w:sz w:val="20"/>
          <w:szCs w:val="20"/>
          <w:color w:val="auto"/>
        </w:rPr>
      </w:pPr>
      <w:r>
        <w:rPr>
          <w:rFonts w:ascii="Calibri" w:cs="Calibri" w:eastAsia="Calibri" w:hAnsi="Calibri"/>
          <w:sz w:val="22"/>
          <w:szCs w:val="22"/>
          <w:color w:val="auto"/>
        </w:rPr>
        <w:t xml:space="preserve">Caves, R. E. (2000). </w:t>
      </w:r>
      <w:r>
        <w:rPr>
          <w:rFonts w:ascii="Calibri" w:cs="Calibri" w:eastAsia="Calibri" w:hAnsi="Calibri"/>
          <w:sz w:val="22"/>
          <w:szCs w:val="22"/>
          <w:i w:val="1"/>
          <w:iCs w:val="1"/>
          <w:color w:val="auto"/>
        </w:rPr>
        <w:t>Creative industries: Contracts between art and commerce</w:t>
      </w:r>
      <w:r>
        <w:rPr>
          <w:rFonts w:ascii="Calibri" w:cs="Calibri" w:eastAsia="Calibri" w:hAnsi="Calibri"/>
          <w:sz w:val="22"/>
          <w:szCs w:val="22"/>
          <w:color w:val="auto"/>
        </w:rPr>
        <w:t>. Harvard University Press.</w:t>
      </w:r>
    </w:p>
    <w:p>
      <w:pPr>
        <w:spacing w:after="0" w:line="279" w:lineRule="exact"/>
        <w:rPr>
          <w:sz w:val="20"/>
          <w:szCs w:val="20"/>
          <w:color w:val="auto"/>
        </w:rPr>
      </w:pPr>
    </w:p>
    <w:p>
      <w:pPr>
        <w:spacing w:after="0"/>
        <w:rPr>
          <w:sz w:val="20"/>
          <w:szCs w:val="20"/>
          <w:color w:val="auto"/>
        </w:rPr>
      </w:pPr>
      <w:r>
        <w:rPr>
          <w:rFonts w:ascii="Calibri" w:cs="Calibri" w:eastAsia="Calibri" w:hAnsi="Calibri"/>
          <w:sz w:val="22"/>
          <w:szCs w:val="22"/>
          <w:color w:val="auto"/>
        </w:rPr>
        <w:t xml:space="preserve">Caves, R. E. (2003). Contracts between art and commerce. </w:t>
      </w:r>
      <w:r>
        <w:rPr>
          <w:rFonts w:ascii="Calibri" w:cs="Calibri" w:eastAsia="Calibri" w:hAnsi="Calibri"/>
          <w:sz w:val="22"/>
          <w:szCs w:val="22"/>
          <w:i w:val="1"/>
          <w:iCs w:val="1"/>
          <w:color w:val="auto"/>
        </w:rPr>
        <w:t>Journal of Economic Perspectives</w:t>
      </w:r>
      <w:r>
        <w:rPr>
          <w:rFonts w:ascii="Calibri" w:cs="Calibri" w:eastAsia="Calibri" w:hAnsi="Calibri"/>
          <w:sz w:val="22"/>
          <w:szCs w:val="22"/>
          <w:color w:val="auto"/>
        </w:rPr>
        <w:t>, 73–84.</w:t>
      </w:r>
    </w:p>
    <w:p>
      <w:pPr>
        <w:spacing w:after="0" w:line="330" w:lineRule="exact"/>
        <w:rPr>
          <w:sz w:val="20"/>
          <w:szCs w:val="20"/>
          <w:color w:val="auto"/>
        </w:rPr>
      </w:pPr>
    </w:p>
    <w:p>
      <w:pPr>
        <w:ind w:left="480" w:right="440" w:hanging="479"/>
        <w:spacing w:after="0" w:line="218" w:lineRule="auto"/>
        <w:rPr>
          <w:sz w:val="20"/>
          <w:szCs w:val="20"/>
          <w:color w:val="auto"/>
        </w:rPr>
      </w:pPr>
      <w:r>
        <w:rPr>
          <w:rFonts w:ascii="Calibri" w:cs="Calibri" w:eastAsia="Calibri" w:hAnsi="Calibri"/>
          <w:sz w:val="22"/>
          <w:szCs w:val="22"/>
          <w:color w:val="auto"/>
        </w:rPr>
        <w:t xml:space="preserve">Chen, D., &amp; Lin, Z. (2014). Rational or Irrational Herding in Online Microloan Markets: Evidence from China. </w:t>
      </w:r>
      <w:r>
        <w:rPr>
          <w:rFonts w:ascii="Calibri" w:cs="Calibri" w:eastAsia="Calibri" w:hAnsi="Calibri"/>
          <w:sz w:val="22"/>
          <w:szCs w:val="22"/>
          <w:i w:val="1"/>
          <w:iCs w:val="1"/>
          <w:color w:val="auto"/>
        </w:rPr>
        <w:t>Available at SSRN 2425047</w:t>
      </w:r>
      <w:r>
        <w:rPr>
          <w:rFonts w:ascii="Calibri" w:cs="Calibri" w:eastAsia="Calibri" w:hAnsi="Calibri"/>
          <w:sz w:val="22"/>
          <w:szCs w:val="22"/>
          <w:color w:val="auto"/>
        </w:rPr>
        <w:t>.</w:t>
      </w:r>
    </w:p>
    <w:p>
      <w:pPr>
        <w:spacing w:after="0" w:line="280" w:lineRule="exact"/>
        <w:rPr>
          <w:sz w:val="20"/>
          <w:szCs w:val="20"/>
          <w:color w:val="auto"/>
        </w:rPr>
      </w:pPr>
    </w:p>
    <w:p>
      <w:pPr>
        <w:spacing w:after="0"/>
        <w:rPr>
          <w:sz w:val="20"/>
          <w:szCs w:val="20"/>
          <w:color w:val="auto"/>
        </w:rPr>
      </w:pPr>
      <w:r>
        <w:rPr>
          <w:rFonts w:ascii="Calibri" w:cs="Calibri" w:eastAsia="Calibri" w:hAnsi="Calibri"/>
          <w:sz w:val="22"/>
          <w:szCs w:val="22"/>
          <w:color w:val="auto"/>
        </w:rPr>
        <w:t xml:space="preserve">Chen, M. (2008). Modeling a presidential prediction market. </w:t>
      </w:r>
      <w:r>
        <w:rPr>
          <w:rFonts w:ascii="Calibri" w:cs="Calibri" w:eastAsia="Calibri" w:hAnsi="Calibri"/>
          <w:sz w:val="22"/>
          <w:szCs w:val="22"/>
          <w:i w:val="1"/>
          <w:iCs w:val="1"/>
          <w:color w:val="auto"/>
        </w:rPr>
        <w:t>Management Science</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54</w:t>
      </w:r>
      <w:r>
        <w:rPr>
          <w:rFonts w:ascii="Calibri" w:cs="Calibri" w:eastAsia="Calibri" w:hAnsi="Calibri"/>
          <w:sz w:val="22"/>
          <w:szCs w:val="22"/>
          <w:color w:val="auto"/>
        </w:rPr>
        <w:t>(8), 1381–1394.</w:t>
      </w:r>
    </w:p>
    <w:p>
      <w:pPr>
        <w:spacing w:after="0" w:line="330" w:lineRule="exact"/>
        <w:rPr>
          <w:sz w:val="20"/>
          <w:szCs w:val="20"/>
          <w:color w:val="auto"/>
        </w:rPr>
      </w:pPr>
    </w:p>
    <w:p>
      <w:pPr>
        <w:ind w:left="480" w:right="300" w:hanging="479"/>
        <w:spacing w:after="0" w:line="218" w:lineRule="auto"/>
        <w:rPr>
          <w:sz w:val="20"/>
          <w:szCs w:val="20"/>
          <w:color w:val="auto"/>
        </w:rPr>
      </w:pPr>
      <w:r>
        <w:rPr>
          <w:rFonts w:ascii="Calibri" w:cs="Calibri" w:eastAsia="Calibri" w:hAnsi="Calibri"/>
          <w:sz w:val="22"/>
          <w:szCs w:val="22"/>
          <w:color w:val="auto"/>
        </w:rPr>
        <w:t xml:space="preserve">Cipriani, M., &amp; Guarino, A. (2005). Herd behavior in a laboratory financial market. </w:t>
      </w:r>
      <w:r>
        <w:rPr>
          <w:rFonts w:ascii="Calibri" w:cs="Calibri" w:eastAsia="Calibri" w:hAnsi="Calibri"/>
          <w:sz w:val="22"/>
          <w:szCs w:val="22"/>
          <w:i w:val="1"/>
          <w:iCs w:val="1"/>
          <w:color w:val="auto"/>
        </w:rPr>
        <w:t>American Economic</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Review</w:t>
      </w:r>
      <w:r>
        <w:rPr>
          <w:rFonts w:ascii="Calibri" w:cs="Calibri" w:eastAsia="Calibri" w:hAnsi="Calibri"/>
          <w:sz w:val="22"/>
          <w:szCs w:val="22"/>
          <w:color w:val="auto"/>
        </w:rPr>
        <w:t>, 1427–1443.</w:t>
      </w:r>
    </w:p>
    <w:p>
      <w:pPr>
        <w:spacing w:after="0" w:line="328" w:lineRule="exact"/>
        <w:rPr>
          <w:sz w:val="20"/>
          <w:szCs w:val="20"/>
          <w:color w:val="auto"/>
        </w:rPr>
      </w:pPr>
    </w:p>
    <w:p>
      <w:pPr>
        <w:jc w:val="both"/>
        <w:ind w:left="480" w:right="540" w:hanging="479"/>
        <w:spacing w:after="0" w:line="225" w:lineRule="auto"/>
        <w:rPr>
          <w:sz w:val="20"/>
          <w:szCs w:val="20"/>
          <w:color w:val="auto"/>
        </w:rPr>
      </w:pPr>
      <w:r>
        <w:rPr>
          <w:rFonts w:ascii="Calibri" w:cs="Calibri" w:eastAsia="Calibri" w:hAnsi="Calibri"/>
          <w:sz w:val="22"/>
          <w:szCs w:val="22"/>
          <w:color w:val="auto"/>
        </w:rPr>
        <w:t xml:space="preserve">Clauson, K. A., Polen, H. H., Boulos, M. N. K., &amp; Dzenowagis, J. H. (2008). Scope, completeness, and accuracy of drug information in Wikipedia. </w:t>
      </w:r>
      <w:r>
        <w:rPr>
          <w:rFonts w:ascii="Calibri" w:cs="Calibri" w:eastAsia="Calibri" w:hAnsi="Calibri"/>
          <w:sz w:val="22"/>
          <w:szCs w:val="22"/>
          <w:i w:val="1"/>
          <w:iCs w:val="1"/>
          <w:color w:val="auto"/>
        </w:rPr>
        <w:t>The Annals of Pharmacotherapy</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42</w:t>
      </w:r>
      <w:r>
        <w:rPr>
          <w:rFonts w:ascii="Calibri" w:cs="Calibri" w:eastAsia="Calibri" w:hAnsi="Calibri"/>
          <w:sz w:val="22"/>
          <w:szCs w:val="22"/>
          <w:color w:val="auto"/>
        </w:rPr>
        <w:t>(12), 1814–21. doi:10.1345/aph.1L474</w:t>
      </w:r>
    </w:p>
    <w:p>
      <w:pPr>
        <w:spacing w:after="0" w:line="332" w:lineRule="exact"/>
        <w:rPr>
          <w:sz w:val="20"/>
          <w:szCs w:val="20"/>
          <w:color w:val="auto"/>
        </w:rPr>
      </w:pPr>
    </w:p>
    <w:p>
      <w:pPr>
        <w:ind w:left="480" w:right="20" w:hanging="479"/>
        <w:spacing w:after="0" w:line="218" w:lineRule="auto"/>
        <w:rPr>
          <w:sz w:val="20"/>
          <w:szCs w:val="20"/>
          <w:color w:val="auto"/>
        </w:rPr>
      </w:pPr>
      <w:r>
        <w:rPr>
          <w:rFonts w:ascii="Calibri" w:cs="Calibri" w:eastAsia="Calibri" w:hAnsi="Calibri"/>
          <w:sz w:val="22"/>
          <w:szCs w:val="22"/>
          <w:color w:val="auto"/>
        </w:rPr>
        <w:t xml:space="preserve">Cohen, J. (1968). Weighted kappa: Nominal scale agreement provision for scaled disagreement or partial credit. </w:t>
      </w:r>
      <w:r>
        <w:rPr>
          <w:rFonts w:ascii="Calibri" w:cs="Calibri" w:eastAsia="Calibri" w:hAnsi="Calibri"/>
          <w:sz w:val="22"/>
          <w:szCs w:val="22"/>
          <w:i w:val="1"/>
          <w:iCs w:val="1"/>
          <w:color w:val="auto"/>
        </w:rPr>
        <w:t>Psychological Bulletin</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70</w:t>
      </w:r>
      <w:r>
        <w:rPr>
          <w:rFonts w:ascii="Calibri" w:cs="Calibri" w:eastAsia="Calibri" w:hAnsi="Calibri"/>
          <w:sz w:val="22"/>
          <w:szCs w:val="22"/>
          <w:color w:val="auto"/>
        </w:rPr>
        <w:t>(4), 213.</w:t>
      </w:r>
    </w:p>
    <w:p>
      <w:pPr>
        <w:spacing w:after="0" w:line="280" w:lineRule="exact"/>
        <w:rPr>
          <w:sz w:val="20"/>
          <w:szCs w:val="20"/>
          <w:color w:val="auto"/>
        </w:rPr>
      </w:pPr>
    </w:p>
    <w:p>
      <w:pPr>
        <w:spacing w:after="0"/>
        <w:rPr>
          <w:sz w:val="20"/>
          <w:szCs w:val="20"/>
          <w:color w:val="auto"/>
        </w:rPr>
      </w:pPr>
      <w:r>
        <w:rPr>
          <w:rFonts w:ascii="Calibri" w:cs="Calibri" w:eastAsia="Calibri" w:hAnsi="Calibri"/>
          <w:sz w:val="22"/>
          <w:szCs w:val="22"/>
          <w:color w:val="auto"/>
        </w:rPr>
        <w:t>Congress, 112th. Jumpstart Our Business Startups Act (2012). US.</w:t>
      </w:r>
    </w:p>
    <w:p>
      <w:pPr>
        <w:spacing w:after="0" w:line="330" w:lineRule="exact"/>
        <w:rPr>
          <w:sz w:val="20"/>
          <w:szCs w:val="20"/>
          <w:color w:val="auto"/>
        </w:rPr>
      </w:pPr>
    </w:p>
    <w:p>
      <w:pPr>
        <w:ind w:left="480" w:right="300" w:hanging="479"/>
        <w:spacing w:after="0" w:line="218" w:lineRule="auto"/>
        <w:rPr>
          <w:sz w:val="20"/>
          <w:szCs w:val="20"/>
          <w:color w:val="auto"/>
        </w:rPr>
      </w:pPr>
      <w:r>
        <w:rPr>
          <w:rFonts w:ascii="Calibri" w:cs="Calibri" w:eastAsia="Calibri" w:hAnsi="Calibri"/>
          <w:sz w:val="22"/>
          <w:szCs w:val="22"/>
          <w:color w:val="auto"/>
        </w:rPr>
        <w:t xml:space="preserve">Devenow, A., &amp; Welch, I. (1996). Rational herding in financial economics. </w:t>
      </w:r>
      <w:r>
        <w:rPr>
          <w:rFonts w:ascii="Calibri" w:cs="Calibri" w:eastAsia="Calibri" w:hAnsi="Calibri"/>
          <w:sz w:val="22"/>
          <w:szCs w:val="22"/>
          <w:i w:val="1"/>
          <w:iCs w:val="1"/>
          <w:color w:val="auto"/>
        </w:rPr>
        <w:t>European Economic Review</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40</w:t>
      </w:r>
      <w:r>
        <w:rPr>
          <w:rFonts w:ascii="Calibri" w:cs="Calibri" w:eastAsia="Calibri" w:hAnsi="Calibri"/>
          <w:sz w:val="22"/>
          <w:szCs w:val="22"/>
          <w:color w:val="auto"/>
        </w:rPr>
        <w:t>(3), 603–615.</w:t>
      </w:r>
    </w:p>
    <w:p>
      <w:pPr>
        <w:spacing w:after="0" w:line="328" w:lineRule="exact"/>
        <w:rPr>
          <w:sz w:val="20"/>
          <w:szCs w:val="20"/>
          <w:color w:val="auto"/>
        </w:rPr>
      </w:pPr>
    </w:p>
    <w:p>
      <w:pPr>
        <w:ind w:left="480" w:right="700" w:hanging="479"/>
        <w:spacing w:after="0" w:line="218" w:lineRule="auto"/>
        <w:rPr>
          <w:sz w:val="20"/>
          <w:szCs w:val="20"/>
          <w:color w:val="auto"/>
        </w:rPr>
      </w:pPr>
      <w:r>
        <w:rPr>
          <w:rFonts w:ascii="Calibri" w:cs="Calibri" w:eastAsia="Calibri" w:hAnsi="Calibri"/>
          <w:sz w:val="22"/>
          <w:szCs w:val="22"/>
          <w:color w:val="auto"/>
        </w:rPr>
        <w:t xml:space="preserve">DiMaggio, P. (1991). Cultural entrepreneurship in nineteenth-century Boston. </w:t>
      </w:r>
      <w:r>
        <w:rPr>
          <w:rFonts w:ascii="Calibri" w:cs="Calibri" w:eastAsia="Calibri" w:hAnsi="Calibri"/>
          <w:sz w:val="22"/>
          <w:szCs w:val="22"/>
          <w:i w:val="1"/>
          <w:iCs w:val="1"/>
          <w:color w:val="auto"/>
        </w:rPr>
        <w:t>Rethinking Popular</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Culture: Contemporary Perspectives in Cultural Studies</w:t>
      </w:r>
      <w:r>
        <w:rPr>
          <w:rFonts w:ascii="Calibri" w:cs="Calibri" w:eastAsia="Calibri" w:hAnsi="Calibri"/>
          <w:sz w:val="22"/>
          <w:szCs w:val="22"/>
          <w:color w:val="auto"/>
        </w:rPr>
        <w:t>,</w:t>
      </w:r>
      <w:r>
        <w:rPr>
          <w:rFonts w:ascii="Calibri" w:cs="Calibri" w:eastAsia="Calibri" w:hAnsi="Calibri"/>
          <w:sz w:val="22"/>
          <w:szCs w:val="22"/>
          <w:i w:val="1"/>
          <w:iCs w:val="1"/>
          <w:color w:val="auto"/>
        </w:rPr>
        <w:t xml:space="preserve"> 374</w:t>
      </w:r>
      <w:r>
        <w:rPr>
          <w:rFonts w:ascii="Calibri" w:cs="Calibri" w:eastAsia="Calibri" w:hAnsi="Calibri"/>
          <w:sz w:val="22"/>
          <w:szCs w:val="22"/>
          <w:color w:val="auto"/>
        </w:rPr>
        <w:t>.</w:t>
      </w:r>
    </w:p>
    <w:p>
      <w:pPr>
        <w:spacing w:after="0" w:line="331" w:lineRule="exact"/>
        <w:rPr>
          <w:sz w:val="20"/>
          <w:szCs w:val="20"/>
          <w:color w:val="auto"/>
        </w:rPr>
      </w:pPr>
    </w:p>
    <w:p>
      <w:pPr>
        <w:ind w:left="480" w:right="200" w:hanging="479"/>
        <w:spacing w:after="0" w:line="218" w:lineRule="auto"/>
        <w:rPr>
          <w:sz w:val="20"/>
          <w:szCs w:val="20"/>
          <w:color w:val="auto"/>
        </w:rPr>
      </w:pPr>
      <w:r>
        <w:rPr>
          <w:rFonts w:ascii="Calibri" w:cs="Calibri" w:eastAsia="Calibri" w:hAnsi="Calibri"/>
          <w:sz w:val="22"/>
          <w:szCs w:val="22"/>
          <w:color w:val="auto"/>
        </w:rPr>
        <w:t xml:space="preserve">Earley, P. C. (1989). Social loafing and collectivism: A comparison of the United States and the People’s Republic of China. </w:t>
      </w:r>
      <w:r>
        <w:rPr>
          <w:rFonts w:ascii="Calibri" w:cs="Calibri" w:eastAsia="Calibri" w:hAnsi="Calibri"/>
          <w:sz w:val="22"/>
          <w:szCs w:val="22"/>
          <w:i w:val="1"/>
          <w:iCs w:val="1"/>
          <w:color w:val="auto"/>
        </w:rPr>
        <w:t>Administrative Science Quarterly</w:t>
      </w:r>
      <w:r>
        <w:rPr>
          <w:rFonts w:ascii="Calibri" w:cs="Calibri" w:eastAsia="Calibri" w:hAnsi="Calibri"/>
          <w:sz w:val="22"/>
          <w:szCs w:val="22"/>
          <w:color w:val="auto"/>
        </w:rPr>
        <w:t>, 565–581.</w:t>
      </w:r>
    </w:p>
    <w:p>
      <w:pPr>
        <w:spacing w:after="0" w:line="328" w:lineRule="exact"/>
        <w:rPr>
          <w:sz w:val="20"/>
          <w:szCs w:val="20"/>
          <w:color w:val="auto"/>
        </w:rPr>
      </w:pPr>
    </w:p>
    <w:p>
      <w:pPr>
        <w:ind w:left="480" w:right="260" w:hanging="479"/>
        <w:spacing w:after="0" w:line="218" w:lineRule="auto"/>
        <w:rPr>
          <w:sz w:val="20"/>
          <w:szCs w:val="20"/>
          <w:color w:val="auto"/>
        </w:rPr>
      </w:pPr>
      <w:r>
        <w:rPr>
          <w:rFonts w:ascii="Calibri" w:cs="Calibri" w:eastAsia="Calibri" w:hAnsi="Calibri"/>
          <w:sz w:val="22"/>
          <w:szCs w:val="22"/>
          <w:color w:val="auto"/>
        </w:rPr>
        <w:t xml:space="preserve">Eliashberg, J., &amp; Shugan, S. M. (1997). Film critics: Influencers or predictors? </w:t>
      </w:r>
      <w:r>
        <w:rPr>
          <w:rFonts w:ascii="Calibri" w:cs="Calibri" w:eastAsia="Calibri" w:hAnsi="Calibri"/>
          <w:sz w:val="22"/>
          <w:szCs w:val="22"/>
          <w:i w:val="1"/>
          <w:iCs w:val="1"/>
          <w:color w:val="auto"/>
        </w:rPr>
        <w:t>The Journal of Marketing</w:t>
      </w:r>
      <w:r>
        <w:rPr>
          <w:rFonts w:ascii="Calibri" w:cs="Calibri" w:eastAsia="Calibri" w:hAnsi="Calibri"/>
          <w:sz w:val="22"/>
          <w:szCs w:val="22"/>
          <w:color w:val="auto"/>
        </w:rPr>
        <w:t>, 68–78.</w:t>
      </w:r>
    </w:p>
    <w:p>
      <w:pPr>
        <w:spacing w:after="0" w:line="331" w:lineRule="exact"/>
        <w:rPr>
          <w:sz w:val="20"/>
          <w:szCs w:val="20"/>
          <w:color w:val="auto"/>
        </w:rPr>
      </w:pPr>
    </w:p>
    <w:p>
      <w:pPr>
        <w:ind w:left="480" w:right="640" w:hanging="479"/>
        <w:spacing w:after="0" w:line="218" w:lineRule="auto"/>
        <w:rPr>
          <w:sz w:val="20"/>
          <w:szCs w:val="20"/>
          <w:color w:val="auto"/>
        </w:rPr>
      </w:pPr>
      <w:r>
        <w:rPr>
          <w:rFonts w:ascii="Calibri" w:cs="Calibri" w:eastAsia="Calibri" w:hAnsi="Calibri"/>
          <w:sz w:val="22"/>
          <w:szCs w:val="22"/>
          <w:color w:val="auto"/>
        </w:rPr>
        <w:t xml:space="preserve">Ferrary, M., &amp; Granovetter, M. (2009). The role of venture capital firms in Silicon Valley’s complex innovation network. </w:t>
      </w:r>
      <w:r>
        <w:rPr>
          <w:rFonts w:ascii="Calibri" w:cs="Calibri" w:eastAsia="Calibri" w:hAnsi="Calibri"/>
          <w:sz w:val="22"/>
          <w:szCs w:val="22"/>
          <w:i w:val="1"/>
          <w:iCs w:val="1"/>
          <w:color w:val="auto"/>
        </w:rPr>
        <w:t>Economy and Society</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38</w:t>
      </w:r>
      <w:r>
        <w:rPr>
          <w:rFonts w:ascii="Calibri" w:cs="Calibri" w:eastAsia="Calibri" w:hAnsi="Calibri"/>
          <w:sz w:val="22"/>
          <w:szCs w:val="22"/>
          <w:color w:val="auto"/>
        </w:rPr>
        <w:t>(2), 326–359.</w:t>
      </w:r>
    </w:p>
    <w:p>
      <w:pPr>
        <w:spacing w:after="0" w:line="328" w:lineRule="exact"/>
        <w:rPr>
          <w:sz w:val="20"/>
          <w:szCs w:val="20"/>
          <w:color w:val="auto"/>
        </w:rPr>
      </w:pPr>
    </w:p>
    <w:p>
      <w:pPr>
        <w:ind w:left="480" w:right="440" w:hanging="479"/>
        <w:spacing w:after="0" w:line="218" w:lineRule="auto"/>
        <w:rPr>
          <w:sz w:val="20"/>
          <w:szCs w:val="20"/>
          <w:color w:val="auto"/>
        </w:rPr>
      </w:pPr>
      <w:r>
        <w:rPr>
          <w:rFonts w:ascii="Calibri" w:cs="Calibri" w:eastAsia="Calibri" w:hAnsi="Calibri"/>
          <w:sz w:val="22"/>
          <w:szCs w:val="22"/>
          <w:color w:val="auto"/>
        </w:rPr>
        <w:t xml:space="preserve">Franzoni, C., &amp; Sauermann, H. (2014). Crowd science: The organization of scientific research in open collaborative projects. </w:t>
      </w:r>
      <w:r>
        <w:rPr>
          <w:rFonts w:ascii="Calibri" w:cs="Calibri" w:eastAsia="Calibri" w:hAnsi="Calibri"/>
          <w:sz w:val="22"/>
          <w:szCs w:val="22"/>
          <w:i w:val="1"/>
          <w:iCs w:val="1"/>
          <w:color w:val="auto"/>
        </w:rPr>
        <w:t>Research Policy</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43</w:t>
      </w:r>
      <w:r>
        <w:rPr>
          <w:rFonts w:ascii="Calibri" w:cs="Calibri" w:eastAsia="Calibri" w:hAnsi="Calibri"/>
          <w:sz w:val="22"/>
          <w:szCs w:val="22"/>
          <w:color w:val="auto"/>
        </w:rPr>
        <w:t>(1), 1–20. doi:10.1016/j.respol.2013.07.005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31</w:t>
      </w:r>
    </w:p>
    <w:p>
      <w:pPr>
        <w:sectPr>
          <w:pgSz w:w="12240" w:h="15840" w:orient="portrait"/>
          <w:cols w:equalWidth="0" w:num="1">
            <w:col w:w="9360"/>
          </w:cols>
          <w:pgMar w:left="1440" w:top="1440" w:right="1440" w:bottom="474" w:gutter="0" w:footer="0" w:header="0"/>
        </w:sectPr>
      </w:pPr>
    </w:p>
    <w:bookmarkStart w:id="32" w:name="page33"/>
    <w:bookmarkEnd w:id="32"/>
    <w:p>
      <w:pPr>
        <w:spacing w:after="0" w:line="41" w:lineRule="exact"/>
        <w:rPr>
          <w:sz w:val="20"/>
          <w:szCs w:val="20"/>
          <w:color w:val="auto"/>
        </w:rPr>
      </w:pPr>
    </w:p>
    <w:p>
      <w:pPr>
        <w:ind w:left="480" w:right="440" w:hanging="479"/>
        <w:spacing w:after="0" w:line="218" w:lineRule="auto"/>
        <w:rPr>
          <w:sz w:val="20"/>
          <w:szCs w:val="20"/>
          <w:color w:val="auto"/>
        </w:rPr>
      </w:pPr>
      <w:r>
        <w:rPr>
          <w:rFonts w:ascii="Calibri" w:cs="Calibri" w:eastAsia="Calibri" w:hAnsi="Calibri"/>
          <w:sz w:val="22"/>
          <w:szCs w:val="22"/>
          <w:color w:val="auto"/>
        </w:rPr>
        <w:t xml:space="preserve">Gans, H. (2008). </w:t>
      </w:r>
      <w:r>
        <w:rPr>
          <w:rFonts w:ascii="Calibri" w:cs="Calibri" w:eastAsia="Calibri" w:hAnsi="Calibri"/>
          <w:sz w:val="22"/>
          <w:szCs w:val="22"/>
          <w:i w:val="1"/>
          <w:iCs w:val="1"/>
          <w:color w:val="auto"/>
        </w:rPr>
        <w:t>Popular Culture and High Culture: An Analysis and Evaluation Of Taste (Revised And</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 xml:space="preserve">Updated). </w:t>
      </w:r>
      <w:r>
        <w:rPr>
          <w:rFonts w:ascii="Calibri" w:cs="Calibri" w:eastAsia="Calibri" w:hAnsi="Calibri"/>
          <w:sz w:val="22"/>
          <w:szCs w:val="22"/>
          <w:color w:val="auto"/>
        </w:rPr>
        <w:t>Basic Books.</w:t>
      </w:r>
    </w:p>
    <w:p>
      <w:pPr>
        <w:spacing w:after="0" w:line="280" w:lineRule="exact"/>
        <w:rPr>
          <w:sz w:val="20"/>
          <w:szCs w:val="20"/>
          <w:color w:val="auto"/>
        </w:rPr>
      </w:pPr>
    </w:p>
    <w:p>
      <w:pPr>
        <w:spacing w:after="0"/>
        <w:rPr>
          <w:sz w:val="20"/>
          <w:szCs w:val="20"/>
          <w:color w:val="auto"/>
        </w:rPr>
      </w:pPr>
      <w:r>
        <w:rPr>
          <w:rFonts w:ascii="Calibri" w:cs="Calibri" w:eastAsia="Calibri" w:hAnsi="Calibri"/>
          <w:sz w:val="22"/>
          <w:szCs w:val="22"/>
          <w:color w:val="auto"/>
        </w:rPr>
        <w:t xml:space="preserve">Giles, J. (2005). Internet encyclopaedias go head to head. </w:t>
      </w:r>
      <w:r>
        <w:rPr>
          <w:rFonts w:ascii="Calibri" w:cs="Calibri" w:eastAsia="Calibri" w:hAnsi="Calibri"/>
          <w:sz w:val="22"/>
          <w:szCs w:val="22"/>
          <w:i w:val="1"/>
          <w:iCs w:val="1"/>
          <w:color w:val="auto"/>
        </w:rPr>
        <w:t>Nature</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438</w:t>
      </w:r>
      <w:r>
        <w:rPr>
          <w:rFonts w:ascii="Calibri" w:cs="Calibri" w:eastAsia="Calibri" w:hAnsi="Calibri"/>
          <w:sz w:val="22"/>
          <w:szCs w:val="22"/>
          <w:color w:val="auto"/>
        </w:rPr>
        <w:t>(7070), 900–901.</w:t>
      </w:r>
    </w:p>
    <w:p>
      <w:pPr>
        <w:spacing w:after="0" w:line="330" w:lineRule="exact"/>
        <w:rPr>
          <w:sz w:val="20"/>
          <w:szCs w:val="20"/>
          <w:color w:val="auto"/>
        </w:rPr>
      </w:pPr>
    </w:p>
    <w:p>
      <w:pPr>
        <w:ind w:left="480" w:right="840" w:hanging="479"/>
        <w:spacing w:after="0" w:line="218" w:lineRule="auto"/>
        <w:rPr>
          <w:sz w:val="20"/>
          <w:szCs w:val="20"/>
          <w:color w:val="auto"/>
        </w:rPr>
      </w:pPr>
      <w:r>
        <w:rPr>
          <w:rFonts w:ascii="Calibri" w:cs="Calibri" w:eastAsia="Calibri" w:hAnsi="Calibri"/>
          <w:sz w:val="22"/>
          <w:szCs w:val="22"/>
          <w:color w:val="auto"/>
        </w:rPr>
        <w:t xml:space="preserve">Ginsburgh, V. (2003). Awards, success and aesthetic quality in the arts. </w:t>
      </w:r>
      <w:r>
        <w:rPr>
          <w:rFonts w:ascii="Calibri" w:cs="Calibri" w:eastAsia="Calibri" w:hAnsi="Calibri"/>
          <w:sz w:val="22"/>
          <w:szCs w:val="22"/>
          <w:i w:val="1"/>
          <w:iCs w:val="1"/>
          <w:color w:val="auto"/>
        </w:rPr>
        <w:t>The Journal of Economic</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Perspectives</w:t>
      </w:r>
      <w:r>
        <w:rPr>
          <w:rFonts w:ascii="Calibri" w:cs="Calibri" w:eastAsia="Calibri" w:hAnsi="Calibri"/>
          <w:sz w:val="22"/>
          <w:szCs w:val="22"/>
          <w:color w:val="auto"/>
        </w:rPr>
        <w:t>,</w:t>
      </w:r>
      <w:r>
        <w:rPr>
          <w:rFonts w:ascii="Calibri" w:cs="Calibri" w:eastAsia="Calibri" w:hAnsi="Calibri"/>
          <w:sz w:val="22"/>
          <w:szCs w:val="22"/>
          <w:i w:val="1"/>
          <w:iCs w:val="1"/>
          <w:color w:val="auto"/>
        </w:rPr>
        <w:t xml:space="preserve"> 17</w:t>
      </w:r>
      <w:r>
        <w:rPr>
          <w:rFonts w:ascii="Calibri" w:cs="Calibri" w:eastAsia="Calibri" w:hAnsi="Calibri"/>
          <w:sz w:val="22"/>
          <w:szCs w:val="22"/>
          <w:color w:val="auto"/>
        </w:rPr>
        <w:t>(2), 99–111.</w:t>
      </w:r>
    </w:p>
    <w:p>
      <w:pPr>
        <w:spacing w:after="0" w:line="328" w:lineRule="exact"/>
        <w:rPr>
          <w:sz w:val="20"/>
          <w:szCs w:val="20"/>
          <w:color w:val="auto"/>
        </w:rPr>
      </w:pPr>
    </w:p>
    <w:p>
      <w:pPr>
        <w:ind w:left="480" w:right="420" w:hanging="479"/>
        <w:spacing w:after="0" w:line="218" w:lineRule="auto"/>
        <w:rPr>
          <w:sz w:val="20"/>
          <w:szCs w:val="20"/>
          <w:color w:val="auto"/>
        </w:rPr>
      </w:pPr>
      <w:r>
        <w:rPr>
          <w:rFonts w:ascii="Calibri" w:cs="Calibri" w:eastAsia="Calibri" w:hAnsi="Calibri"/>
          <w:sz w:val="22"/>
          <w:szCs w:val="22"/>
          <w:color w:val="auto"/>
        </w:rPr>
        <w:t xml:space="preserve">Goldfarb, B. (2008). The effect of government contracting on academic research: Does the source of funding affect scientific output? </w:t>
      </w:r>
      <w:r>
        <w:rPr>
          <w:rFonts w:ascii="Calibri" w:cs="Calibri" w:eastAsia="Calibri" w:hAnsi="Calibri"/>
          <w:sz w:val="22"/>
          <w:szCs w:val="22"/>
          <w:i w:val="1"/>
          <w:iCs w:val="1"/>
          <w:color w:val="auto"/>
        </w:rPr>
        <w:t>Research Policy</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37</w:t>
      </w:r>
      <w:r>
        <w:rPr>
          <w:rFonts w:ascii="Calibri" w:cs="Calibri" w:eastAsia="Calibri" w:hAnsi="Calibri"/>
          <w:sz w:val="22"/>
          <w:szCs w:val="22"/>
          <w:color w:val="auto"/>
        </w:rPr>
        <w:t>(1), 41–58.</w:t>
      </w:r>
    </w:p>
    <w:p>
      <w:pPr>
        <w:spacing w:after="0" w:line="282" w:lineRule="exact"/>
        <w:rPr>
          <w:sz w:val="20"/>
          <w:szCs w:val="20"/>
          <w:color w:val="auto"/>
        </w:rPr>
      </w:pPr>
    </w:p>
    <w:p>
      <w:pPr>
        <w:spacing w:after="0"/>
        <w:rPr>
          <w:sz w:val="20"/>
          <w:szCs w:val="20"/>
          <w:color w:val="auto"/>
        </w:rPr>
      </w:pPr>
      <w:r>
        <w:rPr>
          <w:rFonts w:ascii="Calibri" w:cs="Calibri" w:eastAsia="Calibri" w:hAnsi="Calibri"/>
          <w:sz w:val="22"/>
          <w:szCs w:val="22"/>
          <w:color w:val="auto"/>
        </w:rPr>
        <w:t xml:space="preserve">Gompers, P., &amp; Lerner, J. (2004). </w:t>
      </w:r>
      <w:r>
        <w:rPr>
          <w:rFonts w:ascii="Calibri" w:cs="Calibri" w:eastAsia="Calibri" w:hAnsi="Calibri"/>
          <w:sz w:val="22"/>
          <w:szCs w:val="22"/>
          <w:i w:val="1"/>
          <w:iCs w:val="1"/>
          <w:color w:val="auto"/>
        </w:rPr>
        <w:t>The venture capital cycle</w:t>
      </w:r>
      <w:r>
        <w:rPr>
          <w:rFonts w:ascii="Calibri" w:cs="Calibri" w:eastAsia="Calibri" w:hAnsi="Calibri"/>
          <w:sz w:val="22"/>
          <w:szCs w:val="22"/>
          <w:color w:val="auto"/>
        </w:rPr>
        <w:t>. MIT Press.</w:t>
      </w:r>
    </w:p>
    <w:p>
      <w:pPr>
        <w:spacing w:after="0" w:line="282" w:lineRule="exact"/>
        <w:rPr>
          <w:sz w:val="20"/>
          <w:szCs w:val="20"/>
          <w:color w:val="auto"/>
        </w:rPr>
      </w:pPr>
    </w:p>
    <w:p>
      <w:pPr>
        <w:spacing w:after="0"/>
        <w:rPr>
          <w:sz w:val="20"/>
          <w:szCs w:val="20"/>
          <w:color w:val="auto"/>
        </w:rPr>
      </w:pPr>
      <w:r>
        <w:rPr>
          <w:rFonts w:ascii="Calibri" w:cs="Calibri" w:eastAsia="Calibri" w:hAnsi="Calibri"/>
          <w:sz w:val="22"/>
          <w:szCs w:val="22"/>
          <w:color w:val="auto"/>
        </w:rPr>
        <w:t xml:space="preserve">Greenstein, S., &amp; Zhu, F. (2012). Is Wikipedia Biased? </w:t>
      </w:r>
      <w:r>
        <w:rPr>
          <w:rFonts w:ascii="Calibri" w:cs="Calibri" w:eastAsia="Calibri" w:hAnsi="Calibri"/>
          <w:sz w:val="22"/>
          <w:szCs w:val="22"/>
          <w:i w:val="1"/>
          <w:iCs w:val="1"/>
          <w:color w:val="auto"/>
        </w:rPr>
        <w:t>The American Economic Review</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102</w:t>
      </w:r>
      <w:r>
        <w:rPr>
          <w:rFonts w:ascii="Calibri" w:cs="Calibri" w:eastAsia="Calibri" w:hAnsi="Calibri"/>
          <w:sz w:val="22"/>
          <w:szCs w:val="22"/>
          <w:color w:val="auto"/>
        </w:rPr>
        <w:t>(3), 343–348.</w:t>
      </w:r>
    </w:p>
    <w:p>
      <w:pPr>
        <w:spacing w:after="0" w:line="328" w:lineRule="exact"/>
        <w:rPr>
          <w:sz w:val="20"/>
          <w:szCs w:val="20"/>
          <w:color w:val="auto"/>
        </w:rPr>
      </w:pPr>
    </w:p>
    <w:p>
      <w:pPr>
        <w:ind w:left="480" w:right="100" w:hanging="479"/>
        <w:spacing w:after="0" w:line="218" w:lineRule="auto"/>
        <w:rPr>
          <w:sz w:val="20"/>
          <w:szCs w:val="20"/>
          <w:color w:val="auto"/>
        </w:rPr>
      </w:pPr>
      <w:r>
        <w:rPr>
          <w:rFonts w:ascii="Calibri" w:cs="Calibri" w:eastAsia="Calibri" w:hAnsi="Calibri"/>
          <w:sz w:val="22"/>
          <w:szCs w:val="22"/>
          <w:color w:val="auto"/>
        </w:rPr>
        <w:t xml:space="preserve">Greenstein, S., &amp; Zhu, F. (2014). </w:t>
      </w:r>
      <w:r>
        <w:rPr>
          <w:rFonts w:ascii="Calibri" w:cs="Calibri" w:eastAsia="Calibri" w:hAnsi="Calibri"/>
          <w:sz w:val="22"/>
          <w:szCs w:val="22"/>
          <w:i w:val="1"/>
          <w:iCs w:val="1"/>
          <w:color w:val="auto"/>
        </w:rPr>
        <w:t>Do Experts or Collective Intelligence Write with More Bias: Evience from</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 xml:space="preserve">Encyclopedia Britannica and Wikipedia </w:t>
      </w:r>
      <w:r>
        <w:rPr>
          <w:rFonts w:ascii="Calibri" w:cs="Calibri" w:eastAsia="Calibri" w:hAnsi="Calibri"/>
          <w:sz w:val="22"/>
          <w:szCs w:val="22"/>
          <w:color w:val="auto"/>
        </w:rPr>
        <w:t>(No. 15-023).</w:t>
      </w:r>
    </w:p>
    <w:p>
      <w:pPr>
        <w:spacing w:after="0" w:line="331" w:lineRule="exact"/>
        <w:rPr>
          <w:sz w:val="20"/>
          <w:szCs w:val="20"/>
          <w:color w:val="auto"/>
        </w:rPr>
      </w:pPr>
    </w:p>
    <w:p>
      <w:pPr>
        <w:ind w:left="480" w:right="140" w:hanging="479"/>
        <w:spacing w:after="0" w:line="217" w:lineRule="auto"/>
        <w:rPr>
          <w:sz w:val="20"/>
          <w:szCs w:val="20"/>
          <w:color w:val="auto"/>
        </w:rPr>
      </w:pPr>
      <w:r>
        <w:rPr>
          <w:rFonts w:ascii="Calibri" w:cs="Calibri" w:eastAsia="Calibri" w:hAnsi="Calibri"/>
          <w:sz w:val="22"/>
          <w:szCs w:val="22"/>
          <w:color w:val="auto"/>
        </w:rPr>
        <w:t xml:space="preserve">Hellmann, T., &amp; Puri, M. (2002). Venture Capital and the Professionalization of Start‐up Firms: Empirical Evidence. </w:t>
      </w:r>
      <w:r>
        <w:rPr>
          <w:rFonts w:ascii="Calibri" w:cs="Calibri" w:eastAsia="Calibri" w:hAnsi="Calibri"/>
          <w:sz w:val="22"/>
          <w:szCs w:val="22"/>
          <w:i w:val="1"/>
          <w:iCs w:val="1"/>
          <w:color w:val="auto"/>
        </w:rPr>
        <w:t>The Journal of Finance</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57</w:t>
      </w:r>
      <w:r>
        <w:rPr>
          <w:rFonts w:ascii="Calibri" w:cs="Calibri" w:eastAsia="Calibri" w:hAnsi="Calibri"/>
          <w:sz w:val="22"/>
          <w:szCs w:val="22"/>
          <w:color w:val="auto"/>
        </w:rPr>
        <w:t>(1), 169–197.</w:t>
      </w:r>
    </w:p>
    <w:p>
      <w:pPr>
        <w:spacing w:after="0" w:line="330" w:lineRule="exact"/>
        <w:rPr>
          <w:sz w:val="20"/>
          <w:szCs w:val="20"/>
          <w:color w:val="auto"/>
        </w:rPr>
      </w:pPr>
    </w:p>
    <w:p>
      <w:pPr>
        <w:ind w:left="480" w:right="380" w:hanging="479"/>
        <w:spacing w:after="0" w:line="218" w:lineRule="auto"/>
        <w:rPr>
          <w:sz w:val="20"/>
          <w:szCs w:val="20"/>
          <w:color w:val="auto"/>
        </w:rPr>
      </w:pPr>
      <w:r>
        <w:rPr>
          <w:rFonts w:ascii="Calibri" w:cs="Calibri" w:eastAsia="Calibri" w:hAnsi="Calibri"/>
          <w:sz w:val="22"/>
          <w:szCs w:val="22"/>
          <w:color w:val="auto"/>
        </w:rPr>
        <w:t>Isenberg, D. (2012). The Road to Crowdfunding Hell, Harvard Business Review Online, retrieved from https://hbr.org/2012/04/the-road-to-crowdfunding-hell/.</w:t>
      </w:r>
    </w:p>
    <w:p>
      <w:pPr>
        <w:spacing w:after="0" w:line="279" w:lineRule="exact"/>
        <w:rPr>
          <w:sz w:val="20"/>
          <w:szCs w:val="20"/>
          <w:color w:val="auto"/>
        </w:rPr>
      </w:pPr>
    </w:p>
    <w:p>
      <w:pPr>
        <w:spacing w:after="0"/>
        <w:rPr>
          <w:sz w:val="20"/>
          <w:szCs w:val="20"/>
          <w:color w:val="auto"/>
        </w:rPr>
      </w:pPr>
      <w:r>
        <w:rPr>
          <w:rFonts w:ascii="Calibri" w:cs="Calibri" w:eastAsia="Calibri" w:hAnsi="Calibri"/>
          <w:sz w:val="22"/>
          <w:szCs w:val="22"/>
          <w:color w:val="auto"/>
        </w:rPr>
        <w:t xml:space="preserve">Janis, I. L. (1982). </w:t>
      </w:r>
      <w:r>
        <w:rPr>
          <w:rFonts w:ascii="Calibri" w:cs="Calibri" w:eastAsia="Calibri" w:hAnsi="Calibri"/>
          <w:sz w:val="22"/>
          <w:szCs w:val="22"/>
          <w:i w:val="1"/>
          <w:iCs w:val="1"/>
          <w:color w:val="auto"/>
        </w:rPr>
        <w:t>Groupthink: Psychological Studies of Policy Decisions and Fiasces</w:t>
      </w:r>
      <w:r>
        <w:rPr>
          <w:rFonts w:ascii="Calibri" w:cs="Calibri" w:eastAsia="Calibri" w:hAnsi="Calibri"/>
          <w:sz w:val="22"/>
          <w:szCs w:val="22"/>
          <w:color w:val="auto"/>
        </w:rPr>
        <w:t>. Houghton Mifflin.</w:t>
      </w:r>
    </w:p>
    <w:p>
      <w:pPr>
        <w:spacing w:after="0" w:line="330" w:lineRule="exact"/>
        <w:rPr>
          <w:sz w:val="20"/>
          <w:szCs w:val="20"/>
          <w:color w:val="auto"/>
        </w:rPr>
      </w:pPr>
    </w:p>
    <w:p>
      <w:pPr>
        <w:ind w:left="480" w:right="260" w:hanging="479"/>
        <w:spacing w:after="0" w:line="218" w:lineRule="auto"/>
        <w:rPr>
          <w:sz w:val="20"/>
          <w:szCs w:val="20"/>
          <w:color w:val="auto"/>
        </w:rPr>
      </w:pPr>
      <w:r>
        <w:rPr>
          <w:rFonts w:ascii="Calibri" w:cs="Calibri" w:eastAsia="Calibri" w:hAnsi="Calibri"/>
          <w:sz w:val="22"/>
          <w:szCs w:val="22"/>
          <w:color w:val="auto"/>
        </w:rPr>
        <w:t xml:space="preserve">Jeppesen, L., &amp; Frederiksen, L. (2006). Why do users contribute to firm-hosted user communities? The case of computer-controlled music instruments. </w:t>
      </w:r>
      <w:r>
        <w:rPr>
          <w:rFonts w:ascii="Calibri" w:cs="Calibri" w:eastAsia="Calibri" w:hAnsi="Calibri"/>
          <w:sz w:val="22"/>
          <w:szCs w:val="22"/>
          <w:i w:val="1"/>
          <w:iCs w:val="1"/>
          <w:color w:val="auto"/>
        </w:rPr>
        <w:t>Organization Science</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17</w:t>
      </w:r>
      <w:r>
        <w:rPr>
          <w:rFonts w:ascii="Calibri" w:cs="Calibri" w:eastAsia="Calibri" w:hAnsi="Calibri"/>
          <w:sz w:val="22"/>
          <w:szCs w:val="22"/>
          <w:color w:val="auto"/>
        </w:rPr>
        <w:t>(1), 45.</w:t>
      </w:r>
    </w:p>
    <w:p>
      <w:pPr>
        <w:spacing w:after="0" w:line="328" w:lineRule="exact"/>
        <w:rPr>
          <w:sz w:val="20"/>
          <w:szCs w:val="20"/>
          <w:color w:val="auto"/>
        </w:rPr>
      </w:pPr>
    </w:p>
    <w:p>
      <w:pPr>
        <w:ind w:left="480" w:right="220" w:hanging="479"/>
        <w:spacing w:after="0" w:line="225" w:lineRule="auto"/>
        <w:rPr>
          <w:sz w:val="20"/>
          <w:szCs w:val="20"/>
          <w:color w:val="auto"/>
        </w:rPr>
      </w:pPr>
      <w:r>
        <w:rPr>
          <w:rFonts w:ascii="Calibri" w:cs="Calibri" w:eastAsia="Calibri" w:hAnsi="Calibri"/>
          <w:sz w:val="22"/>
          <w:szCs w:val="22"/>
          <w:color w:val="auto"/>
        </w:rPr>
        <w:t xml:space="preserve">Karlgren, J., &amp; Cutting, D. (1994). Recognizing text genres with simple metrics using discriminant analysis. In </w:t>
      </w:r>
      <w:r>
        <w:rPr>
          <w:rFonts w:ascii="Calibri" w:cs="Calibri" w:eastAsia="Calibri" w:hAnsi="Calibri"/>
          <w:sz w:val="22"/>
          <w:szCs w:val="22"/>
          <w:i w:val="1"/>
          <w:iCs w:val="1"/>
          <w:color w:val="auto"/>
        </w:rPr>
        <w:t>Proceedings of the 15th conference on Computational linguistics-Volume 2</w:t>
      </w:r>
      <w:r>
        <w:rPr>
          <w:rFonts w:ascii="Calibri" w:cs="Calibri" w:eastAsia="Calibri" w:hAnsi="Calibri"/>
          <w:sz w:val="22"/>
          <w:szCs w:val="22"/>
          <w:color w:val="auto"/>
        </w:rPr>
        <w:t xml:space="preserve"> (pp. 1071– 1075). Association for Computational Linguistics.</w:t>
      </w:r>
    </w:p>
    <w:p>
      <w:pPr>
        <w:spacing w:after="0" w:line="283" w:lineRule="exact"/>
        <w:rPr>
          <w:sz w:val="20"/>
          <w:szCs w:val="20"/>
          <w:color w:val="auto"/>
        </w:rPr>
      </w:pPr>
    </w:p>
    <w:p>
      <w:pPr>
        <w:spacing w:after="0"/>
        <w:rPr>
          <w:sz w:val="20"/>
          <w:szCs w:val="20"/>
          <w:color w:val="auto"/>
        </w:rPr>
      </w:pPr>
      <w:r>
        <w:rPr>
          <w:rFonts w:ascii="Calibri" w:cs="Calibri" w:eastAsia="Calibri" w:hAnsi="Calibri"/>
          <w:sz w:val="22"/>
          <w:szCs w:val="22"/>
          <w:color w:val="auto"/>
        </w:rPr>
        <w:t>Kerr, W. R., Nanda, R., &amp; Rhodes-Kropf, M. (2013). Entrepreneurship as Experimentation.</w:t>
      </w:r>
    </w:p>
    <w:p>
      <w:pPr>
        <w:spacing w:after="0" w:line="328" w:lineRule="exact"/>
        <w:rPr>
          <w:sz w:val="20"/>
          <w:szCs w:val="20"/>
          <w:color w:val="auto"/>
        </w:rPr>
      </w:pPr>
    </w:p>
    <w:p>
      <w:pPr>
        <w:ind w:left="480" w:right="100" w:hanging="479"/>
        <w:spacing w:after="0" w:line="218" w:lineRule="auto"/>
        <w:rPr>
          <w:sz w:val="20"/>
          <w:szCs w:val="20"/>
          <w:color w:val="auto"/>
        </w:rPr>
      </w:pPr>
      <w:r>
        <w:rPr>
          <w:rFonts w:ascii="Calibri" w:cs="Calibri" w:eastAsia="Calibri" w:hAnsi="Calibri"/>
          <w:sz w:val="22"/>
          <w:szCs w:val="22"/>
          <w:color w:val="auto"/>
        </w:rPr>
        <w:t xml:space="preserve">Kim, B. K., &amp; Jensen, M. (2011). How product order affects market identity repertoire ordering in the US opera market. </w:t>
      </w:r>
      <w:r>
        <w:rPr>
          <w:rFonts w:ascii="Calibri" w:cs="Calibri" w:eastAsia="Calibri" w:hAnsi="Calibri"/>
          <w:sz w:val="22"/>
          <w:szCs w:val="22"/>
          <w:i w:val="1"/>
          <w:iCs w:val="1"/>
          <w:color w:val="auto"/>
        </w:rPr>
        <w:t>Administrative Science Quarterly</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56</w:t>
      </w:r>
      <w:r>
        <w:rPr>
          <w:rFonts w:ascii="Calibri" w:cs="Calibri" w:eastAsia="Calibri" w:hAnsi="Calibri"/>
          <w:sz w:val="22"/>
          <w:szCs w:val="22"/>
          <w:color w:val="auto"/>
        </w:rPr>
        <w:t>(2), 238–256.</w:t>
      </w:r>
    </w:p>
    <w:p>
      <w:pPr>
        <w:spacing w:after="0" w:line="331" w:lineRule="exact"/>
        <w:rPr>
          <w:sz w:val="20"/>
          <w:szCs w:val="20"/>
          <w:color w:val="auto"/>
        </w:rPr>
      </w:pPr>
    </w:p>
    <w:p>
      <w:pPr>
        <w:ind w:left="480" w:right="40" w:hanging="479"/>
        <w:spacing w:after="0" w:line="218" w:lineRule="auto"/>
        <w:rPr>
          <w:sz w:val="20"/>
          <w:szCs w:val="20"/>
          <w:color w:val="auto"/>
        </w:rPr>
      </w:pPr>
      <w:r>
        <w:rPr>
          <w:rFonts w:ascii="Calibri" w:cs="Calibri" w:eastAsia="Calibri" w:hAnsi="Calibri"/>
          <w:sz w:val="22"/>
          <w:szCs w:val="22"/>
          <w:color w:val="auto"/>
        </w:rPr>
        <w:t xml:space="preserve">Kornish, L. J., &amp; Ulrich, K. T. (2011). Opportunity spaces in innovation: Empirical analysis of large samples of ideas. </w:t>
      </w:r>
      <w:r>
        <w:rPr>
          <w:rFonts w:ascii="Calibri" w:cs="Calibri" w:eastAsia="Calibri" w:hAnsi="Calibri"/>
          <w:sz w:val="22"/>
          <w:szCs w:val="22"/>
          <w:i w:val="1"/>
          <w:iCs w:val="1"/>
          <w:color w:val="auto"/>
        </w:rPr>
        <w:t>Management Science</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57</w:t>
      </w:r>
      <w:r>
        <w:rPr>
          <w:rFonts w:ascii="Calibri" w:cs="Calibri" w:eastAsia="Calibri" w:hAnsi="Calibri"/>
          <w:sz w:val="22"/>
          <w:szCs w:val="22"/>
          <w:color w:val="auto"/>
        </w:rPr>
        <w:t>(1), 107–128.</w:t>
      </w:r>
    </w:p>
    <w:p>
      <w:pPr>
        <w:spacing w:after="0" w:line="329" w:lineRule="exact"/>
        <w:rPr>
          <w:sz w:val="20"/>
          <w:szCs w:val="20"/>
          <w:color w:val="auto"/>
        </w:rPr>
      </w:pPr>
    </w:p>
    <w:p>
      <w:pPr>
        <w:ind w:left="480" w:hanging="479"/>
        <w:spacing w:after="0" w:line="218" w:lineRule="auto"/>
        <w:rPr>
          <w:sz w:val="20"/>
          <w:szCs w:val="20"/>
          <w:color w:val="auto"/>
        </w:rPr>
      </w:pPr>
      <w:r>
        <w:rPr>
          <w:rFonts w:ascii="Calibri" w:cs="Calibri" w:eastAsia="Calibri" w:hAnsi="Calibri"/>
          <w:sz w:val="22"/>
          <w:szCs w:val="22"/>
          <w:color w:val="auto"/>
        </w:rPr>
        <w:t xml:space="preserve">Kortum, S., &amp; Lerner, J. (2000). Assessing the contribution of venture capital to innovation. </w:t>
      </w:r>
      <w:r>
        <w:rPr>
          <w:rFonts w:ascii="Calibri" w:cs="Calibri" w:eastAsia="Calibri" w:hAnsi="Calibri"/>
          <w:sz w:val="22"/>
          <w:szCs w:val="22"/>
          <w:i w:val="1"/>
          <w:iCs w:val="1"/>
          <w:color w:val="auto"/>
        </w:rPr>
        <w:t>RAND Journal</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of Economics</w:t>
      </w:r>
      <w:r>
        <w:rPr>
          <w:rFonts w:ascii="Calibri" w:cs="Calibri" w:eastAsia="Calibri" w:hAnsi="Calibri"/>
          <w:sz w:val="22"/>
          <w:szCs w:val="22"/>
          <w:color w:val="auto"/>
        </w:rPr>
        <w:t>,</w:t>
      </w:r>
      <w:r>
        <w:rPr>
          <w:rFonts w:ascii="Calibri" w:cs="Calibri" w:eastAsia="Calibri" w:hAnsi="Calibri"/>
          <w:sz w:val="22"/>
          <w:szCs w:val="22"/>
          <w:i w:val="1"/>
          <w:iCs w:val="1"/>
          <w:color w:val="auto"/>
        </w:rPr>
        <w:t xml:space="preserve"> 31</w:t>
      </w:r>
      <w:r>
        <w:rPr>
          <w:rFonts w:ascii="Calibri" w:cs="Calibri" w:eastAsia="Calibri" w:hAnsi="Calibri"/>
          <w:sz w:val="22"/>
          <w:szCs w:val="22"/>
          <w:color w:val="auto"/>
        </w:rPr>
        <w:t>(4), 674.</w:t>
      </w:r>
    </w:p>
    <w:p>
      <w:pPr>
        <w:spacing w:after="0" w:line="331" w:lineRule="exact"/>
        <w:rPr>
          <w:sz w:val="20"/>
          <w:szCs w:val="20"/>
          <w:color w:val="auto"/>
        </w:rPr>
      </w:pPr>
    </w:p>
    <w:p>
      <w:pPr>
        <w:ind w:left="480" w:hanging="479"/>
        <w:spacing w:after="0" w:line="218" w:lineRule="auto"/>
        <w:rPr>
          <w:sz w:val="20"/>
          <w:szCs w:val="20"/>
          <w:color w:val="auto"/>
        </w:rPr>
      </w:pPr>
      <w:r>
        <w:rPr>
          <w:rFonts w:ascii="Calibri" w:cs="Calibri" w:eastAsia="Calibri" w:hAnsi="Calibri"/>
          <w:sz w:val="22"/>
          <w:szCs w:val="22"/>
          <w:color w:val="auto"/>
        </w:rPr>
        <w:t xml:space="preserve">Kriauciunas, A., Parmigiani, A., &amp; Rivera-Santos, M. (2011). Crowdfunding creative ideas: the dynamics of projects backers in Kickstarter. </w:t>
      </w:r>
      <w:r>
        <w:rPr>
          <w:rFonts w:ascii="Calibri" w:cs="Calibri" w:eastAsia="Calibri" w:hAnsi="Calibri"/>
          <w:sz w:val="22"/>
          <w:szCs w:val="22"/>
          <w:i w:val="1"/>
          <w:iCs w:val="1"/>
          <w:color w:val="auto"/>
        </w:rPr>
        <w:t>Strategic Management Journal</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32</w:t>
      </w:r>
      <w:r>
        <w:rPr>
          <w:rFonts w:ascii="Calibri" w:cs="Calibri" w:eastAsia="Calibri" w:hAnsi="Calibri"/>
          <w:sz w:val="22"/>
          <w:szCs w:val="22"/>
          <w:color w:val="auto"/>
        </w:rPr>
        <w:t>(9), 994–1010.</w:t>
      </w:r>
    </w:p>
    <w:p>
      <w:pPr>
        <w:spacing w:after="0" w:line="200" w:lineRule="exact"/>
        <w:rPr>
          <w:sz w:val="20"/>
          <w:szCs w:val="20"/>
          <w:color w:val="auto"/>
        </w:rPr>
      </w:pPr>
    </w:p>
    <w:p>
      <w:pPr>
        <w:spacing w:after="0" w:line="362"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32</w:t>
      </w:r>
    </w:p>
    <w:p>
      <w:pPr>
        <w:sectPr>
          <w:pgSz w:w="12240" w:h="15840" w:orient="portrait"/>
          <w:cols w:equalWidth="0" w:num="1">
            <w:col w:w="9360"/>
          </w:cols>
          <w:pgMar w:left="1440" w:top="1440" w:right="1440" w:bottom="474" w:gutter="0" w:footer="0" w:header="0"/>
        </w:sectPr>
      </w:pPr>
    </w:p>
    <w:bookmarkStart w:id="33" w:name="page34"/>
    <w:bookmarkEnd w:id="33"/>
    <w:p>
      <w:pPr>
        <w:spacing w:after="0" w:line="41" w:lineRule="exact"/>
        <w:rPr>
          <w:sz w:val="20"/>
          <w:szCs w:val="20"/>
          <w:color w:val="auto"/>
        </w:rPr>
      </w:pPr>
    </w:p>
    <w:p>
      <w:pPr>
        <w:ind w:left="480" w:right="20" w:hanging="479"/>
        <w:spacing w:after="0" w:line="218" w:lineRule="auto"/>
        <w:rPr>
          <w:sz w:val="20"/>
          <w:szCs w:val="20"/>
          <w:color w:val="auto"/>
        </w:rPr>
      </w:pPr>
      <w:r>
        <w:rPr>
          <w:rFonts w:ascii="Calibri" w:cs="Calibri" w:eastAsia="Calibri" w:hAnsi="Calibri"/>
          <w:sz w:val="22"/>
          <w:szCs w:val="22"/>
          <w:color w:val="auto"/>
        </w:rPr>
        <w:t xml:space="preserve">Kuppuswamy, V., &amp; Bayus, B. L. (2013). Crowdfunding Creative Ideas: The Dynamics of Project Backers in Kickstarter. </w:t>
      </w:r>
      <w:r>
        <w:rPr>
          <w:rFonts w:ascii="Calibri" w:cs="Calibri" w:eastAsia="Calibri" w:hAnsi="Calibri"/>
          <w:sz w:val="22"/>
          <w:szCs w:val="22"/>
          <w:i w:val="1"/>
          <w:iCs w:val="1"/>
          <w:color w:val="auto"/>
        </w:rPr>
        <w:t>SSRN Electronic Journal</w:t>
      </w:r>
      <w:r>
        <w:rPr>
          <w:rFonts w:ascii="Calibri" w:cs="Calibri" w:eastAsia="Calibri" w:hAnsi="Calibri"/>
          <w:sz w:val="22"/>
          <w:szCs w:val="22"/>
          <w:color w:val="auto"/>
        </w:rPr>
        <w:t>.</w:t>
      </w:r>
    </w:p>
    <w:p>
      <w:pPr>
        <w:spacing w:after="0" w:line="329" w:lineRule="exact"/>
        <w:rPr>
          <w:sz w:val="20"/>
          <w:szCs w:val="20"/>
          <w:color w:val="auto"/>
        </w:rPr>
      </w:pPr>
    </w:p>
    <w:p>
      <w:pPr>
        <w:ind w:left="480" w:right="480" w:hanging="479"/>
        <w:spacing w:after="0" w:line="218" w:lineRule="auto"/>
        <w:rPr>
          <w:sz w:val="20"/>
          <w:szCs w:val="20"/>
          <w:color w:val="auto"/>
        </w:rPr>
      </w:pPr>
      <w:r>
        <w:rPr>
          <w:rFonts w:ascii="Calibri" w:cs="Calibri" w:eastAsia="Calibri" w:hAnsi="Calibri"/>
          <w:sz w:val="22"/>
          <w:szCs w:val="22"/>
          <w:color w:val="auto"/>
        </w:rPr>
        <w:t xml:space="preserve">Larrick, R., Mannes, A., &amp; Soll, J. (2012). The social psychology of the wisdom of crowds. </w:t>
      </w:r>
      <w:r>
        <w:rPr>
          <w:rFonts w:ascii="Calibri" w:cs="Calibri" w:eastAsia="Calibri" w:hAnsi="Calibri"/>
          <w:sz w:val="22"/>
          <w:szCs w:val="22"/>
          <w:i w:val="1"/>
          <w:iCs w:val="1"/>
          <w:color w:val="auto"/>
        </w:rPr>
        <w:t>Frontiers in</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Social Psychology: Social Judgment and Decision Making</w:t>
      </w:r>
      <w:r>
        <w:rPr>
          <w:rFonts w:ascii="Calibri" w:cs="Calibri" w:eastAsia="Calibri" w:hAnsi="Calibri"/>
          <w:sz w:val="22"/>
          <w:szCs w:val="22"/>
          <w:color w:val="auto"/>
        </w:rPr>
        <w:t>, 227–242.</w:t>
      </w:r>
    </w:p>
    <w:p>
      <w:pPr>
        <w:spacing w:after="0" w:line="331" w:lineRule="exact"/>
        <w:rPr>
          <w:sz w:val="20"/>
          <w:szCs w:val="20"/>
          <w:color w:val="auto"/>
        </w:rPr>
      </w:pPr>
    </w:p>
    <w:p>
      <w:pPr>
        <w:ind w:left="480" w:right="600" w:hanging="479"/>
        <w:spacing w:after="0" w:line="218" w:lineRule="auto"/>
        <w:rPr>
          <w:sz w:val="20"/>
          <w:szCs w:val="20"/>
          <w:color w:val="auto"/>
        </w:rPr>
      </w:pPr>
      <w:r>
        <w:rPr>
          <w:rFonts w:ascii="Calibri" w:cs="Calibri" w:eastAsia="Calibri" w:hAnsi="Calibri"/>
          <w:sz w:val="22"/>
          <w:szCs w:val="22"/>
          <w:color w:val="auto"/>
        </w:rPr>
        <w:t xml:space="preserve">Larrick, R., &amp; Soll, J. (2012). Intuitions about combining opinions: Misappreciation of the averaging principle. </w:t>
      </w:r>
      <w:r>
        <w:rPr>
          <w:rFonts w:ascii="Calibri" w:cs="Calibri" w:eastAsia="Calibri" w:hAnsi="Calibri"/>
          <w:sz w:val="22"/>
          <w:szCs w:val="22"/>
          <w:i w:val="1"/>
          <w:iCs w:val="1"/>
          <w:color w:val="auto"/>
        </w:rPr>
        <w:t>Management Science</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52</w:t>
      </w:r>
      <w:r>
        <w:rPr>
          <w:rFonts w:ascii="Calibri" w:cs="Calibri" w:eastAsia="Calibri" w:hAnsi="Calibri"/>
          <w:sz w:val="22"/>
          <w:szCs w:val="22"/>
          <w:color w:val="auto"/>
        </w:rPr>
        <w:t>(1), 111–127.</w:t>
      </w:r>
    </w:p>
    <w:p>
      <w:pPr>
        <w:spacing w:after="0" w:line="328" w:lineRule="exact"/>
        <w:rPr>
          <w:sz w:val="20"/>
          <w:szCs w:val="20"/>
          <w:color w:val="auto"/>
        </w:rPr>
      </w:pPr>
    </w:p>
    <w:p>
      <w:pPr>
        <w:ind w:left="480" w:right="360" w:hanging="479"/>
        <w:spacing w:after="0" w:line="218" w:lineRule="auto"/>
        <w:rPr>
          <w:sz w:val="20"/>
          <w:szCs w:val="20"/>
          <w:color w:val="auto"/>
        </w:rPr>
      </w:pPr>
      <w:r>
        <w:rPr>
          <w:rFonts w:ascii="Calibri" w:cs="Calibri" w:eastAsia="Calibri" w:hAnsi="Calibri"/>
          <w:sz w:val="22"/>
          <w:szCs w:val="22"/>
          <w:color w:val="auto"/>
        </w:rPr>
        <w:t xml:space="preserve">Latane, B., Williams, K., Harkins, S., &amp; Latané, B. (1979). Many hands make light the work: The causes and consequences of social loafing. </w:t>
      </w:r>
      <w:r>
        <w:rPr>
          <w:rFonts w:ascii="Calibri" w:cs="Calibri" w:eastAsia="Calibri" w:hAnsi="Calibri"/>
          <w:sz w:val="22"/>
          <w:szCs w:val="22"/>
          <w:i w:val="1"/>
          <w:iCs w:val="1"/>
          <w:color w:val="auto"/>
        </w:rPr>
        <w:t>Journal of Personality and Social Psychology</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37</w:t>
      </w:r>
      <w:r>
        <w:rPr>
          <w:rFonts w:ascii="Calibri" w:cs="Calibri" w:eastAsia="Calibri" w:hAnsi="Calibri"/>
          <w:sz w:val="22"/>
          <w:szCs w:val="22"/>
          <w:color w:val="auto"/>
        </w:rPr>
        <w:t>(6), 822.</w:t>
      </w:r>
    </w:p>
    <w:p>
      <w:pPr>
        <w:spacing w:after="0" w:line="331" w:lineRule="exact"/>
        <w:rPr>
          <w:sz w:val="20"/>
          <w:szCs w:val="20"/>
          <w:color w:val="auto"/>
        </w:rPr>
      </w:pPr>
    </w:p>
    <w:p>
      <w:pPr>
        <w:ind w:left="480" w:right="200" w:hanging="479"/>
        <w:spacing w:after="0" w:line="218" w:lineRule="auto"/>
        <w:rPr>
          <w:sz w:val="20"/>
          <w:szCs w:val="20"/>
          <w:color w:val="auto"/>
        </w:rPr>
      </w:pPr>
      <w:r>
        <w:rPr>
          <w:rFonts w:ascii="Calibri" w:cs="Calibri" w:eastAsia="Calibri" w:hAnsi="Calibri"/>
          <w:sz w:val="22"/>
          <w:szCs w:val="22"/>
          <w:color w:val="auto"/>
        </w:rPr>
        <w:t xml:space="preserve">Mackay, C. (1852). </w:t>
      </w:r>
      <w:r>
        <w:rPr>
          <w:rFonts w:ascii="Calibri" w:cs="Calibri" w:eastAsia="Calibri" w:hAnsi="Calibri"/>
          <w:sz w:val="22"/>
          <w:szCs w:val="22"/>
          <w:i w:val="1"/>
          <w:iCs w:val="1"/>
          <w:color w:val="auto"/>
        </w:rPr>
        <w:t>Extraordinary Popular Delusions and the Madness of Crowds</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Extraordinary popular</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 xml:space="preserve">delusions and the madness of crowds </w:t>
      </w:r>
      <w:r>
        <w:rPr>
          <w:rFonts w:ascii="Calibri" w:cs="Calibri" w:eastAsia="Calibri" w:hAnsi="Calibri"/>
          <w:sz w:val="22"/>
          <w:szCs w:val="22"/>
          <w:color w:val="auto"/>
        </w:rPr>
        <w:t>(Second Edi., p. ix,214p.). London: Richard Bentley.</w:t>
      </w:r>
    </w:p>
    <w:p>
      <w:pPr>
        <w:spacing w:after="0" w:line="329" w:lineRule="exact"/>
        <w:rPr>
          <w:sz w:val="20"/>
          <w:szCs w:val="20"/>
          <w:color w:val="auto"/>
        </w:rPr>
      </w:pPr>
    </w:p>
    <w:p>
      <w:pPr>
        <w:ind w:left="480" w:right="540" w:hanging="479"/>
        <w:spacing w:after="0" w:line="218" w:lineRule="auto"/>
        <w:rPr>
          <w:sz w:val="20"/>
          <w:szCs w:val="20"/>
          <w:color w:val="auto"/>
        </w:rPr>
      </w:pPr>
      <w:r>
        <w:rPr>
          <w:rFonts w:ascii="Calibri" w:cs="Calibri" w:eastAsia="Calibri" w:hAnsi="Calibri"/>
          <w:sz w:val="22"/>
          <w:szCs w:val="22"/>
          <w:color w:val="auto"/>
        </w:rPr>
        <w:t xml:space="preserve">Makridakis, S., &amp; Winkler, R. L. (1983). Averages of forecasts: Some empirical results. </w:t>
      </w:r>
      <w:r>
        <w:rPr>
          <w:rFonts w:ascii="Calibri" w:cs="Calibri" w:eastAsia="Calibri" w:hAnsi="Calibri"/>
          <w:sz w:val="22"/>
          <w:szCs w:val="22"/>
          <w:i w:val="1"/>
          <w:iCs w:val="1"/>
          <w:color w:val="auto"/>
        </w:rPr>
        <w:t>Management</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Science</w:t>
      </w:r>
      <w:r>
        <w:rPr>
          <w:rFonts w:ascii="Calibri" w:cs="Calibri" w:eastAsia="Calibri" w:hAnsi="Calibri"/>
          <w:sz w:val="22"/>
          <w:szCs w:val="22"/>
          <w:color w:val="auto"/>
        </w:rPr>
        <w:t>,</w:t>
      </w:r>
      <w:r>
        <w:rPr>
          <w:rFonts w:ascii="Calibri" w:cs="Calibri" w:eastAsia="Calibri" w:hAnsi="Calibri"/>
          <w:sz w:val="22"/>
          <w:szCs w:val="22"/>
          <w:i w:val="1"/>
          <w:iCs w:val="1"/>
          <w:color w:val="auto"/>
        </w:rPr>
        <w:t xml:space="preserve"> 29</w:t>
      </w:r>
      <w:r>
        <w:rPr>
          <w:rFonts w:ascii="Calibri" w:cs="Calibri" w:eastAsia="Calibri" w:hAnsi="Calibri"/>
          <w:sz w:val="22"/>
          <w:szCs w:val="22"/>
          <w:color w:val="auto"/>
        </w:rPr>
        <w:t>(9), 987–996.</w:t>
      </w:r>
    </w:p>
    <w:p>
      <w:pPr>
        <w:spacing w:after="0" w:line="331" w:lineRule="exact"/>
        <w:rPr>
          <w:sz w:val="20"/>
          <w:szCs w:val="20"/>
          <w:color w:val="auto"/>
        </w:rPr>
      </w:pPr>
    </w:p>
    <w:p>
      <w:pPr>
        <w:ind w:left="480" w:right="580" w:hanging="479"/>
        <w:spacing w:after="0" w:line="218" w:lineRule="auto"/>
        <w:rPr>
          <w:sz w:val="20"/>
          <w:szCs w:val="20"/>
          <w:color w:val="auto"/>
        </w:rPr>
      </w:pPr>
      <w:r>
        <w:rPr>
          <w:rFonts w:ascii="Calibri" w:cs="Calibri" w:eastAsia="Calibri" w:hAnsi="Calibri"/>
          <w:sz w:val="22"/>
          <w:szCs w:val="22"/>
          <w:color w:val="auto"/>
        </w:rPr>
        <w:t xml:space="preserve">Mollick, E. (2014). The Dynamics of Crowdfunding: Determinants of Success and Failure. </w:t>
      </w:r>
      <w:r>
        <w:rPr>
          <w:rFonts w:ascii="Calibri" w:cs="Calibri" w:eastAsia="Calibri" w:hAnsi="Calibri"/>
          <w:sz w:val="22"/>
          <w:szCs w:val="22"/>
          <w:i w:val="1"/>
          <w:iCs w:val="1"/>
          <w:color w:val="auto"/>
        </w:rPr>
        <w:t>Journal of</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Business Venturing</w:t>
      </w:r>
      <w:r>
        <w:rPr>
          <w:rFonts w:ascii="Calibri" w:cs="Calibri" w:eastAsia="Calibri" w:hAnsi="Calibri"/>
          <w:sz w:val="22"/>
          <w:szCs w:val="22"/>
          <w:color w:val="auto"/>
        </w:rPr>
        <w:t>,</w:t>
      </w:r>
      <w:r>
        <w:rPr>
          <w:rFonts w:ascii="Calibri" w:cs="Calibri" w:eastAsia="Calibri" w:hAnsi="Calibri"/>
          <w:sz w:val="22"/>
          <w:szCs w:val="22"/>
          <w:i w:val="1"/>
          <w:iCs w:val="1"/>
          <w:color w:val="auto"/>
        </w:rPr>
        <w:t xml:space="preserve"> 29</w:t>
      </w:r>
      <w:r>
        <w:rPr>
          <w:rFonts w:ascii="Calibri" w:cs="Calibri" w:eastAsia="Calibri" w:hAnsi="Calibri"/>
          <w:sz w:val="22"/>
          <w:szCs w:val="22"/>
          <w:color w:val="auto"/>
        </w:rPr>
        <w:t>(1), 1–16.</w:t>
      </w:r>
    </w:p>
    <w:p>
      <w:pPr>
        <w:spacing w:after="0" w:line="328" w:lineRule="exact"/>
        <w:rPr>
          <w:sz w:val="20"/>
          <w:szCs w:val="20"/>
          <w:color w:val="auto"/>
        </w:rPr>
      </w:pPr>
    </w:p>
    <w:p>
      <w:pPr>
        <w:ind w:left="480" w:right="140" w:hanging="479"/>
        <w:spacing w:after="0" w:line="225" w:lineRule="auto"/>
        <w:rPr>
          <w:sz w:val="20"/>
          <w:szCs w:val="20"/>
          <w:color w:val="auto"/>
        </w:rPr>
      </w:pPr>
      <w:r>
        <w:rPr>
          <w:rFonts w:ascii="Calibri" w:cs="Calibri" w:eastAsia="Calibri" w:hAnsi="Calibri"/>
          <w:sz w:val="22"/>
          <w:szCs w:val="22"/>
          <w:color w:val="auto"/>
        </w:rPr>
        <w:t xml:space="preserve">Mollick, E., &amp; Kuppuswamy, V. (Forthcoming). Crowdfunding: Evidence on the Democratization of Startup Funding. In K. Lakhani &amp; D. Harhoff (Eds.), </w:t>
      </w:r>
      <w:r>
        <w:rPr>
          <w:rFonts w:ascii="Calibri" w:cs="Calibri" w:eastAsia="Calibri" w:hAnsi="Calibri"/>
          <w:sz w:val="22"/>
          <w:szCs w:val="22"/>
          <w:i w:val="1"/>
          <w:iCs w:val="1"/>
          <w:color w:val="auto"/>
        </w:rPr>
        <w:t>Revolutionizing Innovation: Users, Communities</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and Openness</w:t>
      </w:r>
      <w:r>
        <w:rPr>
          <w:rFonts w:ascii="Calibri" w:cs="Calibri" w:eastAsia="Calibri" w:hAnsi="Calibri"/>
          <w:sz w:val="22"/>
          <w:szCs w:val="22"/>
          <w:color w:val="auto"/>
        </w:rPr>
        <w:t>. MIT Press.</w:t>
      </w:r>
    </w:p>
    <w:p>
      <w:pPr>
        <w:spacing w:after="0" w:line="332" w:lineRule="exact"/>
        <w:rPr>
          <w:sz w:val="20"/>
          <w:szCs w:val="20"/>
          <w:color w:val="auto"/>
        </w:rPr>
      </w:pPr>
    </w:p>
    <w:p>
      <w:pPr>
        <w:ind w:left="480" w:right="1000" w:hanging="479"/>
        <w:spacing w:after="0" w:line="217" w:lineRule="auto"/>
        <w:rPr>
          <w:sz w:val="20"/>
          <w:szCs w:val="20"/>
          <w:color w:val="auto"/>
        </w:rPr>
      </w:pPr>
      <w:r>
        <w:rPr>
          <w:rFonts w:ascii="Calibri" w:cs="Calibri" w:eastAsia="Calibri" w:hAnsi="Calibri"/>
          <w:sz w:val="22"/>
          <w:szCs w:val="22"/>
          <w:color w:val="auto"/>
        </w:rPr>
        <w:t xml:space="preserve">Nanda, R., &amp; Rhodes-Kropf, M. (2012). Financing risk and innovation. </w:t>
      </w:r>
      <w:r>
        <w:rPr>
          <w:rFonts w:ascii="Calibri" w:cs="Calibri" w:eastAsia="Calibri" w:hAnsi="Calibri"/>
          <w:sz w:val="22"/>
          <w:szCs w:val="22"/>
          <w:i w:val="1"/>
          <w:iCs w:val="1"/>
          <w:color w:val="auto"/>
        </w:rPr>
        <w:t>Harvard Business School</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Entrepreneurial Management Working Paper</w:t>
      </w:r>
      <w:r>
        <w:rPr>
          <w:rFonts w:ascii="Calibri" w:cs="Calibri" w:eastAsia="Calibri" w:hAnsi="Calibri"/>
          <w:sz w:val="22"/>
          <w:szCs w:val="22"/>
          <w:color w:val="auto"/>
        </w:rPr>
        <w:t>, (11-013).</w:t>
      </w:r>
    </w:p>
    <w:p>
      <w:pPr>
        <w:spacing w:after="0" w:line="282" w:lineRule="exact"/>
        <w:rPr>
          <w:sz w:val="20"/>
          <w:szCs w:val="20"/>
          <w:color w:val="auto"/>
        </w:rPr>
      </w:pPr>
    </w:p>
    <w:p>
      <w:pPr>
        <w:spacing w:after="0"/>
        <w:rPr>
          <w:sz w:val="20"/>
          <w:szCs w:val="20"/>
          <w:color w:val="auto"/>
        </w:rPr>
      </w:pPr>
      <w:r>
        <w:rPr>
          <w:rFonts w:ascii="Calibri" w:cs="Calibri" w:eastAsia="Calibri" w:hAnsi="Calibri"/>
          <w:sz w:val="22"/>
          <w:szCs w:val="22"/>
          <w:color w:val="auto"/>
        </w:rPr>
        <w:t xml:space="preserve">Nelson, R. R. (1959). The Simple Economics of Basic Scientific Research. </w:t>
      </w:r>
      <w:r>
        <w:rPr>
          <w:rFonts w:ascii="Calibri" w:cs="Calibri" w:eastAsia="Calibri" w:hAnsi="Calibri"/>
          <w:sz w:val="22"/>
          <w:szCs w:val="22"/>
          <w:i w:val="1"/>
          <w:iCs w:val="1"/>
          <w:color w:val="auto"/>
        </w:rPr>
        <w:t>Journal of Political Economy</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67</w:t>
      </w:r>
      <w:r>
        <w:rPr>
          <w:rFonts w:ascii="Calibri" w:cs="Calibri" w:eastAsia="Calibri" w:hAnsi="Calibri"/>
          <w:sz w:val="22"/>
          <w:szCs w:val="22"/>
          <w:color w:val="auto"/>
        </w:rPr>
        <w:t>.</w:t>
      </w:r>
    </w:p>
    <w:p>
      <w:pPr>
        <w:spacing w:after="0" w:line="330" w:lineRule="exact"/>
        <w:rPr>
          <w:sz w:val="20"/>
          <w:szCs w:val="20"/>
          <w:color w:val="auto"/>
        </w:rPr>
      </w:pPr>
    </w:p>
    <w:p>
      <w:pPr>
        <w:ind w:left="480" w:right="80" w:hanging="479"/>
        <w:spacing w:after="0" w:line="218" w:lineRule="auto"/>
        <w:rPr>
          <w:sz w:val="20"/>
          <w:szCs w:val="20"/>
          <w:color w:val="auto"/>
        </w:rPr>
      </w:pPr>
      <w:r>
        <w:rPr>
          <w:rFonts w:ascii="Calibri" w:cs="Calibri" w:eastAsia="Calibri" w:hAnsi="Calibri"/>
          <w:sz w:val="22"/>
          <w:szCs w:val="22"/>
          <w:color w:val="auto"/>
        </w:rPr>
        <w:t xml:space="preserve">O’Mahony, S. (2003). Guarding the commons: how community managed software projects protect their work. </w:t>
      </w:r>
      <w:r>
        <w:rPr>
          <w:rFonts w:ascii="Calibri" w:cs="Calibri" w:eastAsia="Calibri" w:hAnsi="Calibri"/>
          <w:sz w:val="22"/>
          <w:szCs w:val="22"/>
          <w:i w:val="1"/>
          <w:iCs w:val="1"/>
          <w:color w:val="auto"/>
        </w:rPr>
        <w:t>Research Policy</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32</w:t>
      </w:r>
      <w:r>
        <w:rPr>
          <w:rFonts w:ascii="Calibri" w:cs="Calibri" w:eastAsia="Calibri" w:hAnsi="Calibri"/>
          <w:sz w:val="22"/>
          <w:szCs w:val="22"/>
          <w:color w:val="auto"/>
        </w:rPr>
        <w:t>(7), 1179–1198.</w:t>
      </w:r>
    </w:p>
    <w:p>
      <w:pPr>
        <w:spacing w:after="0" w:line="328" w:lineRule="exact"/>
        <w:rPr>
          <w:sz w:val="20"/>
          <w:szCs w:val="20"/>
          <w:color w:val="auto"/>
        </w:rPr>
      </w:pPr>
    </w:p>
    <w:p>
      <w:pPr>
        <w:ind w:left="480" w:right="500" w:hanging="479"/>
        <w:spacing w:after="0" w:line="228" w:lineRule="auto"/>
        <w:rPr>
          <w:sz w:val="20"/>
          <w:szCs w:val="20"/>
          <w:color w:val="auto"/>
        </w:rPr>
      </w:pPr>
      <w:r>
        <w:rPr>
          <w:rFonts w:ascii="Calibri" w:cs="Calibri" w:eastAsia="Calibri" w:hAnsi="Calibri"/>
          <w:sz w:val="21"/>
          <w:szCs w:val="21"/>
          <w:color w:val="auto"/>
        </w:rPr>
        <w:t xml:space="preserve">Østergaard, C. R., Timmermans, B., &amp; Kristinsson, K. (2011). Does a different view create something new? The effect of employee diversity on innovation. </w:t>
      </w:r>
      <w:r>
        <w:rPr>
          <w:rFonts w:ascii="Calibri" w:cs="Calibri" w:eastAsia="Calibri" w:hAnsi="Calibri"/>
          <w:sz w:val="21"/>
          <w:szCs w:val="21"/>
          <w:i w:val="1"/>
          <w:iCs w:val="1"/>
          <w:color w:val="auto"/>
        </w:rPr>
        <w:t>Research Policy</w:t>
      </w:r>
      <w:r>
        <w:rPr>
          <w:rFonts w:ascii="Calibri" w:cs="Calibri" w:eastAsia="Calibri" w:hAnsi="Calibri"/>
          <w:sz w:val="21"/>
          <w:szCs w:val="21"/>
          <w:color w:val="auto"/>
        </w:rPr>
        <w:t xml:space="preserve">, </w:t>
      </w:r>
      <w:r>
        <w:rPr>
          <w:rFonts w:ascii="Calibri" w:cs="Calibri" w:eastAsia="Calibri" w:hAnsi="Calibri"/>
          <w:sz w:val="21"/>
          <w:szCs w:val="21"/>
          <w:i w:val="1"/>
          <w:iCs w:val="1"/>
          <w:color w:val="auto"/>
        </w:rPr>
        <w:t>40</w:t>
      </w:r>
      <w:r>
        <w:rPr>
          <w:rFonts w:ascii="Calibri" w:cs="Calibri" w:eastAsia="Calibri" w:hAnsi="Calibri"/>
          <w:sz w:val="21"/>
          <w:szCs w:val="21"/>
          <w:color w:val="auto"/>
        </w:rPr>
        <w:t>(3), 500–509.</w:t>
      </w:r>
    </w:p>
    <w:p>
      <w:pPr>
        <w:spacing w:after="0" w:line="331" w:lineRule="exact"/>
        <w:rPr>
          <w:sz w:val="20"/>
          <w:szCs w:val="20"/>
          <w:color w:val="auto"/>
        </w:rPr>
      </w:pPr>
    </w:p>
    <w:p>
      <w:pPr>
        <w:ind w:left="480" w:right="660" w:hanging="479"/>
        <w:spacing w:after="0" w:line="217" w:lineRule="auto"/>
        <w:rPr>
          <w:sz w:val="20"/>
          <w:szCs w:val="20"/>
          <w:color w:val="auto"/>
        </w:rPr>
      </w:pPr>
      <w:r>
        <w:rPr>
          <w:rFonts w:ascii="Calibri" w:cs="Calibri" w:eastAsia="Calibri" w:hAnsi="Calibri"/>
          <w:sz w:val="22"/>
          <w:szCs w:val="22"/>
          <w:color w:val="auto"/>
        </w:rPr>
        <w:t xml:space="preserve">Peterson, R. A., &amp; Kern, R. M. (1996). Changing highbrow taste: from snob to omnivore. </w:t>
      </w:r>
      <w:r>
        <w:rPr>
          <w:rFonts w:ascii="Calibri" w:cs="Calibri" w:eastAsia="Calibri" w:hAnsi="Calibri"/>
          <w:sz w:val="22"/>
          <w:szCs w:val="22"/>
          <w:i w:val="1"/>
          <w:iCs w:val="1"/>
          <w:color w:val="auto"/>
        </w:rPr>
        <w:t>American</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Sociological Review</w:t>
      </w:r>
      <w:r>
        <w:rPr>
          <w:rFonts w:ascii="Calibri" w:cs="Calibri" w:eastAsia="Calibri" w:hAnsi="Calibri"/>
          <w:sz w:val="22"/>
          <w:szCs w:val="22"/>
          <w:color w:val="auto"/>
        </w:rPr>
        <w:t>, 900–907.</w:t>
      </w:r>
    </w:p>
    <w:p>
      <w:pPr>
        <w:spacing w:after="0" w:line="331" w:lineRule="exact"/>
        <w:rPr>
          <w:sz w:val="20"/>
          <w:szCs w:val="20"/>
          <w:color w:val="auto"/>
        </w:rPr>
      </w:pPr>
    </w:p>
    <w:p>
      <w:pPr>
        <w:ind w:left="480" w:right="200" w:hanging="479"/>
        <w:spacing w:after="0" w:line="218" w:lineRule="auto"/>
        <w:rPr>
          <w:sz w:val="20"/>
          <w:szCs w:val="20"/>
          <w:color w:val="auto"/>
        </w:rPr>
      </w:pPr>
      <w:r>
        <w:rPr>
          <w:rFonts w:ascii="Calibri" w:cs="Calibri" w:eastAsia="Calibri" w:hAnsi="Calibri"/>
          <w:sz w:val="22"/>
          <w:szCs w:val="22"/>
          <w:color w:val="auto"/>
        </w:rPr>
        <w:t xml:space="preserve">Poetz, M., &amp; Schreier, M. (2012). The value of crowdsourcing: can users really compete with professionals in generating new product ideas? </w:t>
      </w:r>
      <w:r>
        <w:rPr>
          <w:rFonts w:ascii="Calibri" w:cs="Calibri" w:eastAsia="Calibri" w:hAnsi="Calibri"/>
          <w:sz w:val="22"/>
          <w:szCs w:val="22"/>
          <w:i w:val="1"/>
          <w:iCs w:val="1"/>
          <w:color w:val="auto"/>
        </w:rPr>
        <w:t>Journal of Product Innovation Managment</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29</w:t>
      </w:r>
      <w:r>
        <w:rPr>
          <w:rFonts w:ascii="Calibri" w:cs="Calibri" w:eastAsia="Calibri" w:hAnsi="Calibri"/>
          <w:sz w:val="22"/>
          <w:szCs w:val="22"/>
          <w:color w:val="auto"/>
        </w:rPr>
        <w:t>(2).</w:t>
      </w:r>
    </w:p>
    <w:p>
      <w:pPr>
        <w:spacing w:after="0" w:line="328" w:lineRule="exact"/>
        <w:rPr>
          <w:sz w:val="20"/>
          <w:szCs w:val="20"/>
          <w:color w:val="auto"/>
        </w:rPr>
      </w:pPr>
    </w:p>
    <w:p>
      <w:pPr>
        <w:ind w:left="480" w:right="440" w:hanging="479"/>
        <w:spacing w:after="0" w:line="218" w:lineRule="auto"/>
        <w:rPr>
          <w:sz w:val="20"/>
          <w:szCs w:val="20"/>
          <w:color w:val="auto"/>
        </w:rPr>
      </w:pPr>
      <w:r>
        <w:rPr>
          <w:rFonts w:ascii="Calibri" w:cs="Calibri" w:eastAsia="Calibri" w:hAnsi="Calibri"/>
          <w:sz w:val="22"/>
          <w:szCs w:val="22"/>
          <w:color w:val="auto"/>
        </w:rPr>
        <w:t xml:space="preserve">Raafat, R. M., Chater, N., &amp; Frith, C. (2009). Herding in humans. </w:t>
      </w:r>
      <w:r>
        <w:rPr>
          <w:rFonts w:ascii="Calibri" w:cs="Calibri" w:eastAsia="Calibri" w:hAnsi="Calibri"/>
          <w:sz w:val="22"/>
          <w:szCs w:val="22"/>
          <w:i w:val="1"/>
          <w:iCs w:val="1"/>
          <w:color w:val="auto"/>
        </w:rPr>
        <w:t>Trends in Cognitive Sciences</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13</w:t>
      </w:r>
      <w:r>
        <w:rPr>
          <w:rFonts w:ascii="Calibri" w:cs="Calibri" w:eastAsia="Calibri" w:hAnsi="Calibri"/>
          <w:sz w:val="22"/>
          <w:szCs w:val="22"/>
          <w:color w:val="auto"/>
        </w:rPr>
        <w:t>(10), 420–428.</w:t>
      </w:r>
    </w:p>
    <w:p>
      <w:pPr>
        <w:spacing w:after="0" w:line="330" w:lineRule="exact"/>
        <w:rPr>
          <w:sz w:val="20"/>
          <w:szCs w:val="20"/>
          <w:color w:val="auto"/>
        </w:rPr>
      </w:pPr>
    </w:p>
    <w:p>
      <w:pPr>
        <w:ind w:left="480" w:right="300" w:hanging="479"/>
        <w:spacing w:after="0" w:line="218" w:lineRule="auto"/>
        <w:rPr>
          <w:sz w:val="20"/>
          <w:szCs w:val="20"/>
          <w:color w:val="auto"/>
        </w:rPr>
      </w:pPr>
      <w:r>
        <w:rPr>
          <w:rFonts w:ascii="Calibri" w:cs="Calibri" w:eastAsia="Calibri" w:hAnsi="Calibri"/>
          <w:sz w:val="22"/>
          <w:szCs w:val="22"/>
          <w:color w:val="auto"/>
        </w:rPr>
        <w:t>Rajagopalan, M. S., Khanna, V. K., Leiter, Y., Stott, M., Showalter, T. N., Dicker, A. P., &amp; Lawrence, Y. R. (2011). Patient-oriented cancer information on the internet: a comparison of wikipedia and a</w:t>
      </w:r>
    </w:p>
    <w:p>
      <w:pPr>
        <w:spacing w:after="0" w:line="306"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33</w:t>
      </w:r>
    </w:p>
    <w:p>
      <w:pPr>
        <w:sectPr>
          <w:pgSz w:w="12240" w:h="15840" w:orient="portrait"/>
          <w:cols w:equalWidth="0" w:num="1">
            <w:col w:w="9360"/>
          </w:cols>
          <w:pgMar w:left="1440" w:top="1440" w:right="1440" w:bottom="474" w:gutter="0" w:footer="0" w:header="0"/>
        </w:sectPr>
      </w:pPr>
    </w:p>
    <w:bookmarkStart w:id="34" w:name="page35"/>
    <w:bookmarkEnd w:id="34"/>
    <w:p>
      <w:pPr>
        <w:spacing w:after="0" w:line="41" w:lineRule="exact"/>
        <w:rPr>
          <w:sz w:val="20"/>
          <w:szCs w:val="20"/>
          <w:color w:val="auto"/>
        </w:rPr>
      </w:pPr>
    </w:p>
    <w:p>
      <w:pPr>
        <w:ind w:left="480" w:right="440"/>
        <w:spacing w:after="0" w:line="218" w:lineRule="auto"/>
        <w:rPr>
          <w:sz w:val="20"/>
          <w:szCs w:val="20"/>
          <w:color w:val="auto"/>
        </w:rPr>
      </w:pPr>
      <w:r>
        <w:rPr>
          <w:rFonts w:ascii="Calibri" w:cs="Calibri" w:eastAsia="Calibri" w:hAnsi="Calibri"/>
          <w:sz w:val="22"/>
          <w:szCs w:val="22"/>
          <w:color w:val="auto"/>
        </w:rPr>
        <w:t xml:space="preserve">professionally maintained database. </w:t>
      </w:r>
      <w:r>
        <w:rPr>
          <w:rFonts w:ascii="Calibri" w:cs="Calibri" w:eastAsia="Calibri" w:hAnsi="Calibri"/>
          <w:sz w:val="22"/>
          <w:szCs w:val="22"/>
          <w:i w:val="1"/>
          <w:iCs w:val="1"/>
          <w:color w:val="auto"/>
        </w:rPr>
        <w:t>Journal of Oncology Practice / American Society of Clinical</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Oncology</w:t>
      </w:r>
      <w:r>
        <w:rPr>
          <w:rFonts w:ascii="Calibri" w:cs="Calibri" w:eastAsia="Calibri" w:hAnsi="Calibri"/>
          <w:sz w:val="22"/>
          <w:szCs w:val="22"/>
          <w:color w:val="auto"/>
        </w:rPr>
        <w:t>,</w:t>
      </w:r>
      <w:r>
        <w:rPr>
          <w:rFonts w:ascii="Calibri" w:cs="Calibri" w:eastAsia="Calibri" w:hAnsi="Calibri"/>
          <w:sz w:val="22"/>
          <w:szCs w:val="22"/>
          <w:i w:val="1"/>
          <w:iCs w:val="1"/>
          <w:color w:val="auto"/>
        </w:rPr>
        <w:t xml:space="preserve"> 7</w:t>
      </w:r>
      <w:r>
        <w:rPr>
          <w:rFonts w:ascii="Calibri" w:cs="Calibri" w:eastAsia="Calibri" w:hAnsi="Calibri"/>
          <w:sz w:val="22"/>
          <w:szCs w:val="22"/>
          <w:color w:val="auto"/>
        </w:rPr>
        <w:t>(5), 319–23.</w:t>
      </w:r>
    </w:p>
    <w:p>
      <w:pPr>
        <w:spacing w:after="0" w:line="329" w:lineRule="exact"/>
        <w:rPr>
          <w:sz w:val="20"/>
          <w:szCs w:val="20"/>
          <w:color w:val="auto"/>
        </w:rPr>
      </w:pPr>
    </w:p>
    <w:p>
      <w:pPr>
        <w:ind w:left="480" w:right="460" w:hanging="479"/>
        <w:spacing w:after="0" w:line="218" w:lineRule="auto"/>
        <w:rPr>
          <w:sz w:val="20"/>
          <w:szCs w:val="20"/>
          <w:color w:val="auto"/>
        </w:rPr>
      </w:pPr>
      <w:r>
        <w:rPr>
          <w:rFonts w:ascii="Calibri" w:cs="Calibri" w:eastAsia="Calibri" w:hAnsi="Calibri"/>
          <w:sz w:val="22"/>
          <w:szCs w:val="22"/>
          <w:color w:val="auto"/>
        </w:rPr>
        <w:t xml:space="preserve">Ray, R. (2006). Prediction Markets and the Financial“ Wisdom of Crowds.” </w:t>
      </w:r>
      <w:r>
        <w:rPr>
          <w:rFonts w:ascii="Calibri" w:cs="Calibri" w:eastAsia="Calibri" w:hAnsi="Calibri"/>
          <w:sz w:val="22"/>
          <w:szCs w:val="22"/>
          <w:i w:val="1"/>
          <w:iCs w:val="1"/>
          <w:color w:val="auto"/>
        </w:rPr>
        <w:t>The Journal of Behavioral</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Finance</w:t>
      </w:r>
      <w:r>
        <w:rPr>
          <w:rFonts w:ascii="Calibri" w:cs="Calibri" w:eastAsia="Calibri" w:hAnsi="Calibri"/>
          <w:sz w:val="22"/>
          <w:szCs w:val="22"/>
          <w:color w:val="auto"/>
        </w:rPr>
        <w:t>,</w:t>
      </w:r>
      <w:r>
        <w:rPr>
          <w:rFonts w:ascii="Calibri" w:cs="Calibri" w:eastAsia="Calibri" w:hAnsi="Calibri"/>
          <w:sz w:val="22"/>
          <w:szCs w:val="22"/>
          <w:i w:val="1"/>
          <w:iCs w:val="1"/>
          <w:color w:val="auto"/>
        </w:rPr>
        <w:t xml:space="preserve"> 7</w:t>
      </w:r>
      <w:r>
        <w:rPr>
          <w:rFonts w:ascii="Calibri" w:cs="Calibri" w:eastAsia="Calibri" w:hAnsi="Calibri"/>
          <w:sz w:val="22"/>
          <w:szCs w:val="22"/>
          <w:color w:val="auto"/>
        </w:rPr>
        <w:t>(1), 2–4.</w:t>
      </w:r>
    </w:p>
    <w:p>
      <w:pPr>
        <w:spacing w:after="0" w:line="331" w:lineRule="exact"/>
        <w:rPr>
          <w:sz w:val="20"/>
          <w:szCs w:val="20"/>
          <w:color w:val="auto"/>
        </w:rPr>
      </w:pPr>
    </w:p>
    <w:p>
      <w:pPr>
        <w:jc w:val="right"/>
        <w:ind w:right="520"/>
        <w:spacing w:after="0" w:line="218" w:lineRule="auto"/>
        <w:rPr>
          <w:sz w:val="20"/>
          <w:szCs w:val="20"/>
          <w:color w:val="auto"/>
        </w:rPr>
      </w:pPr>
      <w:r>
        <w:rPr>
          <w:rFonts w:ascii="Calibri" w:cs="Calibri" w:eastAsia="Calibri" w:hAnsi="Calibri"/>
          <w:sz w:val="22"/>
          <w:szCs w:val="22"/>
          <w:color w:val="auto"/>
        </w:rPr>
        <w:t xml:space="preserve">Reinstein, D. A., &amp; Snyder, C. M. (2005a). The influence of expert reviews on consumer demand for experience goods: A case study of movie critics. </w:t>
      </w:r>
      <w:r>
        <w:rPr>
          <w:rFonts w:ascii="Calibri" w:cs="Calibri" w:eastAsia="Calibri" w:hAnsi="Calibri"/>
          <w:sz w:val="22"/>
          <w:szCs w:val="22"/>
          <w:i w:val="1"/>
          <w:iCs w:val="1"/>
          <w:color w:val="auto"/>
        </w:rPr>
        <w:t>Journal of Industrial Economics</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53</w:t>
      </w:r>
      <w:r>
        <w:rPr>
          <w:rFonts w:ascii="Calibri" w:cs="Calibri" w:eastAsia="Calibri" w:hAnsi="Calibri"/>
          <w:sz w:val="22"/>
          <w:szCs w:val="22"/>
          <w:color w:val="auto"/>
        </w:rPr>
        <w:t>(1), 27–51.</w:t>
      </w:r>
    </w:p>
    <w:p>
      <w:pPr>
        <w:spacing w:after="0" w:line="328" w:lineRule="exact"/>
        <w:rPr>
          <w:sz w:val="20"/>
          <w:szCs w:val="20"/>
          <w:color w:val="auto"/>
        </w:rPr>
      </w:pPr>
    </w:p>
    <w:p>
      <w:pPr>
        <w:ind w:left="480" w:right="140" w:hanging="479"/>
        <w:spacing w:after="0" w:line="218" w:lineRule="auto"/>
        <w:rPr>
          <w:sz w:val="20"/>
          <w:szCs w:val="20"/>
          <w:color w:val="auto"/>
        </w:rPr>
      </w:pPr>
      <w:r>
        <w:rPr>
          <w:rFonts w:ascii="Calibri" w:cs="Calibri" w:eastAsia="Calibri" w:hAnsi="Calibri"/>
          <w:sz w:val="22"/>
          <w:szCs w:val="22"/>
          <w:color w:val="auto"/>
        </w:rPr>
        <w:t xml:space="preserve">Reinstein, D. A., &amp; Snyder, C. M. (2005b). The influence of expert reviews on consumer demand for experience goods: A case study of movie critics. </w:t>
      </w:r>
      <w:r>
        <w:rPr>
          <w:rFonts w:ascii="Calibri" w:cs="Calibri" w:eastAsia="Calibri" w:hAnsi="Calibri"/>
          <w:sz w:val="22"/>
          <w:szCs w:val="22"/>
          <w:i w:val="1"/>
          <w:iCs w:val="1"/>
          <w:color w:val="auto"/>
        </w:rPr>
        <w:t>The Journal of Industrial Economics</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53</w:t>
      </w:r>
      <w:r>
        <w:rPr>
          <w:rFonts w:ascii="Calibri" w:cs="Calibri" w:eastAsia="Calibri" w:hAnsi="Calibri"/>
          <w:sz w:val="22"/>
          <w:szCs w:val="22"/>
          <w:color w:val="auto"/>
        </w:rPr>
        <w:t>(1), 27–51.</w:t>
      </w:r>
    </w:p>
    <w:p>
      <w:pPr>
        <w:spacing w:after="0" w:line="331" w:lineRule="exact"/>
        <w:rPr>
          <w:sz w:val="20"/>
          <w:szCs w:val="20"/>
          <w:color w:val="auto"/>
        </w:rPr>
      </w:pPr>
    </w:p>
    <w:p>
      <w:pPr>
        <w:ind w:left="480" w:right="40" w:hanging="479"/>
        <w:spacing w:after="0" w:line="218" w:lineRule="auto"/>
        <w:rPr>
          <w:sz w:val="20"/>
          <w:szCs w:val="20"/>
          <w:color w:val="auto"/>
        </w:rPr>
      </w:pPr>
      <w:r>
        <w:rPr>
          <w:rFonts w:ascii="Calibri" w:cs="Calibri" w:eastAsia="Calibri" w:hAnsi="Calibri"/>
          <w:sz w:val="22"/>
          <w:szCs w:val="22"/>
          <w:color w:val="auto"/>
        </w:rPr>
        <w:t xml:space="preserve">Sah, R. K., &amp; Stiglitz, J. E. (1986). The Architecture of Economic Systems: Hierarchies and Polyarchies. </w:t>
      </w:r>
      <w:r>
        <w:rPr>
          <w:rFonts w:ascii="Calibri" w:cs="Calibri" w:eastAsia="Calibri" w:hAnsi="Calibri"/>
          <w:sz w:val="22"/>
          <w:szCs w:val="22"/>
          <w:i w:val="1"/>
          <w:iCs w:val="1"/>
          <w:color w:val="auto"/>
        </w:rPr>
        <w:t>The</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American Economic Review</w:t>
      </w:r>
      <w:r>
        <w:rPr>
          <w:rFonts w:ascii="Calibri" w:cs="Calibri" w:eastAsia="Calibri" w:hAnsi="Calibri"/>
          <w:sz w:val="22"/>
          <w:szCs w:val="22"/>
          <w:color w:val="auto"/>
        </w:rPr>
        <w:t>,</w:t>
      </w:r>
      <w:r>
        <w:rPr>
          <w:rFonts w:ascii="Calibri" w:cs="Calibri" w:eastAsia="Calibri" w:hAnsi="Calibri"/>
          <w:sz w:val="22"/>
          <w:szCs w:val="22"/>
          <w:i w:val="1"/>
          <w:iCs w:val="1"/>
          <w:color w:val="auto"/>
        </w:rPr>
        <w:t xml:space="preserve"> 76</w:t>
      </w:r>
      <w:r>
        <w:rPr>
          <w:rFonts w:ascii="Calibri" w:cs="Calibri" w:eastAsia="Calibri" w:hAnsi="Calibri"/>
          <w:sz w:val="22"/>
          <w:szCs w:val="22"/>
          <w:color w:val="auto"/>
        </w:rPr>
        <w:t>(4), 716–727.</w:t>
      </w:r>
    </w:p>
    <w:p>
      <w:pPr>
        <w:spacing w:after="0" w:line="329" w:lineRule="exact"/>
        <w:rPr>
          <w:sz w:val="20"/>
          <w:szCs w:val="20"/>
          <w:color w:val="auto"/>
        </w:rPr>
      </w:pPr>
    </w:p>
    <w:p>
      <w:pPr>
        <w:ind w:left="480" w:right="220" w:hanging="479"/>
        <w:spacing w:after="0" w:line="218" w:lineRule="auto"/>
        <w:rPr>
          <w:sz w:val="20"/>
          <w:szCs w:val="20"/>
          <w:color w:val="auto"/>
        </w:rPr>
      </w:pPr>
      <w:r>
        <w:rPr>
          <w:rFonts w:ascii="Calibri" w:cs="Calibri" w:eastAsia="Calibri" w:hAnsi="Calibri"/>
          <w:sz w:val="22"/>
          <w:szCs w:val="22"/>
          <w:color w:val="auto"/>
        </w:rPr>
        <w:t xml:space="preserve">Scharfstein, D. S., &amp; Stein, J. C. (1990). Herd behavior and investment. </w:t>
      </w:r>
      <w:r>
        <w:rPr>
          <w:rFonts w:ascii="Calibri" w:cs="Calibri" w:eastAsia="Calibri" w:hAnsi="Calibri"/>
          <w:sz w:val="22"/>
          <w:szCs w:val="22"/>
          <w:i w:val="1"/>
          <w:iCs w:val="1"/>
          <w:color w:val="auto"/>
        </w:rPr>
        <w:t>The American Economic Review</w:t>
      </w:r>
      <w:r>
        <w:rPr>
          <w:rFonts w:ascii="Calibri" w:cs="Calibri" w:eastAsia="Calibri" w:hAnsi="Calibri"/>
          <w:sz w:val="22"/>
          <w:szCs w:val="22"/>
          <w:color w:val="auto"/>
        </w:rPr>
        <w:t>, 465–479.</w:t>
      </w:r>
    </w:p>
    <w:p>
      <w:pPr>
        <w:spacing w:after="0" w:line="331" w:lineRule="exact"/>
        <w:rPr>
          <w:sz w:val="20"/>
          <w:szCs w:val="20"/>
          <w:color w:val="auto"/>
        </w:rPr>
      </w:pPr>
    </w:p>
    <w:p>
      <w:pPr>
        <w:ind w:left="480" w:right="100" w:hanging="479"/>
        <w:spacing w:after="0" w:line="225" w:lineRule="auto"/>
        <w:rPr>
          <w:sz w:val="20"/>
          <w:szCs w:val="20"/>
          <w:color w:val="auto"/>
        </w:rPr>
      </w:pPr>
      <w:r>
        <w:rPr>
          <w:rFonts w:ascii="Calibri" w:cs="Calibri" w:eastAsia="Calibri" w:hAnsi="Calibri"/>
          <w:sz w:val="22"/>
          <w:szCs w:val="22"/>
          <w:color w:val="auto"/>
        </w:rPr>
        <w:t xml:space="preserve">Schulz-Hardt, S., Brodbeck, F. C., Mojzisch, A., Kerschreiter, R., &amp; Frey, D. (2006). Group decision making in hidden profile situations: dissent as a facilitator for decision quality. </w:t>
      </w:r>
      <w:r>
        <w:rPr>
          <w:rFonts w:ascii="Calibri" w:cs="Calibri" w:eastAsia="Calibri" w:hAnsi="Calibri"/>
          <w:sz w:val="22"/>
          <w:szCs w:val="22"/>
          <w:i w:val="1"/>
          <w:iCs w:val="1"/>
          <w:color w:val="auto"/>
        </w:rPr>
        <w:t>Journal of Personality and</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Social Psychology</w:t>
      </w:r>
      <w:r>
        <w:rPr>
          <w:rFonts w:ascii="Calibri" w:cs="Calibri" w:eastAsia="Calibri" w:hAnsi="Calibri"/>
          <w:sz w:val="22"/>
          <w:szCs w:val="22"/>
          <w:color w:val="auto"/>
        </w:rPr>
        <w:t>,</w:t>
      </w:r>
      <w:r>
        <w:rPr>
          <w:rFonts w:ascii="Calibri" w:cs="Calibri" w:eastAsia="Calibri" w:hAnsi="Calibri"/>
          <w:sz w:val="22"/>
          <w:szCs w:val="22"/>
          <w:i w:val="1"/>
          <w:iCs w:val="1"/>
          <w:color w:val="auto"/>
        </w:rPr>
        <w:t xml:space="preserve"> 91</w:t>
      </w:r>
      <w:r>
        <w:rPr>
          <w:rFonts w:ascii="Calibri" w:cs="Calibri" w:eastAsia="Calibri" w:hAnsi="Calibri"/>
          <w:sz w:val="22"/>
          <w:szCs w:val="22"/>
          <w:color w:val="auto"/>
        </w:rPr>
        <w:t>(6), 1080.</w:t>
      </w:r>
    </w:p>
    <w:p>
      <w:pPr>
        <w:spacing w:after="0" w:line="281" w:lineRule="exact"/>
        <w:rPr>
          <w:sz w:val="20"/>
          <w:szCs w:val="20"/>
          <w:color w:val="auto"/>
        </w:rPr>
      </w:pPr>
    </w:p>
    <w:p>
      <w:pPr>
        <w:spacing w:after="0"/>
        <w:rPr>
          <w:sz w:val="20"/>
          <w:szCs w:val="20"/>
          <w:color w:val="auto"/>
        </w:rPr>
      </w:pPr>
      <w:r>
        <w:rPr>
          <w:rFonts w:ascii="Calibri" w:cs="Calibri" w:eastAsia="Calibri" w:hAnsi="Calibri"/>
          <w:sz w:val="22"/>
          <w:szCs w:val="22"/>
          <w:color w:val="auto"/>
        </w:rPr>
        <w:t xml:space="preserve">Schumpeter, J. (1942). </w:t>
      </w:r>
      <w:r>
        <w:rPr>
          <w:rFonts w:ascii="Calibri" w:cs="Calibri" w:eastAsia="Calibri" w:hAnsi="Calibri"/>
          <w:sz w:val="22"/>
          <w:szCs w:val="22"/>
          <w:i w:val="1"/>
          <w:iCs w:val="1"/>
          <w:color w:val="auto"/>
        </w:rPr>
        <w:t>Capitalism, Socialism and Democracy</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Economica</w:t>
      </w:r>
      <w:r>
        <w:rPr>
          <w:rFonts w:ascii="Calibri" w:cs="Calibri" w:eastAsia="Calibri" w:hAnsi="Calibri"/>
          <w:sz w:val="22"/>
          <w:szCs w:val="22"/>
          <w:color w:val="auto"/>
        </w:rPr>
        <w:t xml:space="preserve"> (Vol. 11, p. 40). Harper.</w:t>
      </w:r>
    </w:p>
    <w:p>
      <w:pPr>
        <w:spacing w:after="0" w:line="330" w:lineRule="exact"/>
        <w:rPr>
          <w:sz w:val="20"/>
          <w:szCs w:val="20"/>
          <w:color w:val="auto"/>
        </w:rPr>
      </w:pPr>
    </w:p>
    <w:p>
      <w:pPr>
        <w:ind w:left="480" w:right="460" w:hanging="479"/>
        <w:spacing w:after="0" w:line="218" w:lineRule="auto"/>
        <w:rPr>
          <w:sz w:val="20"/>
          <w:szCs w:val="20"/>
          <w:color w:val="auto"/>
        </w:rPr>
      </w:pPr>
      <w:r>
        <w:rPr>
          <w:rFonts w:ascii="Calibri" w:cs="Calibri" w:eastAsia="Calibri" w:hAnsi="Calibri"/>
          <w:sz w:val="22"/>
          <w:szCs w:val="22"/>
          <w:color w:val="auto"/>
        </w:rPr>
        <w:t xml:space="preserve">Shane, S., &amp; Venkataraman, S. (2003). Guest editors’ introduction to the special issue on technology entrepreneurship. </w:t>
      </w:r>
      <w:r>
        <w:rPr>
          <w:rFonts w:ascii="Calibri" w:cs="Calibri" w:eastAsia="Calibri" w:hAnsi="Calibri"/>
          <w:sz w:val="22"/>
          <w:szCs w:val="22"/>
          <w:i w:val="1"/>
          <w:iCs w:val="1"/>
          <w:color w:val="auto"/>
        </w:rPr>
        <w:t>Research Policy</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32</w:t>
      </w:r>
      <w:r>
        <w:rPr>
          <w:rFonts w:ascii="Calibri" w:cs="Calibri" w:eastAsia="Calibri" w:hAnsi="Calibri"/>
          <w:sz w:val="22"/>
          <w:szCs w:val="22"/>
          <w:color w:val="auto"/>
        </w:rPr>
        <w:t>(2), 181–184.</w:t>
      </w:r>
    </w:p>
    <w:p>
      <w:pPr>
        <w:spacing w:after="0" w:line="280" w:lineRule="exact"/>
        <w:rPr>
          <w:sz w:val="20"/>
          <w:szCs w:val="20"/>
          <w:color w:val="auto"/>
        </w:rPr>
      </w:pPr>
    </w:p>
    <w:p>
      <w:pPr>
        <w:spacing w:after="0"/>
        <w:rPr>
          <w:sz w:val="20"/>
          <w:szCs w:val="20"/>
          <w:color w:val="auto"/>
        </w:rPr>
      </w:pPr>
      <w:r>
        <w:rPr>
          <w:rFonts w:ascii="Calibri" w:cs="Calibri" w:eastAsia="Calibri" w:hAnsi="Calibri"/>
          <w:sz w:val="22"/>
          <w:szCs w:val="22"/>
          <w:color w:val="auto"/>
        </w:rPr>
        <w:t>Shrum, W. (1991). Critics and publics: Cultural mediation in highbrow and popular performing arts.</w:t>
      </w:r>
    </w:p>
    <w:p>
      <w:pPr>
        <w:ind w:left="480"/>
        <w:spacing w:after="0"/>
        <w:rPr>
          <w:sz w:val="20"/>
          <w:szCs w:val="20"/>
          <w:color w:val="auto"/>
        </w:rPr>
      </w:pPr>
      <w:r>
        <w:rPr>
          <w:rFonts w:ascii="Calibri" w:cs="Calibri" w:eastAsia="Calibri" w:hAnsi="Calibri"/>
          <w:sz w:val="22"/>
          <w:szCs w:val="22"/>
          <w:i w:val="1"/>
          <w:iCs w:val="1"/>
          <w:color w:val="auto"/>
        </w:rPr>
        <w:t>American Journal of Sociology</w:t>
      </w:r>
      <w:r>
        <w:rPr>
          <w:rFonts w:ascii="Calibri" w:cs="Calibri" w:eastAsia="Calibri" w:hAnsi="Calibri"/>
          <w:sz w:val="22"/>
          <w:szCs w:val="22"/>
          <w:color w:val="auto"/>
        </w:rPr>
        <w:t>,</w:t>
      </w:r>
      <w:r>
        <w:rPr>
          <w:rFonts w:ascii="Calibri" w:cs="Calibri" w:eastAsia="Calibri" w:hAnsi="Calibri"/>
          <w:sz w:val="22"/>
          <w:szCs w:val="22"/>
          <w:i w:val="1"/>
          <w:iCs w:val="1"/>
          <w:color w:val="auto"/>
        </w:rPr>
        <w:t xml:space="preserve"> 97</w:t>
      </w:r>
      <w:r>
        <w:rPr>
          <w:rFonts w:ascii="Calibri" w:cs="Calibri" w:eastAsia="Calibri" w:hAnsi="Calibri"/>
          <w:sz w:val="22"/>
          <w:szCs w:val="22"/>
          <w:color w:val="auto"/>
        </w:rPr>
        <w:t>(2), 347–375.</w:t>
      </w:r>
    </w:p>
    <w:p>
      <w:pPr>
        <w:spacing w:after="0" w:line="281" w:lineRule="exact"/>
        <w:rPr>
          <w:sz w:val="20"/>
          <w:szCs w:val="20"/>
          <w:color w:val="auto"/>
        </w:rPr>
      </w:pPr>
    </w:p>
    <w:p>
      <w:pPr>
        <w:spacing w:after="0"/>
        <w:rPr>
          <w:sz w:val="20"/>
          <w:szCs w:val="20"/>
          <w:color w:val="auto"/>
        </w:rPr>
      </w:pPr>
      <w:r>
        <w:rPr>
          <w:rFonts w:ascii="Calibri" w:cs="Calibri" w:eastAsia="Calibri" w:hAnsi="Calibri"/>
          <w:sz w:val="22"/>
          <w:szCs w:val="22"/>
          <w:color w:val="auto"/>
        </w:rPr>
        <w:t>Simmons, J. P., Nelson, L. D., Galak, J., &amp; Frederick, S. (2011). Intuitive biases in choice versus estimation:</w:t>
      </w:r>
    </w:p>
    <w:p>
      <w:pPr>
        <w:ind w:left="480"/>
        <w:spacing w:after="0"/>
        <w:rPr>
          <w:sz w:val="20"/>
          <w:szCs w:val="20"/>
          <w:color w:val="auto"/>
        </w:rPr>
      </w:pPr>
      <w:r>
        <w:rPr>
          <w:rFonts w:ascii="Calibri" w:cs="Calibri" w:eastAsia="Calibri" w:hAnsi="Calibri"/>
          <w:sz w:val="22"/>
          <w:szCs w:val="22"/>
          <w:color w:val="auto"/>
        </w:rPr>
        <w:t xml:space="preserve">Implications for the wisdom of crowds. </w:t>
      </w:r>
      <w:r>
        <w:rPr>
          <w:rFonts w:ascii="Calibri" w:cs="Calibri" w:eastAsia="Calibri" w:hAnsi="Calibri"/>
          <w:sz w:val="22"/>
          <w:szCs w:val="22"/>
          <w:i w:val="1"/>
          <w:iCs w:val="1"/>
          <w:color w:val="auto"/>
        </w:rPr>
        <w:t>Journal of Consumer Research</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38</w:t>
      </w:r>
      <w:r>
        <w:rPr>
          <w:rFonts w:ascii="Calibri" w:cs="Calibri" w:eastAsia="Calibri" w:hAnsi="Calibri"/>
          <w:sz w:val="22"/>
          <w:szCs w:val="22"/>
          <w:color w:val="auto"/>
        </w:rPr>
        <w:t>(1), 1–15.</w:t>
      </w:r>
    </w:p>
    <w:p>
      <w:pPr>
        <w:spacing w:after="0" w:line="279" w:lineRule="exact"/>
        <w:rPr>
          <w:sz w:val="20"/>
          <w:szCs w:val="20"/>
          <w:color w:val="auto"/>
        </w:rPr>
      </w:pPr>
    </w:p>
    <w:p>
      <w:pPr>
        <w:spacing w:after="0"/>
        <w:rPr>
          <w:sz w:val="20"/>
          <w:szCs w:val="20"/>
          <w:color w:val="auto"/>
        </w:rPr>
      </w:pPr>
      <w:r>
        <w:rPr>
          <w:rFonts w:ascii="Calibri" w:cs="Calibri" w:eastAsia="Calibri" w:hAnsi="Calibri"/>
          <w:sz w:val="22"/>
          <w:szCs w:val="22"/>
          <w:color w:val="auto"/>
        </w:rPr>
        <w:t xml:space="preserve">Surowiecki, J. (2004). </w:t>
      </w:r>
      <w:r>
        <w:rPr>
          <w:rFonts w:ascii="Calibri" w:cs="Calibri" w:eastAsia="Calibri" w:hAnsi="Calibri"/>
          <w:sz w:val="22"/>
          <w:szCs w:val="22"/>
          <w:i w:val="1"/>
          <w:iCs w:val="1"/>
          <w:color w:val="auto"/>
        </w:rPr>
        <w:t>The wisdom of crowds: Why the many are smarter and how collective wisdom</w:t>
      </w:r>
    </w:p>
    <w:p>
      <w:pPr>
        <w:ind w:left="480"/>
        <w:spacing w:after="0"/>
        <w:rPr>
          <w:sz w:val="20"/>
          <w:szCs w:val="20"/>
          <w:color w:val="auto"/>
        </w:rPr>
      </w:pPr>
      <w:r>
        <w:rPr>
          <w:rFonts w:ascii="Calibri" w:cs="Calibri" w:eastAsia="Calibri" w:hAnsi="Calibri"/>
          <w:sz w:val="22"/>
          <w:szCs w:val="22"/>
          <w:i w:val="1"/>
          <w:iCs w:val="1"/>
          <w:color w:val="auto"/>
        </w:rPr>
        <w:t xml:space="preserve">shapes business, economies, societies, and nations </w:t>
      </w:r>
      <w:r>
        <w:rPr>
          <w:rFonts w:ascii="Calibri" w:cs="Calibri" w:eastAsia="Calibri" w:hAnsi="Calibri"/>
          <w:sz w:val="22"/>
          <w:szCs w:val="22"/>
          <w:color w:val="auto"/>
        </w:rPr>
        <w:t>(p. 336). New York: Random House.</w:t>
      </w:r>
    </w:p>
    <w:p>
      <w:pPr>
        <w:spacing w:after="0" w:line="330" w:lineRule="exact"/>
        <w:rPr>
          <w:sz w:val="20"/>
          <w:szCs w:val="20"/>
          <w:color w:val="auto"/>
        </w:rPr>
      </w:pPr>
    </w:p>
    <w:p>
      <w:pPr>
        <w:ind w:left="480" w:right="1000" w:hanging="479"/>
        <w:spacing w:after="0" w:line="217" w:lineRule="auto"/>
        <w:rPr>
          <w:sz w:val="20"/>
          <w:szCs w:val="20"/>
          <w:color w:val="auto"/>
        </w:rPr>
      </w:pPr>
      <w:r>
        <w:rPr>
          <w:rFonts w:ascii="Calibri" w:cs="Calibri" w:eastAsia="Calibri" w:hAnsi="Calibri"/>
          <w:sz w:val="22"/>
          <w:szCs w:val="22"/>
          <w:color w:val="auto"/>
        </w:rPr>
        <w:t xml:space="preserve">Terwiesch, C., &amp; Ulrich, K. (2009). </w:t>
      </w:r>
      <w:r>
        <w:rPr>
          <w:rFonts w:ascii="Calibri" w:cs="Calibri" w:eastAsia="Calibri" w:hAnsi="Calibri"/>
          <w:sz w:val="22"/>
          <w:szCs w:val="22"/>
          <w:i w:val="1"/>
          <w:iCs w:val="1"/>
          <w:color w:val="auto"/>
        </w:rPr>
        <w:t>Innovation tournaments: Creating and selecting exceptional</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 xml:space="preserve">opportunities </w:t>
      </w:r>
      <w:r>
        <w:rPr>
          <w:rFonts w:ascii="Calibri" w:cs="Calibri" w:eastAsia="Calibri" w:hAnsi="Calibri"/>
          <w:sz w:val="22"/>
          <w:szCs w:val="22"/>
          <w:color w:val="auto"/>
        </w:rPr>
        <w:t>(p. 256). Harvard Univ Pr.</w:t>
      </w:r>
    </w:p>
    <w:p>
      <w:pPr>
        <w:spacing w:after="0" w:line="282" w:lineRule="exact"/>
        <w:rPr>
          <w:sz w:val="20"/>
          <w:szCs w:val="20"/>
          <w:color w:val="auto"/>
        </w:rPr>
      </w:pPr>
    </w:p>
    <w:p>
      <w:pPr>
        <w:spacing w:after="0"/>
        <w:rPr>
          <w:sz w:val="20"/>
          <w:szCs w:val="20"/>
          <w:color w:val="auto"/>
        </w:rPr>
      </w:pPr>
      <w:r>
        <w:rPr>
          <w:rFonts w:ascii="Calibri" w:cs="Calibri" w:eastAsia="Calibri" w:hAnsi="Calibri"/>
          <w:sz w:val="22"/>
          <w:szCs w:val="22"/>
          <w:color w:val="auto"/>
        </w:rPr>
        <w:t>Terwiesch, C., &amp; Xu, Y. (2008). Innovation contests, open innovation, and multiagent problem solving.</w:t>
      </w:r>
    </w:p>
    <w:p>
      <w:pPr>
        <w:ind w:left="480"/>
        <w:spacing w:after="0"/>
        <w:rPr>
          <w:sz w:val="20"/>
          <w:szCs w:val="20"/>
          <w:color w:val="auto"/>
        </w:rPr>
      </w:pPr>
      <w:r>
        <w:rPr>
          <w:rFonts w:ascii="Calibri" w:cs="Calibri" w:eastAsia="Calibri" w:hAnsi="Calibri"/>
          <w:sz w:val="22"/>
          <w:szCs w:val="22"/>
          <w:i w:val="1"/>
          <w:iCs w:val="1"/>
          <w:color w:val="auto"/>
        </w:rPr>
        <w:t>Management Science</w:t>
      </w:r>
      <w:r>
        <w:rPr>
          <w:rFonts w:ascii="Calibri" w:cs="Calibri" w:eastAsia="Calibri" w:hAnsi="Calibri"/>
          <w:sz w:val="22"/>
          <w:szCs w:val="22"/>
          <w:color w:val="auto"/>
        </w:rPr>
        <w:t>,</w:t>
      </w:r>
      <w:r>
        <w:rPr>
          <w:rFonts w:ascii="Calibri" w:cs="Calibri" w:eastAsia="Calibri" w:hAnsi="Calibri"/>
          <w:sz w:val="22"/>
          <w:szCs w:val="22"/>
          <w:i w:val="1"/>
          <w:iCs w:val="1"/>
          <w:color w:val="auto"/>
        </w:rPr>
        <w:t xml:space="preserve"> 54</w:t>
      </w:r>
      <w:r>
        <w:rPr>
          <w:rFonts w:ascii="Calibri" w:cs="Calibri" w:eastAsia="Calibri" w:hAnsi="Calibri"/>
          <w:sz w:val="22"/>
          <w:szCs w:val="22"/>
          <w:color w:val="auto"/>
        </w:rPr>
        <w:t>(9), 1529–1543.</w:t>
      </w:r>
    </w:p>
    <w:p>
      <w:pPr>
        <w:spacing w:after="0" w:line="328" w:lineRule="exact"/>
        <w:rPr>
          <w:sz w:val="20"/>
          <w:szCs w:val="20"/>
          <w:color w:val="auto"/>
        </w:rPr>
      </w:pPr>
    </w:p>
    <w:p>
      <w:pPr>
        <w:ind w:left="480" w:right="300" w:hanging="479"/>
        <w:spacing w:after="0" w:line="218" w:lineRule="auto"/>
        <w:rPr>
          <w:sz w:val="20"/>
          <w:szCs w:val="20"/>
          <w:color w:val="auto"/>
        </w:rPr>
      </w:pPr>
      <w:r>
        <w:rPr>
          <w:rFonts w:ascii="Calibri" w:cs="Calibri" w:eastAsia="Calibri" w:hAnsi="Calibri"/>
          <w:sz w:val="22"/>
          <w:szCs w:val="22"/>
          <w:color w:val="auto"/>
        </w:rPr>
        <w:t xml:space="preserve">Tetlock, P. (2005). </w:t>
      </w:r>
      <w:r>
        <w:rPr>
          <w:rFonts w:ascii="Calibri" w:cs="Calibri" w:eastAsia="Calibri" w:hAnsi="Calibri"/>
          <w:sz w:val="22"/>
          <w:szCs w:val="22"/>
          <w:i w:val="1"/>
          <w:iCs w:val="1"/>
          <w:color w:val="auto"/>
        </w:rPr>
        <w:t>Expert political judgment: How good is it? How can we know?</w:t>
      </w:r>
      <w:r>
        <w:rPr>
          <w:rFonts w:ascii="Calibri" w:cs="Calibri" w:eastAsia="Calibri" w:hAnsi="Calibri"/>
          <w:sz w:val="22"/>
          <w:szCs w:val="22"/>
          <w:color w:val="auto"/>
        </w:rPr>
        <w:t>. Princeton University Press.</w:t>
      </w:r>
    </w:p>
    <w:p>
      <w:pPr>
        <w:spacing w:after="0" w:line="330" w:lineRule="exact"/>
        <w:rPr>
          <w:sz w:val="20"/>
          <w:szCs w:val="20"/>
          <w:color w:val="auto"/>
        </w:rPr>
      </w:pPr>
    </w:p>
    <w:p>
      <w:pPr>
        <w:ind w:left="480" w:right="20" w:hanging="479"/>
        <w:spacing w:after="0" w:line="218" w:lineRule="auto"/>
        <w:rPr>
          <w:sz w:val="20"/>
          <w:szCs w:val="20"/>
          <w:color w:val="auto"/>
        </w:rPr>
      </w:pPr>
      <w:r>
        <w:rPr>
          <w:rFonts w:ascii="Calibri" w:cs="Calibri" w:eastAsia="Calibri" w:hAnsi="Calibri"/>
          <w:sz w:val="22"/>
          <w:szCs w:val="22"/>
          <w:color w:val="auto"/>
        </w:rPr>
        <w:t xml:space="preserve">Von Hippel, E. (1986). Lead users: A source of novel product concepts. </w:t>
      </w:r>
      <w:r>
        <w:rPr>
          <w:rFonts w:ascii="Calibri" w:cs="Calibri" w:eastAsia="Calibri" w:hAnsi="Calibri"/>
          <w:sz w:val="22"/>
          <w:szCs w:val="22"/>
          <w:i w:val="1"/>
          <w:iCs w:val="1"/>
          <w:color w:val="auto"/>
        </w:rPr>
        <w:t>Management Science</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32</w:t>
      </w:r>
      <w:r>
        <w:rPr>
          <w:rFonts w:ascii="Calibri" w:cs="Calibri" w:eastAsia="Calibri" w:hAnsi="Calibri"/>
          <w:sz w:val="22"/>
          <w:szCs w:val="22"/>
          <w:color w:val="auto"/>
        </w:rPr>
        <w:t>(7), 791– 805.</w:t>
      </w:r>
    </w:p>
    <w:p>
      <w:pPr>
        <w:spacing w:after="0" w:line="306"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34</w:t>
      </w:r>
    </w:p>
    <w:p>
      <w:pPr>
        <w:sectPr>
          <w:pgSz w:w="12240" w:h="15840" w:orient="portrait"/>
          <w:cols w:equalWidth="0" w:num="1">
            <w:col w:w="9360"/>
          </w:cols>
          <w:pgMar w:left="1440" w:top="1440" w:right="1440" w:bottom="474" w:gutter="0" w:footer="0" w:header="0"/>
        </w:sectPr>
      </w:pPr>
    </w:p>
    <w:bookmarkStart w:id="35" w:name="page36"/>
    <w:bookmarkEnd w:id="35"/>
    <w:p>
      <w:pPr>
        <w:spacing w:after="0" w:line="41" w:lineRule="exact"/>
        <w:rPr>
          <w:sz w:val="20"/>
          <w:szCs w:val="20"/>
          <w:color w:val="auto"/>
        </w:rPr>
      </w:pPr>
    </w:p>
    <w:p>
      <w:pPr>
        <w:ind w:left="480" w:right="340" w:hanging="479"/>
        <w:spacing w:after="0" w:line="218" w:lineRule="auto"/>
        <w:rPr>
          <w:sz w:val="20"/>
          <w:szCs w:val="20"/>
          <w:color w:val="auto"/>
        </w:rPr>
      </w:pPr>
      <w:r>
        <w:rPr>
          <w:rFonts w:ascii="Calibri" w:cs="Calibri" w:eastAsia="Calibri" w:hAnsi="Calibri"/>
          <w:sz w:val="22"/>
          <w:szCs w:val="22"/>
          <w:color w:val="auto"/>
        </w:rPr>
        <w:t xml:space="preserve">Wenger, E. C., &amp; Snyder, W. M. (2000). Communities of practice: The organizational frontier. </w:t>
      </w:r>
      <w:r>
        <w:rPr>
          <w:rFonts w:ascii="Calibri" w:cs="Calibri" w:eastAsia="Calibri" w:hAnsi="Calibri"/>
          <w:sz w:val="22"/>
          <w:szCs w:val="22"/>
          <w:i w:val="1"/>
          <w:iCs w:val="1"/>
          <w:color w:val="auto"/>
        </w:rPr>
        <w:t>Harvard</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Business Review</w:t>
      </w:r>
      <w:r>
        <w:rPr>
          <w:rFonts w:ascii="Calibri" w:cs="Calibri" w:eastAsia="Calibri" w:hAnsi="Calibri"/>
          <w:sz w:val="22"/>
          <w:szCs w:val="22"/>
          <w:color w:val="auto"/>
        </w:rPr>
        <w:t>,</w:t>
      </w:r>
      <w:r>
        <w:rPr>
          <w:rFonts w:ascii="Calibri" w:cs="Calibri" w:eastAsia="Calibri" w:hAnsi="Calibri"/>
          <w:sz w:val="22"/>
          <w:szCs w:val="22"/>
          <w:i w:val="1"/>
          <w:iCs w:val="1"/>
          <w:color w:val="auto"/>
        </w:rPr>
        <w:t xml:space="preserve"> 78</w:t>
      </w:r>
      <w:r>
        <w:rPr>
          <w:rFonts w:ascii="Calibri" w:cs="Calibri" w:eastAsia="Calibri" w:hAnsi="Calibri"/>
          <w:sz w:val="22"/>
          <w:szCs w:val="22"/>
          <w:color w:val="auto"/>
        </w:rPr>
        <w:t>(1), 139–146.</w:t>
      </w:r>
    </w:p>
    <w:p>
      <w:pPr>
        <w:spacing w:after="0" w:line="329" w:lineRule="exact"/>
        <w:rPr>
          <w:sz w:val="20"/>
          <w:szCs w:val="20"/>
          <w:color w:val="auto"/>
        </w:rPr>
      </w:pPr>
    </w:p>
    <w:p>
      <w:pPr>
        <w:ind w:left="480" w:right="760" w:hanging="479"/>
        <w:spacing w:after="0" w:line="218" w:lineRule="auto"/>
        <w:rPr>
          <w:sz w:val="20"/>
          <w:szCs w:val="20"/>
          <w:color w:val="auto"/>
        </w:rPr>
      </w:pPr>
      <w:r>
        <w:rPr>
          <w:rFonts w:ascii="Calibri" w:cs="Calibri" w:eastAsia="Calibri" w:hAnsi="Calibri"/>
          <w:sz w:val="22"/>
          <w:szCs w:val="22"/>
          <w:color w:val="auto"/>
        </w:rPr>
        <w:t xml:space="preserve">Wijnberg, N. M., &amp; Gemser, G. (2000). Adding value to innovation: Impressionism and the transformation of the selection system in visual arts. </w:t>
      </w:r>
      <w:r>
        <w:rPr>
          <w:rFonts w:ascii="Calibri" w:cs="Calibri" w:eastAsia="Calibri" w:hAnsi="Calibri"/>
          <w:sz w:val="22"/>
          <w:szCs w:val="22"/>
          <w:i w:val="1"/>
          <w:iCs w:val="1"/>
          <w:color w:val="auto"/>
        </w:rPr>
        <w:t>Organization Science</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11</w:t>
      </w:r>
      <w:r>
        <w:rPr>
          <w:rFonts w:ascii="Calibri" w:cs="Calibri" w:eastAsia="Calibri" w:hAnsi="Calibri"/>
          <w:sz w:val="22"/>
          <w:szCs w:val="22"/>
          <w:color w:val="auto"/>
        </w:rPr>
        <w:t>(3), 323–329.</w:t>
      </w:r>
    </w:p>
    <w:p>
      <w:pPr>
        <w:spacing w:after="0" w:line="282" w:lineRule="exact"/>
        <w:rPr>
          <w:sz w:val="20"/>
          <w:szCs w:val="20"/>
          <w:color w:val="auto"/>
        </w:rPr>
      </w:pPr>
    </w:p>
    <w:p>
      <w:pPr>
        <w:spacing w:after="0"/>
        <w:rPr>
          <w:sz w:val="20"/>
          <w:szCs w:val="20"/>
          <w:color w:val="auto"/>
        </w:rPr>
      </w:pPr>
      <w:r>
        <w:rPr>
          <w:rFonts w:ascii="Calibri" w:cs="Calibri" w:eastAsia="Calibri" w:hAnsi="Calibri"/>
          <w:sz w:val="22"/>
          <w:szCs w:val="22"/>
          <w:color w:val="auto"/>
        </w:rPr>
        <w:t xml:space="preserve">Wolfers, J., &amp; Zitzewitz, E. (2004). Prediction Markets. </w:t>
      </w:r>
      <w:r>
        <w:rPr>
          <w:rFonts w:ascii="Calibri" w:cs="Calibri" w:eastAsia="Calibri" w:hAnsi="Calibri"/>
          <w:sz w:val="22"/>
          <w:szCs w:val="22"/>
          <w:i w:val="1"/>
          <w:iCs w:val="1"/>
          <w:color w:val="auto"/>
        </w:rPr>
        <w:t>Journal of Economic Perspectives</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18</w:t>
      </w:r>
      <w:r>
        <w:rPr>
          <w:rFonts w:ascii="Calibri" w:cs="Calibri" w:eastAsia="Calibri" w:hAnsi="Calibri"/>
          <w:sz w:val="22"/>
          <w:szCs w:val="22"/>
          <w:color w:val="auto"/>
        </w:rPr>
        <w:t>(2), 107–126.</w:t>
      </w:r>
    </w:p>
    <w:p>
      <w:pPr>
        <w:spacing w:after="0" w:line="328" w:lineRule="exact"/>
        <w:rPr>
          <w:sz w:val="20"/>
          <w:szCs w:val="20"/>
          <w:color w:val="auto"/>
        </w:rPr>
      </w:pPr>
    </w:p>
    <w:p>
      <w:pPr>
        <w:ind w:left="480" w:right="880" w:hanging="479"/>
        <w:spacing w:after="0" w:line="218" w:lineRule="auto"/>
        <w:rPr>
          <w:sz w:val="20"/>
          <w:szCs w:val="20"/>
          <w:color w:val="auto"/>
        </w:rPr>
      </w:pPr>
      <w:r>
        <w:rPr>
          <w:rFonts w:ascii="Calibri" w:cs="Calibri" w:eastAsia="Calibri" w:hAnsi="Calibri"/>
          <w:sz w:val="22"/>
          <w:szCs w:val="22"/>
          <w:color w:val="auto"/>
        </w:rPr>
        <w:t xml:space="preserve">Woronkowicz, J., Nicols, B., &amp; Iyengar, S. (2012). </w:t>
      </w:r>
      <w:r>
        <w:rPr>
          <w:rFonts w:ascii="Calibri" w:cs="Calibri" w:eastAsia="Calibri" w:hAnsi="Calibri"/>
          <w:sz w:val="22"/>
          <w:szCs w:val="22"/>
          <w:i w:val="1"/>
          <w:iCs w:val="1"/>
          <w:color w:val="auto"/>
        </w:rPr>
        <w:t>How the United States funds the arts</w:t>
      </w:r>
      <w:r>
        <w:rPr>
          <w:rFonts w:ascii="Calibri" w:cs="Calibri" w:eastAsia="Calibri" w:hAnsi="Calibri"/>
          <w:sz w:val="22"/>
          <w:szCs w:val="22"/>
          <w:color w:val="auto"/>
        </w:rPr>
        <w:t>. National Endowment for the Arts.</w:t>
      </w:r>
    </w:p>
    <w:p>
      <w:pPr>
        <w:spacing w:after="0" w:line="282" w:lineRule="exact"/>
        <w:rPr>
          <w:sz w:val="20"/>
          <w:szCs w:val="20"/>
          <w:color w:val="auto"/>
        </w:rPr>
      </w:pPr>
    </w:p>
    <w:p>
      <w:pPr>
        <w:spacing w:after="0"/>
        <w:rPr>
          <w:sz w:val="20"/>
          <w:szCs w:val="20"/>
          <w:color w:val="auto"/>
        </w:rPr>
      </w:pPr>
      <w:r>
        <w:rPr>
          <w:rFonts w:ascii="Calibri" w:cs="Calibri" w:eastAsia="Calibri" w:hAnsi="Calibri"/>
          <w:sz w:val="22"/>
          <w:szCs w:val="22"/>
          <w:color w:val="auto"/>
        </w:rPr>
        <w:t xml:space="preserve">Zhang, J., &amp; Liu, P. (2012). Rational herding in microloan markets. </w:t>
      </w:r>
      <w:r>
        <w:rPr>
          <w:rFonts w:ascii="Calibri" w:cs="Calibri" w:eastAsia="Calibri" w:hAnsi="Calibri"/>
          <w:sz w:val="22"/>
          <w:szCs w:val="22"/>
          <w:i w:val="1"/>
          <w:iCs w:val="1"/>
          <w:color w:val="auto"/>
        </w:rPr>
        <w:t>Management Science</w:t>
      </w:r>
      <w:r>
        <w:rPr>
          <w:rFonts w:ascii="Calibri" w:cs="Calibri" w:eastAsia="Calibri" w:hAnsi="Calibri"/>
          <w:sz w:val="22"/>
          <w:szCs w:val="22"/>
          <w:color w:val="auto"/>
        </w:rPr>
        <w:t xml:space="preserve">, </w:t>
      </w:r>
      <w:r>
        <w:rPr>
          <w:rFonts w:ascii="Calibri" w:cs="Calibri" w:eastAsia="Calibri" w:hAnsi="Calibri"/>
          <w:sz w:val="22"/>
          <w:szCs w:val="22"/>
          <w:i w:val="1"/>
          <w:iCs w:val="1"/>
          <w:color w:val="auto"/>
        </w:rPr>
        <w:t>58</w:t>
      </w:r>
      <w:r>
        <w:rPr>
          <w:rFonts w:ascii="Calibri" w:cs="Calibri" w:eastAsia="Calibri" w:hAnsi="Calibri"/>
          <w:sz w:val="22"/>
          <w:szCs w:val="22"/>
          <w:color w:val="auto"/>
        </w:rPr>
        <w:t>(5), 892–912.</w:t>
      </w:r>
    </w:p>
    <w:p>
      <w:pPr>
        <w:spacing w:after="0" w:line="282" w:lineRule="exact"/>
        <w:rPr>
          <w:sz w:val="20"/>
          <w:szCs w:val="20"/>
          <w:color w:val="auto"/>
        </w:rPr>
      </w:pPr>
    </w:p>
    <w:p>
      <w:pPr>
        <w:spacing w:after="0"/>
        <w:rPr>
          <w:sz w:val="20"/>
          <w:szCs w:val="20"/>
          <w:color w:val="auto"/>
        </w:rPr>
      </w:pPr>
      <w:r>
        <w:rPr>
          <w:rFonts w:ascii="Calibri" w:cs="Calibri" w:eastAsia="Calibri" w:hAnsi="Calibri"/>
          <w:sz w:val="22"/>
          <w:szCs w:val="22"/>
          <w:color w:val="auto"/>
        </w:rPr>
        <w:t>Zuckerman, E. (1999). The categorical imperative: securities analysts and the illegitimacy discount.</w:t>
      </w:r>
    </w:p>
    <w:p>
      <w:pPr>
        <w:ind w:left="480"/>
        <w:spacing w:after="0" w:line="238" w:lineRule="auto"/>
        <w:rPr>
          <w:sz w:val="20"/>
          <w:szCs w:val="20"/>
          <w:color w:val="auto"/>
        </w:rPr>
      </w:pPr>
      <w:r>
        <w:rPr>
          <w:rFonts w:ascii="Calibri" w:cs="Calibri" w:eastAsia="Calibri" w:hAnsi="Calibri"/>
          <w:sz w:val="22"/>
          <w:szCs w:val="22"/>
          <w:i w:val="1"/>
          <w:iCs w:val="1"/>
          <w:color w:val="auto"/>
        </w:rPr>
        <w:t>American Journal of Sociology</w:t>
      </w:r>
      <w:r>
        <w:rPr>
          <w:rFonts w:ascii="Calibri" w:cs="Calibri" w:eastAsia="Calibri" w:hAnsi="Calibri"/>
          <w:sz w:val="22"/>
          <w:szCs w:val="22"/>
          <w:color w:val="auto"/>
        </w:rPr>
        <w:t>,</w:t>
      </w:r>
      <w:r>
        <w:rPr>
          <w:rFonts w:ascii="Calibri" w:cs="Calibri" w:eastAsia="Calibri" w:hAnsi="Calibri"/>
          <w:sz w:val="22"/>
          <w:szCs w:val="22"/>
          <w:i w:val="1"/>
          <w:iCs w:val="1"/>
          <w:color w:val="auto"/>
        </w:rPr>
        <w:t xml:space="preserve"> 104</w:t>
      </w:r>
      <w:r>
        <w:rPr>
          <w:rFonts w:ascii="Calibri" w:cs="Calibri" w:eastAsia="Calibri" w:hAnsi="Calibri"/>
          <w:sz w:val="22"/>
          <w:szCs w:val="22"/>
          <w:color w:val="auto"/>
        </w:rPr>
        <w:t>(5), 1398–1438.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35</w:t>
      </w:r>
    </w:p>
    <w:p>
      <w:pPr>
        <w:sectPr>
          <w:pgSz w:w="12240" w:h="15840" w:orient="portrait"/>
          <w:cols w:equalWidth="0" w:num="1">
            <w:col w:w="9360"/>
          </w:cols>
          <w:pgMar w:left="1440" w:top="1440" w:right="1440" w:bottom="474" w:gutter="0" w:footer="0" w:header="0"/>
        </w:sectPr>
      </w:pPr>
    </w:p>
    <w:bookmarkStart w:id="36" w:name="page37"/>
    <w:bookmarkEnd w:id="36"/>
    <w:p>
      <w:pPr>
        <w:ind w:left="3320"/>
        <w:spacing w:after="0"/>
        <w:rPr>
          <w:sz w:val="20"/>
          <w:szCs w:val="20"/>
          <w:color w:val="auto"/>
        </w:rPr>
      </w:pPr>
      <w:r>
        <w:rPr>
          <w:rFonts w:ascii="Calibri" w:cs="Calibri" w:eastAsia="Calibri" w:hAnsi="Calibri"/>
          <w:sz w:val="22"/>
          <w:szCs w:val="22"/>
          <w:b w:val="1"/>
          <w:bCs w:val="1"/>
          <w:color w:val="auto"/>
        </w:rPr>
        <w:t>Figure 1: Example of a Project</w:t>
      </w:r>
    </w:p>
    <w:p>
      <w:pPr>
        <w:spacing w:after="0" w:line="224" w:lineRule="exact"/>
        <w:rPr>
          <w:sz w:val="20"/>
          <w:szCs w:val="20"/>
          <w:color w:val="auto"/>
        </w:rPr>
      </w:pPr>
    </w:p>
    <w:p>
      <w:pPr>
        <w:ind w:right="960"/>
        <w:spacing w:after="0" w:line="248" w:lineRule="auto"/>
        <w:rPr>
          <w:sz w:val="20"/>
          <w:szCs w:val="20"/>
          <w:color w:val="auto"/>
        </w:rPr>
      </w:pPr>
      <w:r>
        <w:rPr>
          <w:rFonts w:ascii="Calibri" w:cs="Calibri" w:eastAsia="Calibri" w:hAnsi="Calibri"/>
          <w:sz w:val="18"/>
          <w:szCs w:val="18"/>
          <w:color w:val="auto"/>
        </w:rPr>
        <w:t>This example project was funded by the crowd, but not by judges. It was a commercial success, with 48 shows at a 300 seat theater that were 2/3 to completely full and tickets priced at $24-$44. It also received positive local reviews, including the Best Local Musical and four other awards by BroadwayWorld, as well as generally positive reviews from local papers, such as the San Francisco Examiner: "This is their first original production and is definitely worth it. I had such a good time that I will likely be going back."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-144145</wp:posOffset>
            </wp:positionH>
            <wp:positionV relativeFrom="paragraph">
              <wp:posOffset>114300</wp:posOffset>
            </wp:positionV>
            <wp:extent cx="6811010" cy="76428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extLst>
                    </a:blip>
                    <a:srcRect/>
                    <a:stretch>
                      <a:fillRect/>
                    </a:stretch>
                  </pic:blipFill>
                  <pic:spPr bwMode="auto">
                    <a:xfrm>
                      <a:off x="0" y="0"/>
                      <a:ext cx="6811010" cy="76428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7860" w:right="240"/>
        <w:spacing w:after="0" w:line="228" w:lineRule="auto"/>
        <w:rPr>
          <w:sz w:val="20"/>
          <w:szCs w:val="20"/>
          <w:color w:val="auto"/>
        </w:rPr>
      </w:pPr>
      <w:r>
        <w:rPr>
          <w:rFonts w:ascii="Calibri" w:cs="Calibri" w:eastAsia="Calibri" w:hAnsi="Calibri"/>
          <w:sz w:val="22"/>
          <w:szCs w:val="22"/>
          <w:color w:val="auto"/>
        </w:rPr>
        <w:t>Video and description of the proposed project.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4885690</wp:posOffset>
                </wp:positionH>
                <wp:positionV relativeFrom="paragraph">
                  <wp:posOffset>925195</wp:posOffset>
                </wp:positionV>
                <wp:extent cx="1779905"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990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4.7pt,72.85pt" to="524.85pt,72.8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6659880</wp:posOffset>
                </wp:positionH>
                <wp:positionV relativeFrom="paragraph">
                  <wp:posOffset>362585</wp:posOffset>
                </wp:positionV>
                <wp:extent cx="0" cy="568325"/>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68325"/>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4.4pt,28.55pt" to="524.4pt,73.3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4885690</wp:posOffset>
                </wp:positionH>
                <wp:positionV relativeFrom="paragraph">
                  <wp:posOffset>368935</wp:posOffset>
                </wp:positionV>
                <wp:extent cx="1779905"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990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4.7pt,29.05pt" to="524.85pt,29.0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4892040</wp:posOffset>
                </wp:positionH>
                <wp:positionV relativeFrom="paragraph">
                  <wp:posOffset>362585</wp:posOffset>
                </wp:positionV>
                <wp:extent cx="0" cy="568325"/>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68325"/>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5.2pt,28.55pt" to="385.2pt,73.3pt" o:allowincell="f" strokecolor="#000000" strokeweight="0.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7860" w:right="80"/>
        <w:spacing w:after="0" w:line="228" w:lineRule="auto"/>
        <w:rPr>
          <w:sz w:val="20"/>
          <w:szCs w:val="20"/>
          <w:color w:val="auto"/>
        </w:rPr>
      </w:pPr>
      <w:r>
        <w:rPr>
          <w:rFonts w:ascii="Calibri" w:cs="Calibri" w:eastAsia="Calibri" w:hAnsi="Calibri"/>
          <w:sz w:val="22"/>
          <w:szCs w:val="22"/>
          <w:color w:val="auto"/>
        </w:rPr>
        <w:t>Number of people backing the project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4885690</wp:posOffset>
                </wp:positionH>
                <wp:positionV relativeFrom="paragraph">
                  <wp:posOffset>1357630</wp:posOffset>
                </wp:positionV>
                <wp:extent cx="1779905"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990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4.7pt,106.9pt" to="524.85pt,106.9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6659880</wp:posOffset>
                </wp:positionH>
                <wp:positionV relativeFrom="paragraph">
                  <wp:posOffset>460375</wp:posOffset>
                </wp:positionV>
                <wp:extent cx="0" cy="903605"/>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03605"/>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4.4pt,36.25pt" to="524.4pt,107.4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4885690</wp:posOffset>
                </wp:positionH>
                <wp:positionV relativeFrom="paragraph">
                  <wp:posOffset>466090</wp:posOffset>
                </wp:positionV>
                <wp:extent cx="1779905"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990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4.7pt,36.7pt" to="524.85pt,36.7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4892040</wp:posOffset>
                </wp:positionH>
                <wp:positionV relativeFrom="paragraph">
                  <wp:posOffset>460375</wp:posOffset>
                </wp:positionV>
                <wp:extent cx="0" cy="903605"/>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03605"/>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5.2pt,36.25pt" to="385.2pt,107.4pt" o:allowincell="f" strokecolor="#000000" strokeweight="0.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7860" w:right="80"/>
        <w:spacing w:after="0" w:line="244" w:lineRule="auto"/>
        <w:rPr>
          <w:sz w:val="20"/>
          <w:szCs w:val="20"/>
          <w:color w:val="auto"/>
        </w:rPr>
      </w:pPr>
      <w:r>
        <w:rPr>
          <w:rFonts w:ascii="Calibri" w:cs="Calibri" w:eastAsia="Calibri" w:hAnsi="Calibri"/>
          <w:sz w:val="22"/>
          <w:szCs w:val="22"/>
          <w:color w:val="auto"/>
        </w:rPr>
        <w:t>Project goal and amount raised. Project creators do not get any money until the goal is reached.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4878070</wp:posOffset>
                </wp:positionH>
                <wp:positionV relativeFrom="paragraph">
                  <wp:posOffset>728980</wp:posOffset>
                </wp:positionV>
                <wp:extent cx="1779905"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990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4.1pt,57.4pt" to="524.25pt,57.4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6652260</wp:posOffset>
                </wp:positionH>
                <wp:positionV relativeFrom="paragraph">
                  <wp:posOffset>288290</wp:posOffset>
                </wp:positionV>
                <wp:extent cx="0" cy="44704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4704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3.8pt,22.7pt" to="523.8pt,57.9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4878070</wp:posOffset>
                </wp:positionH>
                <wp:positionV relativeFrom="paragraph">
                  <wp:posOffset>294640</wp:posOffset>
                </wp:positionV>
                <wp:extent cx="1779905"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990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4.1pt,23.2pt" to="524.25pt,23.2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4884420</wp:posOffset>
                </wp:positionH>
                <wp:positionV relativeFrom="paragraph">
                  <wp:posOffset>288290</wp:posOffset>
                </wp:positionV>
                <wp:extent cx="0" cy="44704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4704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4.6pt,22.7pt" to="384.6pt,57.9pt" o:allowincell="f" strokecolor="#000000" strokeweight="0.96pt"/>
            </w:pict>
          </mc:Fallback>
        </mc:AlternateContent>
      </w:r>
    </w:p>
    <w:p>
      <w:pPr>
        <w:spacing w:after="0" w:line="200" w:lineRule="exact"/>
        <w:rPr>
          <w:sz w:val="20"/>
          <w:szCs w:val="20"/>
          <w:color w:val="auto"/>
        </w:rPr>
      </w:pPr>
    </w:p>
    <w:p>
      <w:pPr>
        <w:spacing w:after="0" w:line="360" w:lineRule="exact"/>
        <w:rPr>
          <w:sz w:val="20"/>
          <w:szCs w:val="20"/>
          <w:color w:val="auto"/>
        </w:rPr>
      </w:pPr>
    </w:p>
    <w:p>
      <w:pPr>
        <w:ind w:left="7840"/>
        <w:spacing w:after="0"/>
        <w:rPr>
          <w:sz w:val="20"/>
          <w:szCs w:val="20"/>
          <w:color w:val="auto"/>
        </w:rPr>
      </w:pPr>
      <w:r>
        <w:rPr>
          <w:rFonts w:ascii="Calibri" w:cs="Calibri" w:eastAsia="Calibri" w:hAnsi="Calibri"/>
          <w:sz w:val="22"/>
          <w:szCs w:val="22"/>
          <w:color w:val="auto"/>
        </w:rPr>
        <w:t>Project creator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4878070</wp:posOffset>
                </wp:positionH>
                <wp:positionV relativeFrom="paragraph">
                  <wp:posOffset>2141220</wp:posOffset>
                </wp:positionV>
                <wp:extent cx="1779905"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990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4.1pt,168.6pt" to="524.25pt,168.6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6652260</wp:posOffset>
                </wp:positionH>
                <wp:positionV relativeFrom="paragraph">
                  <wp:posOffset>1029970</wp:posOffset>
                </wp:positionV>
                <wp:extent cx="0" cy="1116965"/>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116965"/>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3.8pt,81.1pt" to="523.8pt,169.0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4878070</wp:posOffset>
                </wp:positionH>
                <wp:positionV relativeFrom="paragraph">
                  <wp:posOffset>1036320</wp:posOffset>
                </wp:positionV>
                <wp:extent cx="1779905"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990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4.1pt,81.6pt" to="524.25pt,81.6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4884420</wp:posOffset>
                </wp:positionH>
                <wp:positionV relativeFrom="paragraph">
                  <wp:posOffset>1029970</wp:posOffset>
                </wp:positionV>
                <wp:extent cx="0" cy="1116965"/>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116965"/>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4.6pt,81.1pt" to="384.6pt,169.05pt" o:allowincell="f" strokecolor="#000000" strokeweight="0.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ind w:left="7840"/>
        <w:spacing w:after="0" w:line="248" w:lineRule="auto"/>
        <w:rPr>
          <w:sz w:val="20"/>
          <w:szCs w:val="20"/>
          <w:color w:val="auto"/>
        </w:rPr>
      </w:pPr>
      <w:r>
        <w:rPr>
          <w:rFonts w:ascii="Calibri" w:cs="Calibri" w:eastAsia="Calibri" w:hAnsi="Calibri"/>
          <w:sz w:val="22"/>
          <w:szCs w:val="22"/>
          <w:color w:val="auto"/>
        </w:rPr>
        <w:t>Rewards offered in return for backing the project. Tickets for the project itself were not available until the $100 reward level.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9140"/>
        <w:spacing w:after="0"/>
        <w:rPr>
          <w:sz w:val="20"/>
          <w:szCs w:val="20"/>
          <w:color w:val="auto"/>
        </w:rPr>
      </w:pPr>
      <w:r>
        <w:rPr>
          <w:rFonts w:ascii="Calibri" w:cs="Calibri" w:eastAsia="Calibri" w:hAnsi="Calibri"/>
          <w:sz w:val="22"/>
          <w:szCs w:val="22"/>
          <w:color w:val="auto"/>
        </w:rPr>
        <w:t>36</w:t>
      </w:r>
    </w:p>
    <w:p>
      <w:pPr>
        <w:sectPr>
          <w:pgSz w:w="12240" w:h="15840" w:orient="portrait"/>
          <w:cols w:equalWidth="0" w:num="1">
            <w:col w:w="10300"/>
          </w:cols>
          <w:pgMar w:left="1440" w:top="1431" w:right="500" w:bottom="474" w:gutter="0" w:footer="0" w:header="0"/>
        </w:sectPr>
      </w:pPr>
    </w:p>
    <w:bookmarkStart w:id="37" w:name="page38"/>
    <w:bookmarkEnd w:id="37"/>
    <w:p>
      <w:pPr>
        <w:ind w:left="720"/>
        <w:spacing w:after="0"/>
        <w:rPr>
          <w:sz w:val="20"/>
          <w:szCs w:val="20"/>
          <w:color w:val="auto"/>
        </w:rPr>
      </w:pPr>
      <w:r>
        <w:rPr>
          <w:rFonts w:ascii="Calibri" w:cs="Calibri" w:eastAsia="Calibri" w:hAnsi="Calibri"/>
          <w:sz w:val="22"/>
          <w:szCs w:val="22"/>
          <w:b w:val="1"/>
          <w:bCs w:val="1"/>
          <w:color w:val="auto"/>
        </w:rPr>
        <w:t>Figure 2: Kernel Density plots of average scores assigned to projects by experts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514985</wp:posOffset>
            </wp:positionH>
            <wp:positionV relativeFrom="paragraph">
              <wp:posOffset>247015</wp:posOffset>
            </wp:positionV>
            <wp:extent cx="4429760" cy="32321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extLst>
                    </a:blip>
                    <a:srcRect/>
                    <a:stretch>
                      <a:fillRect/>
                    </a:stretch>
                  </pic:blipFill>
                  <pic:spPr bwMode="auto">
                    <a:xfrm>
                      <a:off x="0" y="0"/>
                      <a:ext cx="4429760" cy="3232150"/>
                    </a:xfrm>
                    <a:prstGeom prst="rect">
                      <a:avLst/>
                    </a:prstGeom>
                    <a:noFill/>
                  </pic:spPr>
                </pic:pic>
              </a:graphicData>
            </a:graphic>
          </wp:anchor>
        </w:drawing>
      </w:r>
    </w:p>
    <w:p>
      <w:pPr>
        <w:spacing w:after="0" w:line="200" w:lineRule="exact"/>
        <w:rPr>
          <w:sz w:val="20"/>
          <w:szCs w:val="20"/>
          <w:color w:val="auto"/>
        </w:rPr>
      </w:pPr>
    </w:p>
    <w:p>
      <w:pPr>
        <w:spacing w:after="0" w:line="390" w:lineRule="exact"/>
        <w:rPr>
          <w:sz w:val="20"/>
          <w:szCs w:val="20"/>
          <w:color w:val="auto"/>
        </w:rPr>
      </w:pPr>
    </w:p>
    <w:tbl>
      <w:tblPr>
        <w:tblLayout w:type="fixed"/>
        <w:tblInd w:w="260" w:type="dxa"/>
        <w:tblCellMar>
          <w:top w:w="0" w:type="dxa"/>
          <w:left w:w="0" w:type="dxa"/>
          <w:bottom w:w="0" w:type="dxa"/>
          <w:right w:w="0" w:type="dxa"/>
        </w:tblCellMar>
      </w:tblPr>
      <w:tr>
        <w:trPr>
          <w:trHeight w:val="150"/>
        </w:trPr>
        <w:tc>
          <w:tcPr>
            <w:tcW w:w="480" w:type="dxa"/>
            <w:vAlign w:val="bottom"/>
          </w:tcPr>
          <w:p>
            <w:pPr>
              <w:spacing w:after="0"/>
              <w:rPr>
                <w:sz w:val="13"/>
                <w:szCs w:val="13"/>
                <w:color w:val="auto"/>
              </w:rPr>
            </w:pPr>
          </w:p>
        </w:tc>
        <w:tc>
          <w:tcPr>
            <w:tcW w:w="620" w:type="dxa"/>
            <w:vAlign w:val="bottom"/>
            <w:textDirection w:val="btLr"/>
          </w:tcPr>
          <w:p>
            <w:pPr>
              <w:ind w:right="2"/>
              <w:spacing w:after="0"/>
              <w:rPr>
                <w:sz w:val="20"/>
                <w:szCs w:val="20"/>
                <w:color w:val="auto"/>
              </w:rPr>
            </w:pPr>
            <w:r>
              <w:rPr>
                <w:rFonts w:ascii="Arial" w:cs="Arial" w:eastAsia="Arial" w:hAnsi="Arial"/>
                <w:sz w:val="18"/>
                <w:szCs w:val="18"/>
                <w:color w:val="auto"/>
                <w:w w:val="92"/>
              </w:rPr>
              <w:t>.5</w:t>
            </w:r>
          </w:p>
        </w:tc>
      </w:tr>
      <w:tr>
        <w:trPr>
          <w:trHeight w:val="619"/>
        </w:trPr>
        <w:tc>
          <w:tcPr>
            <w:tcW w:w="480" w:type="dxa"/>
            <w:vAlign w:val="bottom"/>
          </w:tcPr>
          <w:p>
            <w:pPr>
              <w:spacing w:after="0"/>
              <w:rPr>
                <w:sz w:val="24"/>
                <w:szCs w:val="24"/>
                <w:color w:val="auto"/>
              </w:rPr>
            </w:pPr>
          </w:p>
        </w:tc>
        <w:tc>
          <w:tcPr>
            <w:tcW w:w="620" w:type="dxa"/>
            <w:vAlign w:val="bottom"/>
            <w:textDirection w:val="btLr"/>
          </w:tcPr>
          <w:p>
            <w:pPr>
              <w:ind w:right="2"/>
              <w:spacing w:after="0"/>
              <w:rPr>
                <w:sz w:val="20"/>
                <w:szCs w:val="20"/>
                <w:color w:val="auto"/>
              </w:rPr>
            </w:pPr>
            <w:r>
              <w:rPr>
                <w:rFonts w:ascii="Arial" w:cs="Arial" w:eastAsia="Arial" w:hAnsi="Arial"/>
                <w:sz w:val="18"/>
                <w:szCs w:val="18"/>
                <w:color w:val="auto"/>
              </w:rPr>
              <w:t>.4</w:t>
            </w:r>
          </w:p>
        </w:tc>
      </w:tr>
      <w:tr>
        <w:trPr>
          <w:trHeight w:val="1184"/>
        </w:trPr>
        <w:tc>
          <w:tcPr>
            <w:tcW w:w="480" w:type="dxa"/>
            <w:vAlign w:val="bottom"/>
            <w:textDirection w:val="btLr"/>
          </w:tcPr>
          <w:p>
            <w:pPr>
              <w:ind w:left="5"/>
              <w:spacing w:after="0"/>
              <w:rPr>
                <w:sz w:val="20"/>
                <w:szCs w:val="20"/>
                <w:color w:val="auto"/>
              </w:rPr>
            </w:pPr>
            <w:r>
              <w:rPr>
                <w:rFonts w:ascii="Arial" w:cs="Arial" w:eastAsia="Arial" w:hAnsi="Arial"/>
                <w:sz w:val="18"/>
                <w:szCs w:val="18"/>
                <w:color w:val="auto"/>
                <w:w w:val="99"/>
              </w:rPr>
              <w:t>Density</w:t>
            </w:r>
          </w:p>
        </w:tc>
        <w:tc>
          <w:tcPr>
            <w:tcW w:w="620" w:type="dxa"/>
            <w:vAlign w:val="bottom"/>
            <w:textDirection w:val="btLr"/>
          </w:tcPr>
          <w:p>
            <w:pPr>
              <w:ind w:right="8"/>
              <w:spacing w:after="0"/>
              <w:rPr>
                <w:sz w:val="20"/>
                <w:szCs w:val="20"/>
                <w:color w:val="auto"/>
              </w:rPr>
            </w:pPr>
            <w:r>
              <w:rPr>
                <w:rFonts w:ascii="Arial" w:cs="Arial" w:eastAsia="Arial" w:hAnsi="Arial"/>
                <w:sz w:val="18"/>
                <w:szCs w:val="18"/>
                <w:color w:val="auto"/>
              </w:rPr>
              <w:t>2      .3</w:t>
            </w:r>
          </w:p>
        </w:tc>
      </w:tr>
      <w:tr>
        <w:trPr>
          <w:trHeight w:val="52"/>
        </w:trPr>
        <w:tc>
          <w:tcPr>
            <w:tcW w:w="480" w:type="dxa"/>
            <w:vAlign w:val="bottom"/>
          </w:tcPr>
          <w:p>
            <w:pPr>
              <w:spacing w:after="0"/>
              <w:rPr>
                <w:sz w:val="4"/>
                <w:szCs w:val="4"/>
                <w:color w:val="auto"/>
              </w:rPr>
            </w:pPr>
          </w:p>
        </w:tc>
        <w:tc>
          <w:tcPr>
            <w:tcW w:w="620" w:type="dxa"/>
            <w:vAlign w:val="bottom"/>
            <w:textDirection w:val="btLr"/>
          </w:tcPr>
          <w:p>
            <w:pPr>
              <w:ind w:right="8"/>
              <w:spacing w:after="0"/>
              <w:rPr>
                <w:sz w:val="20"/>
                <w:szCs w:val="20"/>
                <w:color w:val="auto"/>
              </w:rPr>
            </w:pPr>
            <w:r>
              <w:rPr>
                <w:rFonts w:ascii="Arial" w:cs="Arial" w:eastAsia="Arial" w:hAnsi="Arial"/>
                <w:sz w:val="18"/>
                <w:szCs w:val="18"/>
                <w:color w:val="auto"/>
              </w:rPr>
              <w:t>.</w:t>
            </w:r>
          </w:p>
        </w:tc>
      </w:tr>
      <w:tr>
        <w:trPr>
          <w:trHeight w:val="612"/>
        </w:trPr>
        <w:tc>
          <w:tcPr>
            <w:tcW w:w="480" w:type="dxa"/>
            <w:vAlign w:val="bottom"/>
          </w:tcPr>
          <w:p>
            <w:pPr>
              <w:spacing w:after="0"/>
              <w:rPr>
                <w:sz w:val="24"/>
                <w:szCs w:val="24"/>
                <w:color w:val="auto"/>
              </w:rPr>
            </w:pPr>
          </w:p>
        </w:tc>
        <w:tc>
          <w:tcPr>
            <w:tcW w:w="620" w:type="dxa"/>
            <w:vAlign w:val="bottom"/>
            <w:textDirection w:val="btLr"/>
          </w:tcPr>
          <w:p>
            <w:pPr>
              <w:ind w:right="8"/>
              <w:spacing w:after="0"/>
              <w:rPr>
                <w:sz w:val="20"/>
                <w:szCs w:val="20"/>
                <w:color w:val="auto"/>
              </w:rPr>
            </w:pPr>
            <w:r>
              <w:rPr>
                <w:rFonts w:ascii="Arial" w:cs="Arial" w:eastAsia="Arial" w:hAnsi="Arial"/>
                <w:sz w:val="18"/>
                <w:szCs w:val="18"/>
                <w:color w:val="auto"/>
                <w:w w:val="92"/>
              </w:rPr>
              <w:t>.1</w:t>
            </w:r>
          </w:p>
        </w:tc>
      </w:tr>
      <w:tr>
        <w:trPr>
          <w:trHeight w:val="592"/>
        </w:trPr>
        <w:tc>
          <w:tcPr>
            <w:tcW w:w="480" w:type="dxa"/>
            <w:vAlign w:val="bottom"/>
          </w:tcPr>
          <w:p>
            <w:pPr>
              <w:spacing w:after="0"/>
              <w:rPr>
                <w:sz w:val="24"/>
                <w:szCs w:val="24"/>
                <w:color w:val="auto"/>
              </w:rPr>
            </w:pPr>
          </w:p>
        </w:tc>
        <w:tc>
          <w:tcPr>
            <w:tcW w:w="620" w:type="dxa"/>
            <w:vAlign w:val="bottom"/>
            <w:textDirection w:val="btLr"/>
          </w:tcPr>
          <w:p>
            <w:pPr>
              <w:spacing w:after="0"/>
              <w:rPr>
                <w:sz w:val="20"/>
                <w:szCs w:val="20"/>
                <w:color w:val="auto"/>
              </w:rPr>
            </w:pPr>
            <w:r>
              <w:rPr>
                <w:rFonts w:ascii="Arial" w:cs="Arial" w:eastAsia="Arial" w:hAnsi="Arial"/>
                <w:sz w:val="18"/>
                <w:szCs w:val="18"/>
                <w:color w:val="auto"/>
                <w:w w:val="99"/>
              </w:rPr>
              <w:t>0</w:t>
            </w:r>
          </w:p>
        </w:tc>
      </w:tr>
    </w:tbl>
    <w:p>
      <w:pPr>
        <w:spacing w:after="0" w:line="150" w:lineRule="exact"/>
        <w:rPr>
          <w:sz w:val="20"/>
          <w:szCs w:val="20"/>
          <w:color w:val="auto"/>
        </w:rPr>
      </w:pPr>
    </w:p>
    <w:tbl>
      <w:tblPr>
        <w:tblLayout w:type="fixed"/>
        <w:tblInd w:w="1600" w:type="dxa"/>
        <w:tblCellMar>
          <w:top w:w="0" w:type="dxa"/>
          <w:left w:w="0" w:type="dxa"/>
          <w:bottom w:w="0" w:type="dxa"/>
          <w:right w:w="0" w:type="dxa"/>
        </w:tblCellMar>
      </w:tblPr>
      <w:tr>
        <w:trPr>
          <w:trHeight w:val="207"/>
        </w:trPr>
        <w:tc>
          <w:tcPr>
            <w:tcW w:w="740" w:type="dxa"/>
            <w:vAlign w:val="bottom"/>
          </w:tcPr>
          <w:p>
            <w:pPr>
              <w:jc w:val="right"/>
              <w:ind w:right="552"/>
              <w:spacing w:after="0"/>
              <w:rPr>
                <w:sz w:val="20"/>
                <w:szCs w:val="20"/>
                <w:color w:val="auto"/>
              </w:rPr>
            </w:pPr>
            <w:r>
              <w:rPr>
                <w:rFonts w:ascii="Arial" w:cs="Arial" w:eastAsia="Arial" w:hAnsi="Arial"/>
                <w:sz w:val="18"/>
                <w:szCs w:val="18"/>
                <w:color w:val="auto"/>
                <w:w w:val="79"/>
              </w:rPr>
              <w:t>1</w:t>
            </w:r>
          </w:p>
        </w:tc>
        <w:tc>
          <w:tcPr>
            <w:tcW w:w="800" w:type="dxa"/>
            <w:vAlign w:val="bottom"/>
          </w:tcPr>
          <w:p>
            <w:pPr>
              <w:jc w:val="right"/>
              <w:spacing w:after="0"/>
              <w:rPr>
                <w:sz w:val="20"/>
                <w:szCs w:val="20"/>
                <w:color w:val="auto"/>
              </w:rPr>
            </w:pPr>
            <w:r>
              <w:rPr>
                <w:rFonts w:ascii="Arial" w:cs="Arial" w:eastAsia="Arial" w:hAnsi="Arial"/>
                <w:sz w:val="18"/>
                <w:szCs w:val="18"/>
                <w:color w:val="auto"/>
              </w:rPr>
              <w:t>2</w:t>
            </w:r>
          </w:p>
        </w:tc>
        <w:tc>
          <w:tcPr>
            <w:tcW w:w="1980" w:type="dxa"/>
            <w:vAlign w:val="bottom"/>
          </w:tcPr>
          <w:p>
            <w:pPr>
              <w:jc w:val="right"/>
              <w:ind w:right="572"/>
              <w:spacing w:after="0"/>
              <w:rPr>
                <w:sz w:val="20"/>
                <w:szCs w:val="20"/>
                <w:color w:val="auto"/>
              </w:rPr>
            </w:pPr>
            <w:r>
              <w:rPr>
                <w:rFonts w:ascii="Arial" w:cs="Arial" w:eastAsia="Arial" w:hAnsi="Arial"/>
                <w:sz w:val="18"/>
                <w:szCs w:val="18"/>
                <w:color w:val="auto"/>
              </w:rPr>
              <w:t>3</w:t>
            </w:r>
          </w:p>
        </w:tc>
        <w:tc>
          <w:tcPr>
            <w:tcW w:w="1400" w:type="dxa"/>
            <w:vAlign w:val="bottom"/>
          </w:tcPr>
          <w:p>
            <w:pPr>
              <w:jc w:val="right"/>
              <w:ind w:right="572"/>
              <w:spacing w:after="0"/>
              <w:rPr>
                <w:sz w:val="20"/>
                <w:szCs w:val="20"/>
                <w:color w:val="auto"/>
              </w:rPr>
            </w:pPr>
            <w:r>
              <w:rPr>
                <w:rFonts w:ascii="Arial" w:cs="Arial" w:eastAsia="Arial" w:hAnsi="Arial"/>
                <w:sz w:val="18"/>
                <w:szCs w:val="18"/>
                <w:color w:val="auto"/>
              </w:rPr>
              <w:t>4</w:t>
            </w:r>
          </w:p>
        </w:tc>
        <w:tc>
          <w:tcPr>
            <w:tcW w:w="720" w:type="dxa"/>
            <w:vAlign w:val="bottom"/>
          </w:tcPr>
          <w:p>
            <w:pPr>
              <w:jc w:val="right"/>
              <w:spacing w:after="0"/>
              <w:rPr>
                <w:sz w:val="20"/>
                <w:szCs w:val="20"/>
                <w:color w:val="auto"/>
              </w:rPr>
            </w:pPr>
            <w:r>
              <w:rPr>
                <w:rFonts w:ascii="Arial" w:cs="Arial" w:eastAsia="Arial" w:hAnsi="Arial"/>
                <w:sz w:val="18"/>
                <w:szCs w:val="18"/>
                <w:color w:val="auto"/>
              </w:rPr>
              <w:t>5</w:t>
            </w:r>
          </w:p>
        </w:tc>
      </w:tr>
      <w:tr>
        <w:trPr>
          <w:trHeight w:val="193"/>
        </w:trPr>
        <w:tc>
          <w:tcPr>
            <w:tcW w:w="740" w:type="dxa"/>
            <w:vAlign w:val="bottom"/>
          </w:tcPr>
          <w:p>
            <w:pPr>
              <w:spacing w:after="0"/>
              <w:rPr>
                <w:sz w:val="16"/>
                <w:szCs w:val="16"/>
                <w:color w:val="auto"/>
              </w:rPr>
            </w:pPr>
          </w:p>
        </w:tc>
        <w:tc>
          <w:tcPr>
            <w:tcW w:w="800" w:type="dxa"/>
            <w:vAlign w:val="bottom"/>
          </w:tcPr>
          <w:p>
            <w:pPr>
              <w:spacing w:after="0"/>
              <w:rPr>
                <w:sz w:val="16"/>
                <w:szCs w:val="16"/>
                <w:color w:val="auto"/>
              </w:rPr>
            </w:pPr>
          </w:p>
        </w:tc>
        <w:tc>
          <w:tcPr>
            <w:tcW w:w="3380" w:type="dxa"/>
            <w:vAlign w:val="bottom"/>
            <w:gridSpan w:val="2"/>
          </w:tcPr>
          <w:p>
            <w:pPr>
              <w:jc w:val="right"/>
              <w:ind w:right="552"/>
              <w:spacing w:after="0" w:line="193" w:lineRule="exact"/>
              <w:rPr>
                <w:sz w:val="20"/>
                <w:szCs w:val="20"/>
                <w:color w:val="auto"/>
              </w:rPr>
            </w:pPr>
            <w:r>
              <w:rPr>
                <w:rFonts w:ascii="Arial" w:cs="Arial" w:eastAsia="Arial" w:hAnsi="Arial"/>
                <w:sz w:val="18"/>
                <w:szCs w:val="18"/>
                <w:color w:val="auto"/>
                <w:w w:val="98"/>
              </w:rPr>
              <w:t>Average score assigned by judges</w:t>
            </w:r>
          </w:p>
        </w:tc>
        <w:tc>
          <w:tcPr>
            <w:tcW w:w="720" w:type="dxa"/>
            <w:vAlign w:val="bottom"/>
          </w:tcPr>
          <w:p>
            <w:pPr>
              <w:spacing w:after="0"/>
              <w:rPr>
                <w:sz w:val="16"/>
                <w:szCs w:val="16"/>
                <w:color w:val="auto"/>
              </w:rPr>
            </w:pPr>
          </w:p>
        </w:tc>
      </w:tr>
    </w:tbl>
    <w:p>
      <w:pPr>
        <w:spacing w:after="0" w:line="151" w:lineRule="exact"/>
        <w:rPr>
          <w:sz w:val="20"/>
          <w:szCs w:val="20"/>
          <w:color w:val="auto"/>
        </w:rPr>
      </w:pPr>
    </w:p>
    <w:p>
      <w:pPr>
        <w:ind w:left="3160"/>
        <w:spacing w:after="0"/>
        <w:rPr>
          <w:sz w:val="20"/>
          <w:szCs w:val="20"/>
          <w:color w:val="auto"/>
        </w:rPr>
      </w:pPr>
      <w:r>
        <w:rPr>
          <w:rFonts w:ascii="Arial" w:cs="Arial" w:eastAsia="Arial" w:hAnsi="Arial"/>
          <w:sz w:val="18"/>
          <w:szCs w:val="18"/>
          <w:color w:val="auto"/>
        </w:rPr>
        <w:t>Did not meet funding goal on Kickstarter</w:t>
      </w:r>
    </w:p>
    <w:p>
      <w:pPr>
        <w:spacing w:after="0" w:line="40" w:lineRule="exact"/>
        <w:rPr>
          <w:sz w:val="20"/>
          <w:szCs w:val="20"/>
          <w:color w:val="auto"/>
        </w:rPr>
      </w:pPr>
    </w:p>
    <w:p>
      <w:pPr>
        <w:ind w:left="3160"/>
        <w:spacing w:after="0"/>
        <w:rPr>
          <w:sz w:val="20"/>
          <w:szCs w:val="20"/>
          <w:color w:val="auto"/>
        </w:rPr>
      </w:pPr>
      <w:r>
        <w:rPr>
          <w:rFonts w:ascii="Arial" w:cs="Arial" w:eastAsia="Arial" w:hAnsi="Arial"/>
          <w:sz w:val="18"/>
          <w:szCs w:val="18"/>
          <w:color w:val="auto"/>
        </w:rPr>
        <w:t>Met or exceeded funding goal on Kickstarter</w:t>
      </w:r>
    </w:p>
    <w:p>
      <w:pPr>
        <w:spacing w:after="0" w:line="132" w:lineRule="exact"/>
        <w:rPr>
          <w:sz w:val="20"/>
          <w:szCs w:val="20"/>
          <w:color w:val="auto"/>
        </w:rPr>
      </w:pPr>
    </w:p>
    <w:p>
      <w:pPr>
        <w:ind w:left="1540"/>
        <w:spacing w:after="0"/>
        <w:rPr>
          <w:sz w:val="20"/>
          <w:szCs w:val="20"/>
          <w:color w:val="auto"/>
        </w:rPr>
      </w:pPr>
      <w:r>
        <w:rPr>
          <w:rFonts w:ascii="Arial" w:cs="Arial" w:eastAsia="Arial" w:hAnsi="Arial"/>
          <w:sz w:val="14"/>
          <w:szCs w:val="14"/>
          <w:color w:val="auto"/>
        </w:rPr>
        <w:t>kernel = epanechnikov, bandwidth = 0.3512</w:t>
      </w:r>
    </w:p>
    <w:p>
      <w:pPr>
        <w:spacing w:after="0" w:line="200" w:lineRule="exact"/>
        <w:rPr>
          <w:sz w:val="20"/>
          <w:szCs w:val="20"/>
          <w:color w:val="auto"/>
        </w:rPr>
      </w:pPr>
    </w:p>
    <w:p>
      <w:pPr>
        <w:spacing w:after="0" w:line="387" w:lineRule="exact"/>
        <w:rPr>
          <w:sz w:val="20"/>
          <w:szCs w:val="20"/>
          <w:color w:val="auto"/>
        </w:rPr>
      </w:pPr>
    </w:p>
    <w:p>
      <w:pPr>
        <w:ind w:left="720"/>
        <w:spacing w:after="0"/>
        <w:rPr>
          <w:sz w:val="20"/>
          <w:szCs w:val="20"/>
          <w:color w:val="auto"/>
        </w:rPr>
      </w:pPr>
      <w:r>
        <w:rPr>
          <w:rFonts w:ascii="Calibri" w:cs="Calibri" w:eastAsia="Calibri" w:hAnsi="Calibri"/>
          <w:sz w:val="22"/>
          <w:szCs w:val="22"/>
          <w:color w:val="auto"/>
        </w:rPr>
        <w:t>Figure 3: Kernel Density plots of average funding amounts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514985</wp:posOffset>
            </wp:positionH>
            <wp:positionV relativeFrom="paragraph">
              <wp:posOffset>244475</wp:posOffset>
            </wp:positionV>
            <wp:extent cx="4408170" cy="32143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extLst>
                    </a:blip>
                    <a:srcRect/>
                    <a:stretch>
                      <a:fillRect/>
                    </a:stretch>
                  </pic:blipFill>
                  <pic:spPr bwMode="auto">
                    <a:xfrm>
                      <a:off x="0" y="0"/>
                      <a:ext cx="4408170" cy="3214370"/>
                    </a:xfrm>
                    <a:prstGeom prst="rect">
                      <a:avLst/>
                    </a:prstGeom>
                    <a:noFill/>
                  </pic:spPr>
                </pic:pic>
              </a:graphicData>
            </a:graphic>
          </wp:anchor>
        </w:drawing>
      </w:r>
    </w:p>
    <w:p>
      <w:pPr>
        <w:spacing w:after="0" w:line="200" w:lineRule="exact"/>
        <w:rPr>
          <w:sz w:val="20"/>
          <w:szCs w:val="20"/>
          <w:color w:val="auto"/>
        </w:rPr>
      </w:pPr>
    </w:p>
    <w:p>
      <w:pPr>
        <w:spacing w:after="0" w:line="336" w:lineRule="exact"/>
        <w:rPr>
          <w:sz w:val="20"/>
          <w:szCs w:val="20"/>
          <w:color w:val="auto"/>
        </w:rPr>
      </w:pPr>
    </w:p>
    <w:tbl>
      <w:tblPr>
        <w:tblLayout w:type="fixed"/>
        <w:tblInd w:w="260" w:type="dxa"/>
        <w:tblCellMar>
          <w:top w:w="0" w:type="dxa"/>
          <w:left w:w="0" w:type="dxa"/>
          <w:bottom w:w="0" w:type="dxa"/>
          <w:right w:w="0" w:type="dxa"/>
        </w:tblCellMar>
      </w:tblPr>
      <w:tr>
        <w:trPr>
          <w:trHeight w:val="353"/>
        </w:trPr>
        <w:tc>
          <w:tcPr>
            <w:tcW w:w="340" w:type="dxa"/>
            <w:vAlign w:val="bottom"/>
          </w:tcPr>
          <w:p>
            <w:pPr>
              <w:spacing w:after="0"/>
              <w:rPr>
                <w:sz w:val="24"/>
                <w:szCs w:val="24"/>
                <w:color w:val="auto"/>
              </w:rPr>
            </w:pPr>
          </w:p>
        </w:tc>
        <w:tc>
          <w:tcPr>
            <w:tcW w:w="760" w:type="dxa"/>
            <w:vAlign w:val="bottom"/>
            <w:textDirection w:val="btLr"/>
          </w:tcPr>
          <w:p>
            <w:pPr>
              <w:ind w:right="313"/>
              <w:spacing w:after="0"/>
              <w:rPr>
                <w:sz w:val="20"/>
                <w:szCs w:val="20"/>
                <w:color w:val="auto"/>
              </w:rPr>
            </w:pPr>
            <w:r>
              <w:rPr>
                <w:rFonts w:ascii="Arial" w:cs="Arial" w:eastAsia="Arial" w:hAnsi="Arial"/>
                <w:sz w:val="17"/>
                <w:szCs w:val="17"/>
                <w:color w:val="auto"/>
              </w:rPr>
              <w:t>.008</w:t>
            </w:r>
          </w:p>
        </w:tc>
      </w:tr>
      <w:tr>
        <w:trPr>
          <w:trHeight w:val="751"/>
        </w:trPr>
        <w:tc>
          <w:tcPr>
            <w:tcW w:w="340" w:type="dxa"/>
            <w:vAlign w:val="bottom"/>
          </w:tcPr>
          <w:p>
            <w:pPr>
              <w:spacing w:after="0"/>
              <w:rPr>
                <w:sz w:val="24"/>
                <w:szCs w:val="24"/>
                <w:color w:val="auto"/>
              </w:rPr>
            </w:pPr>
          </w:p>
        </w:tc>
        <w:tc>
          <w:tcPr>
            <w:tcW w:w="760" w:type="dxa"/>
            <w:vAlign w:val="bottom"/>
            <w:textDirection w:val="btLr"/>
          </w:tcPr>
          <w:p>
            <w:pPr>
              <w:ind w:right="313"/>
              <w:spacing w:after="0"/>
              <w:rPr>
                <w:sz w:val="20"/>
                <w:szCs w:val="20"/>
                <w:color w:val="auto"/>
              </w:rPr>
            </w:pPr>
            <w:r>
              <w:rPr>
                <w:rFonts w:ascii="Arial" w:cs="Arial" w:eastAsia="Arial" w:hAnsi="Arial"/>
                <w:sz w:val="17"/>
                <w:szCs w:val="17"/>
                <w:color w:val="auto"/>
              </w:rPr>
              <w:t>.006</w:t>
            </w:r>
          </w:p>
        </w:tc>
      </w:tr>
      <w:tr>
        <w:trPr>
          <w:trHeight w:val="854"/>
        </w:trPr>
        <w:tc>
          <w:tcPr>
            <w:tcW w:w="340" w:type="dxa"/>
            <w:vAlign w:val="bottom"/>
            <w:textDirection w:val="btLr"/>
          </w:tcPr>
          <w:p>
            <w:pPr>
              <w:spacing w:after="0"/>
              <w:rPr>
                <w:sz w:val="20"/>
                <w:szCs w:val="20"/>
                <w:color w:val="auto"/>
              </w:rPr>
            </w:pPr>
            <w:r>
              <w:rPr>
                <w:rFonts w:ascii="Arial" w:cs="Arial" w:eastAsia="Arial" w:hAnsi="Arial"/>
                <w:sz w:val="17"/>
                <w:szCs w:val="17"/>
                <w:color w:val="auto"/>
              </w:rPr>
              <w:t>Density</w:t>
            </w:r>
          </w:p>
        </w:tc>
        <w:tc>
          <w:tcPr>
            <w:tcW w:w="760" w:type="dxa"/>
            <w:vAlign w:val="bottom"/>
            <w:textDirection w:val="btLr"/>
          </w:tcPr>
          <w:p>
            <w:pPr>
              <w:ind w:right="313"/>
              <w:spacing w:after="0"/>
              <w:rPr>
                <w:sz w:val="20"/>
                <w:szCs w:val="20"/>
                <w:color w:val="auto"/>
              </w:rPr>
            </w:pPr>
            <w:r>
              <w:rPr>
                <w:rFonts w:ascii="Arial" w:cs="Arial" w:eastAsia="Arial" w:hAnsi="Arial"/>
                <w:sz w:val="17"/>
                <w:szCs w:val="17"/>
                <w:color w:val="auto"/>
              </w:rPr>
              <w:t>.004</w:t>
            </w:r>
          </w:p>
        </w:tc>
      </w:tr>
      <w:tr>
        <w:trPr>
          <w:trHeight w:val="654"/>
        </w:trPr>
        <w:tc>
          <w:tcPr>
            <w:tcW w:w="340" w:type="dxa"/>
            <w:vAlign w:val="bottom"/>
          </w:tcPr>
          <w:p>
            <w:pPr>
              <w:spacing w:after="0"/>
              <w:rPr>
                <w:sz w:val="24"/>
                <w:szCs w:val="24"/>
                <w:color w:val="auto"/>
              </w:rPr>
            </w:pPr>
          </w:p>
        </w:tc>
        <w:tc>
          <w:tcPr>
            <w:tcW w:w="760" w:type="dxa"/>
            <w:vAlign w:val="bottom"/>
            <w:textDirection w:val="btLr"/>
          </w:tcPr>
          <w:p>
            <w:pPr>
              <w:ind w:right="313"/>
              <w:spacing w:after="0"/>
              <w:rPr>
                <w:sz w:val="20"/>
                <w:szCs w:val="20"/>
                <w:color w:val="auto"/>
              </w:rPr>
            </w:pPr>
            <w:r>
              <w:rPr>
                <w:rFonts w:ascii="Arial" w:cs="Arial" w:eastAsia="Arial" w:hAnsi="Arial"/>
                <w:sz w:val="17"/>
                <w:szCs w:val="17"/>
                <w:color w:val="auto"/>
              </w:rPr>
              <w:t>.002</w:t>
            </w:r>
          </w:p>
        </w:tc>
      </w:tr>
      <w:tr>
        <w:trPr>
          <w:trHeight w:val="627"/>
        </w:trPr>
        <w:tc>
          <w:tcPr>
            <w:tcW w:w="340" w:type="dxa"/>
            <w:vAlign w:val="bottom"/>
          </w:tcPr>
          <w:p>
            <w:pPr>
              <w:spacing w:after="0"/>
              <w:rPr>
                <w:sz w:val="24"/>
                <w:szCs w:val="24"/>
                <w:color w:val="auto"/>
              </w:rPr>
            </w:pPr>
          </w:p>
        </w:tc>
        <w:tc>
          <w:tcPr>
            <w:tcW w:w="760" w:type="dxa"/>
            <w:vAlign w:val="bottom"/>
            <w:textDirection w:val="btLr"/>
          </w:tcPr>
          <w:p>
            <w:pPr>
              <w:spacing w:after="0"/>
              <w:rPr>
                <w:sz w:val="20"/>
                <w:szCs w:val="20"/>
                <w:color w:val="auto"/>
              </w:rPr>
            </w:pPr>
            <w:r>
              <w:rPr>
                <w:rFonts w:ascii="Arial" w:cs="Arial" w:eastAsia="Arial" w:hAnsi="Arial"/>
                <w:sz w:val="17"/>
                <w:szCs w:val="17"/>
                <w:color w:val="auto"/>
              </w:rPr>
              <w:t>0</w:t>
            </w:r>
          </w:p>
        </w:tc>
      </w:tr>
    </w:tbl>
    <w:p>
      <w:pPr>
        <w:spacing w:after="0" w:line="159" w:lineRule="exact"/>
        <w:rPr>
          <w:sz w:val="20"/>
          <w:szCs w:val="20"/>
          <w:color w:val="auto"/>
        </w:rPr>
      </w:pPr>
    </w:p>
    <w:tbl>
      <w:tblPr>
        <w:tblLayout w:type="fixed"/>
        <w:tblInd w:w="1520" w:type="dxa"/>
        <w:tblCellMar>
          <w:top w:w="0" w:type="dxa"/>
          <w:left w:w="0" w:type="dxa"/>
          <w:bottom w:w="0" w:type="dxa"/>
          <w:right w:w="0" w:type="dxa"/>
        </w:tblCellMar>
      </w:tblPr>
      <w:tr>
        <w:trPr>
          <w:trHeight w:val="195"/>
        </w:trPr>
        <w:tc>
          <w:tcPr>
            <w:tcW w:w="1660" w:type="dxa"/>
            <w:vAlign w:val="bottom"/>
          </w:tcPr>
          <w:p>
            <w:pPr>
              <w:jc w:val="right"/>
              <w:ind w:right="1441"/>
              <w:spacing w:after="0"/>
              <w:rPr>
                <w:sz w:val="20"/>
                <w:szCs w:val="20"/>
                <w:color w:val="auto"/>
              </w:rPr>
            </w:pPr>
            <w:r>
              <w:rPr>
                <w:rFonts w:ascii="Arial" w:cs="Arial" w:eastAsia="Arial" w:hAnsi="Arial"/>
                <w:sz w:val="17"/>
                <w:szCs w:val="17"/>
                <w:color w:val="auto"/>
              </w:rPr>
              <w:t>0</w:t>
            </w:r>
          </w:p>
        </w:tc>
        <w:tc>
          <w:tcPr>
            <w:tcW w:w="480" w:type="dxa"/>
            <w:vAlign w:val="bottom"/>
            <w:gridSpan w:val="6"/>
          </w:tcPr>
          <w:p>
            <w:pPr>
              <w:jc w:val="right"/>
              <w:ind w:right="20"/>
              <w:spacing w:after="0"/>
              <w:rPr>
                <w:sz w:val="20"/>
                <w:szCs w:val="20"/>
                <w:color w:val="auto"/>
              </w:rPr>
            </w:pPr>
            <w:r>
              <w:rPr>
                <w:rFonts w:ascii="Arial" w:cs="Arial" w:eastAsia="Arial" w:hAnsi="Arial"/>
                <w:sz w:val="17"/>
                <w:szCs w:val="17"/>
                <w:color w:val="auto"/>
              </w:rPr>
              <w:t>100</w:t>
            </w:r>
          </w:p>
        </w:tc>
        <w:tc>
          <w:tcPr>
            <w:tcW w:w="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00" w:type="dxa"/>
            <w:vAlign w:val="bottom"/>
          </w:tcPr>
          <w:p>
            <w:pPr>
              <w:jc w:val="right"/>
              <w:ind w:right="273"/>
              <w:spacing w:after="0"/>
              <w:rPr>
                <w:sz w:val="20"/>
                <w:szCs w:val="20"/>
                <w:color w:val="auto"/>
              </w:rPr>
            </w:pPr>
            <w:r>
              <w:rPr>
                <w:rFonts w:ascii="Arial" w:cs="Arial" w:eastAsia="Arial" w:hAnsi="Arial"/>
                <w:sz w:val="17"/>
                <w:szCs w:val="17"/>
                <w:color w:val="auto"/>
              </w:rPr>
              <w:t>200</w:t>
            </w:r>
          </w:p>
        </w:tc>
        <w:tc>
          <w:tcPr>
            <w:tcW w:w="1520" w:type="dxa"/>
            <w:vAlign w:val="bottom"/>
          </w:tcPr>
          <w:p>
            <w:pPr>
              <w:jc w:val="right"/>
              <w:spacing w:after="0"/>
              <w:rPr>
                <w:sz w:val="20"/>
                <w:szCs w:val="20"/>
                <w:color w:val="auto"/>
              </w:rPr>
            </w:pPr>
            <w:r>
              <w:rPr>
                <w:rFonts w:ascii="Arial" w:cs="Arial" w:eastAsia="Arial" w:hAnsi="Arial"/>
                <w:sz w:val="17"/>
                <w:szCs w:val="17"/>
                <w:color w:val="auto"/>
              </w:rPr>
              <w:t>300</w:t>
            </w:r>
          </w:p>
        </w:tc>
        <w:tc>
          <w:tcPr>
            <w:tcW w:w="0" w:type="dxa"/>
            <w:vAlign w:val="bottom"/>
          </w:tcPr>
          <w:p>
            <w:pPr>
              <w:spacing w:after="0"/>
              <w:rPr>
                <w:sz w:val="1"/>
                <w:szCs w:val="1"/>
                <w:color w:val="auto"/>
              </w:rPr>
            </w:pPr>
          </w:p>
        </w:tc>
      </w:tr>
      <w:tr>
        <w:trPr>
          <w:trHeight w:val="193"/>
        </w:trPr>
        <w:tc>
          <w:tcPr>
            <w:tcW w:w="16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640" w:type="dxa"/>
            <w:vAlign w:val="bottom"/>
            <w:gridSpan w:val="9"/>
          </w:tcPr>
          <w:p>
            <w:pPr>
              <w:jc w:val="right"/>
              <w:ind w:right="33"/>
              <w:spacing w:after="0" w:line="193" w:lineRule="exact"/>
              <w:rPr>
                <w:sz w:val="20"/>
                <w:szCs w:val="20"/>
                <w:color w:val="auto"/>
              </w:rPr>
            </w:pPr>
            <w:r>
              <w:rPr>
                <w:rFonts w:ascii="Arial" w:cs="Arial" w:eastAsia="Arial" w:hAnsi="Arial"/>
                <w:sz w:val="17"/>
                <w:szCs w:val="17"/>
                <w:color w:val="auto"/>
              </w:rPr>
              <w:t>Average backing amount in US$</w:t>
            </w:r>
          </w:p>
        </w:tc>
        <w:tc>
          <w:tcPr>
            <w:tcW w:w="15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81"/>
        </w:trPr>
        <w:tc>
          <w:tcPr>
            <w:tcW w:w="1660" w:type="dxa"/>
            <w:vAlign w:val="bottom"/>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000" w:type="dxa"/>
            <w:vAlign w:val="bottom"/>
            <w:tcBorders>
              <w:bottom w:val="single" w:sz="8" w:color="auto"/>
            </w:tcBorders>
          </w:tcPr>
          <w:p>
            <w:pPr>
              <w:spacing w:after="0"/>
              <w:rPr>
                <w:sz w:val="7"/>
                <w:szCs w:val="7"/>
                <w:color w:val="auto"/>
              </w:rPr>
            </w:pPr>
          </w:p>
        </w:tc>
        <w:tc>
          <w:tcPr>
            <w:tcW w:w="15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42"/>
        </w:trPr>
        <w:tc>
          <w:tcPr>
            <w:tcW w:w="1660" w:type="dxa"/>
            <w:vAlign w:val="bottom"/>
            <w:tcBorders>
              <w:right w:val="single" w:sz="8" w:color="auto"/>
            </w:tcBorders>
          </w:tcPr>
          <w:p>
            <w:pPr>
              <w:spacing w:after="0"/>
              <w:rPr>
                <w:sz w:val="12"/>
                <w:szCs w:val="12"/>
                <w:color w:val="auto"/>
              </w:rPr>
            </w:pPr>
          </w:p>
        </w:tc>
        <w:tc>
          <w:tcPr>
            <w:tcW w:w="80" w:type="dxa"/>
            <w:vAlign w:val="bottom"/>
          </w:tcPr>
          <w:p>
            <w:pPr>
              <w:spacing w:after="0"/>
              <w:rPr>
                <w:sz w:val="12"/>
                <w:szCs w:val="12"/>
                <w:color w:val="auto"/>
              </w:rPr>
            </w:pPr>
          </w:p>
        </w:tc>
        <w:tc>
          <w:tcPr>
            <w:tcW w:w="80" w:type="dxa"/>
            <w:vAlign w:val="bottom"/>
            <w:tcBorders>
              <w:bottom w:val="single" w:sz="8" w:color="auto"/>
            </w:tcBorders>
          </w:tcPr>
          <w:p>
            <w:pPr>
              <w:spacing w:after="0"/>
              <w:rPr>
                <w:sz w:val="12"/>
                <w:szCs w:val="12"/>
                <w:color w:val="auto"/>
              </w:rPr>
            </w:pPr>
          </w:p>
        </w:tc>
        <w:tc>
          <w:tcPr>
            <w:tcW w:w="60" w:type="dxa"/>
            <w:vAlign w:val="bottom"/>
            <w:tcBorders>
              <w:bottom w:val="single" w:sz="8" w:color="auto"/>
            </w:tcBorders>
          </w:tcPr>
          <w:p>
            <w:pPr>
              <w:spacing w:after="0"/>
              <w:rPr>
                <w:sz w:val="12"/>
                <w:szCs w:val="12"/>
                <w:color w:val="auto"/>
              </w:rPr>
            </w:pPr>
          </w:p>
        </w:tc>
        <w:tc>
          <w:tcPr>
            <w:tcW w:w="100" w:type="dxa"/>
            <w:vAlign w:val="bottom"/>
            <w:tcBorders>
              <w:bottom w:val="single" w:sz="8" w:color="auto"/>
            </w:tcBorders>
          </w:tcPr>
          <w:p>
            <w:pPr>
              <w:spacing w:after="0"/>
              <w:rPr>
                <w:sz w:val="12"/>
                <w:szCs w:val="12"/>
                <w:color w:val="auto"/>
              </w:rPr>
            </w:pPr>
          </w:p>
        </w:tc>
        <w:tc>
          <w:tcPr>
            <w:tcW w:w="40" w:type="dxa"/>
            <w:vAlign w:val="bottom"/>
            <w:tcBorders>
              <w:bottom w:val="single" w:sz="8" w:color="auto"/>
            </w:tcBorders>
          </w:tcPr>
          <w:p>
            <w:pPr>
              <w:spacing w:after="0"/>
              <w:rPr>
                <w:sz w:val="12"/>
                <w:szCs w:val="12"/>
                <w:color w:val="auto"/>
              </w:rPr>
            </w:pPr>
          </w:p>
        </w:tc>
        <w:tc>
          <w:tcPr>
            <w:tcW w:w="120" w:type="dxa"/>
            <w:vAlign w:val="bottom"/>
            <w:tcBorders>
              <w:bottom w:val="single" w:sz="8" w:color="auto"/>
            </w:tcBorders>
          </w:tcPr>
          <w:p>
            <w:pPr>
              <w:spacing w:after="0"/>
              <w:rPr>
                <w:sz w:val="12"/>
                <w:szCs w:val="12"/>
                <w:color w:val="auto"/>
              </w:rPr>
            </w:pPr>
          </w:p>
        </w:tc>
        <w:tc>
          <w:tcPr>
            <w:tcW w:w="40" w:type="dxa"/>
            <w:vAlign w:val="bottom"/>
            <w:tcBorders>
              <w:bottom w:val="single" w:sz="8" w:color="auto"/>
            </w:tcBorders>
          </w:tcPr>
          <w:p>
            <w:pPr>
              <w:spacing w:after="0"/>
              <w:rPr>
                <w:sz w:val="12"/>
                <w:szCs w:val="12"/>
                <w:color w:val="auto"/>
              </w:rPr>
            </w:pPr>
          </w:p>
        </w:tc>
        <w:tc>
          <w:tcPr>
            <w:tcW w:w="100" w:type="dxa"/>
            <w:vAlign w:val="bottom"/>
            <w:tcBorders>
              <w:bottom w:val="single" w:sz="8" w:color="auto"/>
            </w:tcBorders>
          </w:tcPr>
          <w:p>
            <w:pPr>
              <w:spacing w:after="0"/>
              <w:rPr>
                <w:sz w:val="12"/>
                <w:szCs w:val="12"/>
                <w:color w:val="auto"/>
              </w:rPr>
            </w:pPr>
          </w:p>
        </w:tc>
        <w:tc>
          <w:tcPr>
            <w:tcW w:w="100" w:type="dxa"/>
            <w:vAlign w:val="bottom"/>
            <w:tcBorders>
              <w:bottom w:val="single" w:sz="8" w:color="auto"/>
            </w:tcBorders>
          </w:tcPr>
          <w:p>
            <w:pPr>
              <w:spacing w:after="0"/>
              <w:rPr>
                <w:sz w:val="12"/>
                <w:szCs w:val="12"/>
                <w:color w:val="auto"/>
              </w:rPr>
            </w:pPr>
          </w:p>
        </w:tc>
        <w:tc>
          <w:tcPr>
            <w:tcW w:w="2000" w:type="dxa"/>
            <w:vAlign w:val="bottom"/>
            <w:tcBorders>
              <w:right w:val="single" w:sz="8" w:color="auto"/>
            </w:tcBorders>
            <w:vMerge w:val="restart"/>
          </w:tcPr>
          <w:p>
            <w:pPr>
              <w:ind w:left="100"/>
              <w:spacing w:after="0"/>
              <w:rPr>
                <w:sz w:val="20"/>
                <w:szCs w:val="20"/>
                <w:color w:val="auto"/>
              </w:rPr>
            </w:pPr>
            <w:r>
              <w:rPr>
                <w:rFonts w:ascii="Arial" w:cs="Arial" w:eastAsia="Arial" w:hAnsi="Arial"/>
                <w:sz w:val="17"/>
                <w:szCs w:val="17"/>
                <w:color w:val="auto"/>
              </w:rPr>
              <w:t>Only funded by crowd</w:t>
            </w:r>
          </w:p>
        </w:tc>
        <w:tc>
          <w:tcPr>
            <w:tcW w:w="15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94"/>
        </w:trPr>
        <w:tc>
          <w:tcPr>
            <w:tcW w:w="166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80" w:type="dxa"/>
            <w:vAlign w:val="bottom"/>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40" w:type="dxa"/>
            <w:vAlign w:val="bottom"/>
          </w:tcPr>
          <w:p>
            <w:pPr>
              <w:spacing w:after="0"/>
              <w:rPr>
                <w:sz w:val="8"/>
                <w:szCs w:val="8"/>
                <w:color w:val="auto"/>
              </w:rPr>
            </w:pPr>
          </w:p>
        </w:tc>
        <w:tc>
          <w:tcPr>
            <w:tcW w:w="120" w:type="dxa"/>
            <w:vAlign w:val="bottom"/>
          </w:tcPr>
          <w:p>
            <w:pPr>
              <w:spacing w:after="0"/>
              <w:rPr>
                <w:sz w:val="8"/>
                <w:szCs w:val="8"/>
                <w:color w:val="auto"/>
              </w:rPr>
            </w:pPr>
          </w:p>
        </w:tc>
        <w:tc>
          <w:tcPr>
            <w:tcW w:w="40" w:type="dxa"/>
            <w:vAlign w:val="bottom"/>
          </w:tcPr>
          <w:p>
            <w:pPr>
              <w:spacing w:after="0"/>
              <w:rPr>
                <w:sz w:val="8"/>
                <w:szCs w:val="8"/>
                <w:color w:val="auto"/>
              </w:rPr>
            </w:pPr>
          </w:p>
        </w:tc>
        <w:tc>
          <w:tcPr>
            <w:tcW w:w="100" w:type="dxa"/>
            <w:vAlign w:val="bottom"/>
          </w:tcPr>
          <w:p>
            <w:pPr>
              <w:spacing w:after="0"/>
              <w:rPr>
                <w:sz w:val="8"/>
                <w:szCs w:val="8"/>
                <w:color w:val="auto"/>
              </w:rPr>
            </w:pPr>
          </w:p>
        </w:tc>
        <w:tc>
          <w:tcPr>
            <w:tcW w:w="100" w:type="dxa"/>
            <w:vAlign w:val="bottom"/>
          </w:tcPr>
          <w:p>
            <w:pPr>
              <w:spacing w:after="0"/>
              <w:rPr>
                <w:sz w:val="8"/>
                <w:szCs w:val="8"/>
                <w:color w:val="auto"/>
              </w:rPr>
            </w:pPr>
          </w:p>
        </w:tc>
        <w:tc>
          <w:tcPr>
            <w:tcW w:w="2000" w:type="dxa"/>
            <w:vAlign w:val="bottom"/>
            <w:tcBorders>
              <w:right w:val="single" w:sz="8" w:color="auto"/>
            </w:tcBorders>
            <w:vMerge w:val="continue"/>
          </w:tcPr>
          <w:p>
            <w:pPr>
              <w:spacing w:after="0"/>
              <w:rPr>
                <w:sz w:val="8"/>
                <w:szCs w:val="8"/>
                <w:color w:val="auto"/>
              </w:rPr>
            </w:pPr>
          </w:p>
        </w:tc>
        <w:tc>
          <w:tcPr>
            <w:tcW w:w="15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32"/>
        </w:trPr>
        <w:tc>
          <w:tcPr>
            <w:tcW w:w="166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60" w:type="dxa"/>
            <w:vAlign w:val="bottom"/>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40" w:type="dxa"/>
            <w:vAlign w:val="bottom"/>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40" w:type="dxa"/>
            <w:vAlign w:val="bottom"/>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000" w:type="dxa"/>
            <w:vAlign w:val="bottom"/>
            <w:tcBorders>
              <w:right w:val="single" w:sz="8" w:color="auto"/>
            </w:tcBorders>
            <w:vMerge w:val="restart"/>
          </w:tcPr>
          <w:p>
            <w:pPr>
              <w:ind w:left="100"/>
              <w:spacing w:after="0"/>
              <w:rPr>
                <w:sz w:val="20"/>
                <w:szCs w:val="20"/>
                <w:color w:val="auto"/>
              </w:rPr>
            </w:pPr>
            <w:r>
              <w:rPr>
                <w:rFonts w:ascii="Arial" w:cs="Arial" w:eastAsia="Arial" w:hAnsi="Arial"/>
                <w:sz w:val="17"/>
                <w:szCs w:val="17"/>
                <w:color w:val="auto"/>
              </w:rPr>
              <w:t>only funded by experts</w:t>
            </w:r>
          </w:p>
        </w:tc>
        <w:tc>
          <w:tcPr>
            <w:tcW w:w="15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94"/>
        </w:trPr>
        <w:tc>
          <w:tcPr>
            <w:tcW w:w="166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80" w:type="dxa"/>
            <w:vAlign w:val="bottom"/>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40" w:type="dxa"/>
            <w:vAlign w:val="bottom"/>
          </w:tcPr>
          <w:p>
            <w:pPr>
              <w:spacing w:after="0"/>
              <w:rPr>
                <w:sz w:val="8"/>
                <w:szCs w:val="8"/>
                <w:color w:val="auto"/>
              </w:rPr>
            </w:pPr>
          </w:p>
        </w:tc>
        <w:tc>
          <w:tcPr>
            <w:tcW w:w="120" w:type="dxa"/>
            <w:vAlign w:val="bottom"/>
          </w:tcPr>
          <w:p>
            <w:pPr>
              <w:spacing w:after="0"/>
              <w:rPr>
                <w:sz w:val="8"/>
                <w:szCs w:val="8"/>
                <w:color w:val="auto"/>
              </w:rPr>
            </w:pPr>
          </w:p>
        </w:tc>
        <w:tc>
          <w:tcPr>
            <w:tcW w:w="40" w:type="dxa"/>
            <w:vAlign w:val="bottom"/>
          </w:tcPr>
          <w:p>
            <w:pPr>
              <w:spacing w:after="0"/>
              <w:rPr>
                <w:sz w:val="8"/>
                <w:szCs w:val="8"/>
                <w:color w:val="auto"/>
              </w:rPr>
            </w:pPr>
          </w:p>
        </w:tc>
        <w:tc>
          <w:tcPr>
            <w:tcW w:w="100" w:type="dxa"/>
            <w:vAlign w:val="bottom"/>
          </w:tcPr>
          <w:p>
            <w:pPr>
              <w:spacing w:after="0"/>
              <w:rPr>
                <w:sz w:val="8"/>
                <w:szCs w:val="8"/>
                <w:color w:val="auto"/>
              </w:rPr>
            </w:pPr>
          </w:p>
        </w:tc>
        <w:tc>
          <w:tcPr>
            <w:tcW w:w="100" w:type="dxa"/>
            <w:vAlign w:val="bottom"/>
          </w:tcPr>
          <w:p>
            <w:pPr>
              <w:spacing w:after="0"/>
              <w:rPr>
                <w:sz w:val="8"/>
                <w:szCs w:val="8"/>
                <w:color w:val="auto"/>
              </w:rPr>
            </w:pPr>
          </w:p>
        </w:tc>
        <w:tc>
          <w:tcPr>
            <w:tcW w:w="2000" w:type="dxa"/>
            <w:vAlign w:val="bottom"/>
            <w:tcBorders>
              <w:right w:val="single" w:sz="8" w:color="auto"/>
            </w:tcBorders>
            <w:vMerge w:val="continue"/>
          </w:tcPr>
          <w:p>
            <w:pPr>
              <w:spacing w:after="0"/>
              <w:rPr>
                <w:sz w:val="8"/>
                <w:szCs w:val="8"/>
                <w:color w:val="auto"/>
              </w:rPr>
            </w:pPr>
          </w:p>
        </w:tc>
        <w:tc>
          <w:tcPr>
            <w:tcW w:w="15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42"/>
        </w:trPr>
        <w:tc>
          <w:tcPr>
            <w:tcW w:w="1660" w:type="dxa"/>
            <w:vAlign w:val="bottom"/>
            <w:tcBorders>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2100" w:type="dxa"/>
            <w:vAlign w:val="bottom"/>
            <w:tcBorders>
              <w:bottom w:val="single" w:sz="8" w:color="auto"/>
              <w:right w:val="single" w:sz="8" w:color="auto"/>
            </w:tcBorders>
            <w:gridSpan w:val="2"/>
          </w:tcPr>
          <w:p>
            <w:pPr>
              <w:spacing w:after="0"/>
              <w:rPr>
                <w:sz w:val="3"/>
                <w:szCs w:val="3"/>
                <w:color w:val="auto"/>
              </w:rPr>
            </w:pPr>
          </w:p>
        </w:tc>
        <w:tc>
          <w:tcPr>
            <w:tcW w:w="15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28"/>
        </w:trPr>
        <w:tc>
          <w:tcPr>
            <w:tcW w:w="4380" w:type="dxa"/>
            <w:vAlign w:val="bottom"/>
            <w:gridSpan w:val="11"/>
          </w:tcPr>
          <w:p>
            <w:pPr>
              <w:jc w:val="right"/>
              <w:ind w:right="1473"/>
              <w:spacing w:after="0"/>
              <w:rPr>
                <w:sz w:val="20"/>
                <w:szCs w:val="20"/>
                <w:color w:val="auto"/>
              </w:rPr>
            </w:pPr>
            <w:r>
              <w:rPr>
                <w:rFonts w:ascii="Arial" w:cs="Arial" w:eastAsia="Arial" w:hAnsi="Arial"/>
                <w:sz w:val="14"/>
                <w:szCs w:val="14"/>
                <w:color w:val="auto"/>
              </w:rPr>
              <w:t>kernel = epanechnikov, bandwidth = 27.6448</w:t>
            </w:r>
          </w:p>
        </w:tc>
        <w:tc>
          <w:tcPr>
            <w:tcW w:w="152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37</w:t>
      </w:r>
    </w:p>
    <w:p>
      <w:pPr>
        <w:sectPr>
          <w:pgSz w:w="12240" w:h="15840" w:orient="portrait"/>
          <w:cols w:equalWidth="0" w:num="1">
            <w:col w:w="9360"/>
          </w:cols>
          <w:pgMar w:left="1440" w:top="1431" w:right="1440" w:bottom="474" w:gutter="0" w:footer="0" w:header="0"/>
        </w:sectPr>
      </w:pPr>
    </w:p>
    <w:bookmarkStart w:id="38" w:name="page39"/>
    <w:bookmarkEnd w:id="38"/>
    <w:p>
      <w:pPr>
        <w:spacing w:after="0" w:line="283" w:lineRule="exact"/>
        <w:rPr>
          <w:sz w:val="20"/>
          <w:szCs w:val="20"/>
          <w:color w:val="auto"/>
        </w:rPr>
      </w:pPr>
    </w:p>
    <w:p>
      <w:pPr>
        <w:jc w:val="center"/>
        <w:ind w:right="180"/>
        <w:spacing w:after="0"/>
        <w:rPr>
          <w:sz w:val="20"/>
          <w:szCs w:val="20"/>
          <w:color w:val="auto"/>
        </w:rPr>
      </w:pPr>
      <w:r>
        <w:rPr>
          <w:rFonts w:ascii="Calibri" w:cs="Calibri" w:eastAsia="Calibri" w:hAnsi="Calibri"/>
          <w:sz w:val="28"/>
          <w:szCs w:val="28"/>
          <w:b w:val="1"/>
          <w:bCs w:val="1"/>
          <w:color w:val="auto"/>
        </w:rPr>
        <w:t>Table 1</w:t>
      </w:r>
    </w:p>
    <w:p>
      <w:pPr>
        <w:spacing w:after="0" w:line="18" w:lineRule="exact"/>
        <w:rPr>
          <w:sz w:val="20"/>
          <w:szCs w:val="20"/>
          <w:color w:val="auto"/>
        </w:rPr>
      </w:pPr>
    </w:p>
    <w:p>
      <w:pPr>
        <w:jc w:val="center"/>
        <w:ind w:right="180"/>
        <w:spacing w:after="0"/>
        <w:rPr>
          <w:sz w:val="20"/>
          <w:szCs w:val="20"/>
          <w:color w:val="auto"/>
        </w:rPr>
      </w:pPr>
      <w:r>
        <w:rPr>
          <w:rFonts w:ascii="Calibri" w:cs="Calibri" w:eastAsia="Calibri" w:hAnsi="Calibri"/>
          <w:sz w:val="28"/>
          <w:szCs w:val="28"/>
          <w:b w:val="1"/>
          <w:bCs w:val="1"/>
          <w:color w:val="auto"/>
        </w:rPr>
        <w:t>Descriptive Statistics on Projects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580390</wp:posOffset>
                </wp:positionV>
                <wp:extent cx="6059170"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591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5.7pt" to="477.1pt,45.7pt" o:allowincell="f" strokecolor="#000000" strokeweight="0.47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tbl>
      <w:tblPr>
        <w:tblLayout w:type="fixed"/>
        <w:tblInd w:w="0" w:type="dxa"/>
        <w:tblCellMar>
          <w:top w:w="0" w:type="dxa"/>
          <w:left w:w="0" w:type="dxa"/>
          <w:bottom w:w="0" w:type="dxa"/>
          <w:right w:w="0" w:type="dxa"/>
        </w:tblCellMar>
      </w:tblPr>
      <w:tr>
        <w:trPr>
          <w:trHeight w:val="269"/>
        </w:trPr>
        <w:tc>
          <w:tcPr>
            <w:tcW w:w="4380" w:type="dxa"/>
            <w:vAlign w:val="bottom"/>
          </w:tcPr>
          <w:p>
            <w:pPr>
              <w:spacing w:after="0"/>
              <w:rPr>
                <w:sz w:val="23"/>
                <w:szCs w:val="23"/>
                <w:color w:val="auto"/>
              </w:rPr>
            </w:pPr>
          </w:p>
        </w:tc>
        <w:tc>
          <w:tcPr>
            <w:tcW w:w="1080" w:type="dxa"/>
            <w:vAlign w:val="bottom"/>
          </w:tcPr>
          <w:p>
            <w:pPr>
              <w:spacing w:after="0"/>
              <w:rPr>
                <w:sz w:val="23"/>
                <w:szCs w:val="23"/>
                <w:color w:val="auto"/>
              </w:rPr>
            </w:pPr>
          </w:p>
        </w:tc>
        <w:tc>
          <w:tcPr>
            <w:tcW w:w="1460" w:type="dxa"/>
            <w:vAlign w:val="bottom"/>
          </w:tcPr>
          <w:p>
            <w:pPr>
              <w:jc w:val="center"/>
              <w:ind w:left="10"/>
              <w:spacing w:after="0"/>
              <w:rPr>
                <w:sz w:val="20"/>
                <w:szCs w:val="20"/>
                <w:color w:val="auto"/>
              </w:rPr>
            </w:pPr>
            <w:r>
              <w:rPr>
                <w:rFonts w:ascii="Calibri" w:cs="Calibri" w:eastAsia="Calibri" w:hAnsi="Calibri"/>
                <w:sz w:val="22"/>
                <w:szCs w:val="22"/>
                <w:color w:val="auto"/>
              </w:rPr>
              <w:t>Reached or</w:t>
            </w:r>
          </w:p>
        </w:tc>
        <w:tc>
          <w:tcPr>
            <w:tcW w:w="1380" w:type="dxa"/>
            <w:vAlign w:val="bottom"/>
          </w:tcPr>
          <w:p>
            <w:pPr>
              <w:jc w:val="center"/>
              <w:spacing w:after="0"/>
              <w:rPr>
                <w:sz w:val="20"/>
                <w:szCs w:val="20"/>
                <w:color w:val="auto"/>
              </w:rPr>
            </w:pPr>
            <w:r>
              <w:rPr>
                <w:rFonts w:ascii="Calibri" w:cs="Calibri" w:eastAsia="Calibri" w:hAnsi="Calibri"/>
                <w:sz w:val="22"/>
                <w:szCs w:val="22"/>
                <w:color w:val="auto"/>
              </w:rPr>
              <w:t>Did not</w:t>
            </w:r>
          </w:p>
        </w:tc>
        <w:tc>
          <w:tcPr>
            <w:tcW w:w="1240" w:type="dxa"/>
            <w:vAlign w:val="bottom"/>
          </w:tcPr>
          <w:p>
            <w:pPr>
              <w:spacing w:after="0"/>
              <w:rPr>
                <w:sz w:val="23"/>
                <w:szCs w:val="23"/>
                <w:color w:val="auto"/>
              </w:rPr>
            </w:pPr>
          </w:p>
        </w:tc>
      </w:tr>
      <w:tr>
        <w:trPr>
          <w:trHeight w:val="266"/>
        </w:trPr>
        <w:tc>
          <w:tcPr>
            <w:tcW w:w="4380" w:type="dxa"/>
            <w:vAlign w:val="bottom"/>
          </w:tcPr>
          <w:p>
            <w:pPr>
              <w:spacing w:after="0"/>
              <w:rPr>
                <w:sz w:val="23"/>
                <w:szCs w:val="23"/>
                <w:color w:val="auto"/>
              </w:rPr>
            </w:pPr>
          </w:p>
        </w:tc>
        <w:tc>
          <w:tcPr>
            <w:tcW w:w="1080" w:type="dxa"/>
            <w:vAlign w:val="bottom"/>
          </w:tcPr>
          <w:p>
            <w:pPr>
              <w:spacing w:after="0"/>
              <w:rPr>
                <w:sz w:val="23"/>
                <w:szCs w:val="23"/>
                <w:color w:val="auto"/>
              </w:rPr>
            </w:pPr>
          </w:p>
        </w:tc>
        <w:tc>
          <w:tcPr>
            <w:tcW w:w="1460" w:type="dxa"/>
            <w:vAlign w:val="bottom"/>
          </w:tcPr>
          <w:p>
            <w:pPr>
              <w:jc w:val="center"/>
              <w:ind w:left="10"/>
              <w:spacing w:after="0" w:line="267" w:lineRule="exact"/>
              <w:rPr>
                <w:sz w:val="20"/>
                <w:szCs w:val="20"/>
                <w:color w:val="auto"/>
              </w:rPr>
            </w:pPr>
            <w:r>
              <w:rPr>
                <w:rFonts w:ascii="Calibri" w:cs="Calibri" w:eastAsia="Calibri" w:hAnsi="Calibri"/>
                <w:sz w:val="22"/>
                <w:szCs w:val="22"/>
                <w:color w:val="auto"/>
              </w:rPr>
              <w:t>exceeded</w:t>
            </w:r>
          </w:p>
        </w:tc>
        <w:tc>
          <w:tcPr>
            <w:tcW w:w="1380" w:type="dxa"/>
            <w:vAlign w:val="bottom"/>
          </w:tcPr>
          <w:p>
            <w:pPr>
              <w:jc w:val="center"/>
              <w:spacing w:after="0" w:line="267" w:lineRule="exact"/>
              <w:rPr>
                <w:sz w:val="20"/>
                <w:szCs w:val="20"/>
                <w:color w:val="auto"/>
              </w:rPr>
            </w:pPr>
            <w:r>
              <w:rPr>
                <w:rFonts w:ascii="Calibri" w:cs="Calibri" w:eastAsia="Calibri" w:hAnsi="Calibri"/>
                <w:sz w:val="22"/>
                <w:szCs w:val="22"/>
                <w:color w:val="auto"/>
                <w:w w:val="99"/>
              </w:rPr>
              <w:t>reach</w:t>
            </w:r>
          </w:p>
        </w:tc>
        <w:tc>
          <w:tcPr>
            <w:tcW w:w="1240" w:type="dxa"/>
            <w:vAlign w:val="bottom"/>
          </w:tcPr>
          <w:p>
            <w:pPr>
              <w:spacing w:after="0"/>
              <w:rPr>
                <w:sz w:val="23"/>
                <w:szCs w:val="23"/>
                <w:color w:val="auto"/>
              </w:rPr>
            </w:pPr>
          </w:p>
        </w:tc>
      </w:tr>
      <w:tr>
        <w:trPr>
          <w:trHeight w:val="269"/>
        </w:trPr>
        <w:tc>
          <w:tcPr>
            <w:tcW w:w="4380" w:type="dxa"/>
            <w:vAlign w:val="bottom"/>
          </w:tcPr>
          <w:p>
            <w:pPr>
              <w:spacing w:after="0"/>
              <w:rPr>
                <w:sz w:val="23"/>
                <w:szCs w:val="23"/>
                <w:color w:val="auto"/>
              </w:rPr>
            </w:pPr>
          </w:p>
        </w:tc>
        <w:tc>
          <w:tcPr>
            <w:tcW w:w="1080" w:type="dxa"/>
            <w:vAlign w:val="bottom"/>
          </w:tcPr>
          <w:p>
            <w:pPr>
              <w:spacing w:after="0"/>
              <w:rPr>
                <w:sz w:val="23"/>
                <w:szCs w:val="23"/>
                <w:color w:val="auto"/>
              </w:rPr>
            </w:pPr>
          </w:p>
        </w:tc>
        <w:tc>
          <w:tcPr>
            <w:tcW w:w="1460" w:type="dxa"/>
            <w:vAlign w:val="bottom"/>
          </w:tcPr>
          <w:p>
            <w:pPr>
              <w:jc w:val="center"/>
              <w:ind w:left="30"/>
              <w:spacing w:after="0"/>
              <w:rPr>
                <w:sz w:val="20"/>
                <w:szCs w:val="20"/>
                <w:color w:val="auto"/>
              </w:rPr>
            </w:pPr>
            <w:r>
              <w:rPr>
                <w:rFonts w:ascii="Calibri" w:cs="Calibri" w:eastAsia="Calibri" w:hAnsi="Calibri"/>
                <w:sz w:val="22"/>
                <w:szCs w:val="22"/>
                <w:color w:val="auto"/>
              </w:rPr>
              <w:t>funding goal</w:t>
            </w:r>
          </w:p>
        </w:tc>
        <w:tc>
          <w:tcPr>
            <w:tcW w:w="1380" w:type="dxa"/>
            <w:vAlign w:val="bottom"/>
          </w:tcPr>
          <w:p>
            <w:pPr>
              <w:jc w:val="center"/>
              <w:spacing w:after="0"/>
              <w:rPr>
                <w:sz w:val="20"/>
                <w:szCs w:val="20"/>
                <w:color w:val="auto"/>
              </w:rPr>
            </w:pPr>
            <w:r>
              <w:rPr>
                <w:rFonts w:ascii="Calibri" w:cs="Calibri" w:eastAsia="Calibri" w:hAnsi="Calibri"/>
                <w:sz w:val="22"/>
                <w:szCs w:val="22"/>
                <w:color w:val="auto"/>
              </w:rPr>
              <w:t>funding goal</w:t>
            </w:r>
          </w:p>
        </w:tc>
        <w:tc>
          <w:tcPr>
            <w:tcW w:w="1240" w:type="dxa"/>
            <w:vAlign w:val="bottom"/>
          </w:tcPr>
          <w:p>
            <w:pPr>
              <w:spacing w:after="0"/>
              <w:rPr>
                <w:sz w:val="23"/>
                <w:szCs w:val="23"/>
                <w:color w:val="auto"/>
              </w:rPr>
            </w:pPr>
          </w:p>
        </w:tc>
      </w:tr>
      <w:tr>
        <w:trPr>
          <w:trHeight w:val="269"/>
        </w:trPr>
        <w:tc>
          <w:tcPr>
            <w:tcW w:w="4380" w:type="dxa"/>
            <w:vAlign w:val="bottom"/>
          </w:tcPr>
          <w:p>
            <w:pPr>
              <w:spacing w:after="0"/>
              <w:rPr>
                <w:sz w:val="23"/>
                <w:szCs w:val="23"/>
                <w:color w:val="auto"/>
              </w:rPr>
            </w:pPr>
          </w:p>
        </w:tc>
        <w:tc>
          <w:tcPr>
            <w:tcW w:w="1080" w:type="dxa"/>
            <w:vAlign w:val="bottom"/>
          </w:tcPr>
          <w:p>
            <w:pPr>
              <w:spacing w:after="0"/>
              <w:rPr>
                <w:sz w:val="23"/>
                <w:szCs w:val="23"/>
                <w:color w:val="auto"/>
              </w:rPr>
            </w:pPr>
          </w:p>
        </w:tc>
        <w:tc>
          <w:tcPr>
            <w:tcW w:w="1460" w:type="dxa"/>
            <w:vAlign w:val="bottom"/>
          </w:tcPr>
          <w:p>
            <w:pPr>
              <w:jc w:val="center"/>
              <w:ind w:left="30"/>
              <w:spacing w:after="0"/>
              <w:rPr>
                <w:sz w:val="20"/>
                <w:szCs w:val="20"/>
                <w:color w:val="auto"/>
              </w:rPr>
            </w:pPr>
            <w:r>
              <w:rPr>
                <w:rFonts w:ascii="Calibri" w:cs="Calibri" w:eastAsia="Calibri" w:hAnsi="Calibri"/>
                <w:sz w:val="22"/>
                <w:szCs w:val="22"/>
                <w:color w:val="auto"/>
              </w:rPr>
              <w:t>on</w:t>
            </w:r>
          </w:p>
        </w:tc>
        <w:tc>
          <w:tcPr>
            <w:tcW w:w="1380" w:type="dxa"/>
            <w:vAlign w:val="bottom"/>
          </w:tcPr>
          <w:p>
            <w:pPr>
              <w:jc w:val="center"/>
              <w:spacing w:after="0"/>
              <w:rPr>
                <w:sz w:val="20"/>
                <w:szCs w:val="20"/>
                <w:color w:val="auto"/>
              </w:rPr>
            </w:pPr>
            <w:r>
              <w:rPr>
                <w:rFonts w:ascii="Calibri" w:cs="Calibri" w:eastAsia="Calibri" w:hAnsi="Calibri"/>
                <w:sz w:val="22"/>
                <w:szCs w:val="22"/>
                <w:color w:val="auto"/>
              </w:rPr>
              <w:t>on</w:t>
            </w:r>
          </w:p>
        </w:tc>
        <w:tc>
          <w:tcPr>
            <w:tcW w:w="1240" w:type="dxa"/>
            <w:vAlign w:val="bottom"/>
          </w:tcPr>
          <w:p>
            <w:pPr>
              <w:jc w:val="center"/>
              <w:spacing w:after="0"/>
              <w:rPr>
                <w:sz w:val="20"/>
                <w:szCs w:val="20"/>
                <w:color w:val="auto"/>
              </w:rPr>
            </w:pPr>
            <w:r>
              <w:rPr>
                <w:rFonts w:ascii="Calibri" w:cs="Calibri" w:eastAsia="Calibri" w:hAnsi="Calibri"/>
                <w:sz w:val="22"/>
                <w:szCs w:val="22"/>
                <w:color w:val="auto"/>
                <w:w w:val="99"/>
              </w:rPr>
              <w:t>T-test for</w:t>
            </w:r>
          </w:p>
        </w:tc>
      </w:tr>
      <w:tr>
        <w:trPr>
          <w:trHeight w:val="273"/>
        </w:trPr>
        <w:tc>
          <w:tcPr>
            <w:tcW w:w="4380" w:type="dxa"/>
            <w:vAlign w:val="bottom"/>
            <w:tcBorders>
              <w:bottom w:val="single" w:sz="8" w:color="auto"/>
            </w:tcBorders>
          </w:tcPr>
          <w:p>
            <w:pPr>
              <w:spacing w:after="0"/>
              <w:rPr>
                <w:sz w:val="23"/>
                <w:szCs w:val="23"/>
                <w:color w:val="auto"/>
              </w:rPr>
            </w:pPr>
          </w:p>
        </w:tc>
        <w:tc>
          <w:tcPr>
            <w:tcW w:w="1080" w:type="dxa"/>
            <w:vAlign w:val="bottom"/>
            <w:tcBorders>
              <w:bottom w:val="single" w:sz="8" w:color="auto"/>
            </w:tcBorders>
          </w:tcPr>
          <w:p>
            <w:pPr>
              <w:ind w:left="500"/>
              <w:spacing w:after="0"/>
              <w:rPr>
                <w:sz w:val="20"/>
                <w:szCs w:val="20"/>
                <w:color w:val="auto"/>
              </w:rPr>
            </w:pPr>
            <w:r>
              <w:rPr>
                <w:rFonts w:ascii="Calibri" w:cs="Calibri" w:eastAsia="Calibri" w:hAnsi="Calibri"/>
                <w:sz w:val="22"/>
                <w:szCs w:val="22"/>
                <w:color w:val="auto"/>
              </w:rPr>
              <w:t>All</w:t>
            </w:r>
          </w:p>
        </w:tc>
        <w:tc>
          <w:tcPr>
            <w:tcW w:w="1460" w:type="dxa"/>
            <w:vAlign w:val="bottom"/>
            <w:tcBorders>
              <w:bottom w:val="single" w:sz="8" w:color="auto"/>
            </w:tcBorders>
          </w:tcPr>
          <w:p>
            <w:pPr>
              <w:jc w:val="center"/>
              <w:ind w:left="30"/>
              <w:spacing w:after="0"/>
              <w:rPr>
                <w:sz w:val="20"/>
                <w:szCs w:val="20"/>
                <w:color w:val="auto"/>
              </w:rPr>
            </w:pPr>
            <w:r>
              <w:rPr>
                <w:rFonts w:ascii="Calibri" w:cs="Calibri" w:eastAsia="Calibri" w:hAnsi="Calibri"/>
                <w:sz w:val="22"/>
                <w:szCs w:val="22"/>
                <w:color w:val="auto"/>
                <w:w w:val="99"/>
              </w:rPr>
              <w:t>Kickstarter</w:t>
            </w:r>
          </w:p>
        </w:tc>
        <w:tc>
          <w:tcPr>
            <w:tcW w:w="1380" w:type="dxa"/>
            <w:vAlign w:val="bottom"/>
            <w:tcBorders>
              <w:bottom w:val="single" w:sz="8" w:color="auto"/>
            </w:tcBorders>
          </w:tcPr>
          <w:p>
            <w:pPr>
              <w:jc w:val="center"/>
              <w:spacing w:after="0"/>
              <w:rPr>
                <w:sz w:val="20"/>
                <w:szCs w:val="20"/>
                <w:color w:val="auto"/>
              </w:rPr>
            </w:pPr>
            <w:r>
              <w:rPr>
                <w:rFonts w:ascii="Calibri" w:cs="Calibri" w:eastAsia="Calibri" w:hAnsi="Calibri"/>
                <w:sz w:val="22"/>
                <w:szCs w:val="22"/>
                <w:color w:val="auto"/>
                <w:w w:val="99"/>
              </w:rPr>
              <w:t>Kickstarter</w:t>
            </w:r>
          </w:p>
        </w:tc>
        <w:tc>
          <w:tcPr>
            <w:tcW w:w="1240" w:type="dxa"/>
            <w:vAlign w:val="bottom"/>
            <w:tcBorders>
              <w:bottom w:val="single" w:sz="8" w:color="auto"/>
            </w:tcBorders>
          </w:tcPr>
          <w:p>
            <w:pPr>
              <w:jc w:val="center"/>
              <w:spacing w:after="0"/>
              <w:rPr>
                <w:sz w:val="20"/>
                <w:szCs w:val="20"/>
                <w:color w:val="auto"/>
              </w:rPr>
            </w:pPr>
            <w:r>
              <w:rPr>
                <w:rFonts w:ascii="Calibri" w:cs="Calibri" w:eastAsia="Calibri" w:hAnsi="Calibri"/>
                <w:sz w:val="22"/>
                <w:szCs w:val="22"/>
                <w:color w:val="auto"/>
                <w:w w:val="98"/>
              </w:rPr>
              <w:t>difference</w:t>
            </w:r>
          </w:p>
        </w:tc>
      </w:tr>
      <w:tr>
        <w:trPr>
          <w:trHeight w:val="273"/>
        </w:trPr>
        <w:tc>
          <w:tcPr>
            <w:tcW w:w="4380" w:type="dxa"/>
            <w:vAlign w:val="bottom"/>
          </w:tcPr>
          <w:p>
            <w:pPr>
              <w:ind w:left="100"/>
              <w:spacing w:after="0"/>
              <w:rPr>
                <w:sz w:val="20"/>
                <w:szCs w:val="20"/>
                <w:color w:val="auto"/>
              </w:rPr>
            </w:pPr>
            <w:r>
              <w:rPr>
                <w:rFonts w:ascii="Calibri" w:cs="Calibri" w:eastAsia="Calibri" w:hAnsi="Calibri"/>
                <w:sz w:val="22"/>
                <w:szCs w:val="22"/>
                <w:color w:val="auto"/>
              </w:rPr>
              <w:t>Number of projects</w:t>
            </w:r>
          </w:p>
        </w:tc>
        <w:tc>
          <w:tcPr>
            <w:tcW w:w="1080" w:type="dxa"/>
            <w:vAlign w:val="bottom"/>
          </w:tcPr>
          <w:p>
            <w:pPr>
              <w:jc w:val="center"/>
              <w:ind w:left="30"/>
              <w:spacing w:after="0"/>
              <w:rPr>
                <w:sz w:val="20"/>
                <w:szCs w:val="20"/>
                <w:color w:val="auto"/>
              </w:rPr>
            </w:pPr>
            <w:r>
              <w:rPr>
                <w:rFonts w:ascii="Calibri" w:cs="Calibri" w:eastAsia="Calibri" w:hAnsi="Calibri"/>
                <w:sz w:val="22"/>
                <w:szCs w:val="22"/>
                <w:color w:val="auto"/>
              </w:rPr>
              <w:t>120</w:t>
            </w:r>
          </w:p>
        </w:tc>
        <w:tc>
          <w:tcPr>
            <w:tcW w:w="1460" w:type="dxa"/>
            <w:vAlign w:val="bottom"/>
          </w:tcPr>
          <w:p>
            <w:pPr>
              <w:jc w:val="center"/>
              <w:ind w:left="30"/>
              <w:spacing w:after="0"/>
              <w:rPr>
                <w:sz w:val="20"/>
                <w:szCs w:val="20"/>
                <w:color w:val="auto"/>
              </w:rPr>
            </w:pPr>
            <w:r>
              <w:rPr>
                <w:rFonts w:ascii="Calibri" w:cs="Calibri" w:eastAsia="Calibri" w:hAnsi="Calibri"/>
                <w:sz w:val="22"/>
                <w:szCs w:val="22"/>
                <w:color w:val="auto"/>
              </w:rPr>
              <w:t>60</w:t>
            </w:r>
          </w:p>
        </w:tc>
        <w:tc>
          <w:tcPr>
            <w:tcW w:w="1380" w:type="dxa"/>
            <w:vAlign w:val="bottom"/>
          </w:tcPr>
          <w:p>
            <w:pPr>
              <w:jc w:val="center"/>
              <w:spacing w:after="0"/>
              <w:rPr>
                <w:sz w:val="20"/>
                <w:szCs w:val="20"/>
                <w:color w:val="auto"/>
              </w:rPr>
            </w:pPr>
            <w:r>
              <w:rPr>
                <w:rFonts w:ascii="Calibri" w:cs="Calibri" w:eastAsia="Calibri" w:hAnsi="Calibri"/>
                <w:sz w:val="22"/>
                <w:szCs w:val="22"/>
                <w:color w:val="auto"/>
                <w:w w:val="98"/>
              </w:rPr>
              <w:t>60</w:t>
            </w:r>
          </w:p>
        </w:tc>
        <w:tc>
          <w:tcPr>
            <w:tcW w:w="1240" w:type="dxa"/>
            <w:vAlign w:val="bottom"/>
          </w:tcPr>
          <w:p>
            <w:pPr>
              <w:spacing w:after="0"/>
              <w:rPr>
                <w:sz w:val="23"/>
                <w:szCs w:val="23"/>
                <w:color w:val="auto"/>
              </w:rPr>
            </w:pPr>
          </w:p>
        </w:tc>
      </w:tr>
      <w:tr>
        <w:trPr>
          <w:trHeight w:val="289"/>
        </w:trPr>
        <w:tc>
          <w:tcPr>
            <w:tcW w:w="4380" w:type="dxa"/>
            <w:vAlign w:val="bottom"/>
          </w:tcPr>
          <w:p>
            <w:pPr>
              <w:ind w:left="100"/>
              <w:spacing w:after="0"/>
              <w:rPr>
                <w:sz w:val="20"/>
                <w:szCs w:val="20"/>
                <w:color w:val="auto"/>
              </w:rPr>
            </w:pPr>
            <w:r>
              <w:rPr>
                <w:rFonts w:ascii="Calibri" w:cs="Calibri" w:eastAsia="Calibri" w:hAnsi="Calibri"/>
                <w:sz w:val="22"/>
                <w:szCs w:val="22"/>
                <w:color w:val="auto"/>
              </w:rPr>
              <w:t>Number of evaluations from judges</w:t>
            </w:r>
          </w:p>
        </w:tc>
        <w:tc>
          <w:tcPr>
            <w:tcW w:w="1080" w:type="dxa"/>
            <w:vAlign w:val="bottom"/>
          </w:tcPr>
          <w:p>
            <w:pPr>
              <w:jc w:val="center"/>
              <w:ind w:left="30"/>
              <w:spacing w:after="0"/>
              <w:rPr>
                <w:sz w:val="20"/>
                <w:szCs w:val="20"/>
                <w:color w:val="auto"/>
              </w:rPr>
            </w:pPr>
            <w:r>
              <w:rPr>
                <w:rFonts w:ascii="Calibri" w:cs="Calibri" w:eastAsia="Calibri" w:hAnsi="Calibri"/>
                <w:sz w:val="22"/>
                <w:szCs w:val="22"/>
                <w:color w:val="auto"/>
              </w:rPr>
              <w:t>180</w:t>
            </w:r>
          </w:p>
        </w:tc>
        <w:tc>
          <w:tcPr>
            <w:tcW w:w="1460" w:type="dxa"/>
            <w:vAlign w:val="bottom"/>
          </w:tcPr>
          <w:p>
            <w:pPr>
              <w:jc w:val="center"/>
              <w:ind w:left="30"/>
              <w:spacing w:after="0"/>
              <w:rPr>
                <w:sz w:val="20"/>
                <w:szCs w:val="20"/>
                <w:color w:val="auto"/>
              </w:rPr>
            </w:pPr>
            <w:r>
              <w:rPr>
                <w:rFonts w:ascii="Calibri" w:cs="Calibri" w:eastAsia="Calibri" w:hAnsi="Calibri"/>
                <w:sz w:val="22"/>
                <w:szCs w:val="22"/>
                <w:color w:val="auto"/>
              </w:rPr>
              <w:t>90</w:t>
            </w:r>
          </w:p>
        </w:tc>
        <w:tc>
          <w:tcPr>
            <w:tcW w:w="1380" w:type="dxa"/>
            <w:vAlign w:val="bottom"/>
          </w:tcPr>
          <w:p>
            <w:pPr>
              <w:jc w:val="center"/>
              <w:spacing w:after="0"/>
              <w:rPr>
                <w:sz w:val="20"/>
                <w:szCs w:val="20"/>
                <w:color w:val="auto"/>
              </w:rPr>
            </w:pPr>
            <w:r>
              <w:rPr>
                <w:rFonts w:ascii="Calibri" w:cs="Calibri" w:eastAsia="Calibri" w:hAnsi="Calibri"/>
                <w:sz w:val="22"/>
                <w:szCs w:val="22"/>
                <w:color w:val="auto"/>
                <w:w w:val="98"/>
              </w:rPr>
              <w:t>90</w:t>
            </w:r>
          </w:p>
        </w:tc>
        <w:tc>
          <w:tcPr>
            <w:tcW w:w="1240" w:type="dxa"/>
            <w:vAlign w:val="bottom"/>
          </w:tcPr>
          <w:p>
            <w:pPr>
              <w:spacing w:after="0"/>
              <w:rPr>
                <w:sz w:val="24"/>
                <w:szCs w:val="24"/>
                <w:color w:val="auto"/>
              </w:rPr>
            </w:pPr>
          </w:p>
        </w:tc>
      </w:tr>
      <w:tr>
        <w:trPr>
          <w:trHeight w:val="518"/>
        </w:trPr>
        <w:tc>
          <w:tcPr>
            <w:tcW w:w="4380" w:type="dxa"/>
            <w:vAlign w:val="bottom"/>
          </w:tcPr>
          <w:p>
            <w:pPr>
              <w:ind w:left="100"/>
              <w:spacing w:after="0"/>
              <w:rPr>
                <w:sz w:val="20"/>
                <w:szCs w:val="20"/>
                <w:color w:val="auto"/>
              </w:rPr>
            </w:pPr>
            <w:r>
              <w:rPr>
                <w:rFonts w:ascii="Calibri" w:cs="Calibri" w:eastAsia="Calibri" w:hAnsi="Calibri"/>
                <w:sz w:val="22"/>
                <w:szCs w:val="22"/>
                <w:color w:val="auto"/>
              </w:rPr>
              <w:t>Probability judge was familiar with project</w:t>
            </w:r>
          </w:p>
        </w:tc>
        <w:tc>
          <w:tcPr>
            <w:tcW w:w="1080" w:type="dxa"/>
            <w:vAlign w:val="bottom"/>
          </w:tcPr>
          <w:p>
            <w:pPr>
              <w:jc w:val="center"/>
              <w:ind w:left="50"/>
              <w:spacing w:after="0"/>
              <w:rPr>
                <w:sz w:val="20"/>
                <w:szCs w:val="20"/>
                <w:color w:val="auto"/>
              </w:rPr>
            </w:pPr>
            <w:r>
              <w:rPr>
                <w:rFonts w:ascii="Calibri" w:cs="Calibri" w:eastAsia="Calibri" w:hAnsi="Calibri"/>
                <w:sz w:val="22"/>
                <w:szCs w:val="22"/>
                <w:color w:val="auto"/>
              </w:rPr>
              <w:t>6.1%</w:t>
            </w:r>
          </w:p>
        </w:tc>
        <w:tc>
          <w:tcPr>
            <w:tcW w:w="1460" w:type="dxa"/>
            <w:vAlign w:val="bottom"/>
          </w:tcPr>
          <w:p>
            <w:pPr>
              <w:jc w:val="center"/>
              <w:ind w:left="30"/>
              <w:spacing w:after="0"/>
              <w:rPr>
                <w:sz w:val="20"/>
                <w:szCs w:val="20"/>
                <w:color w:val="auto"/>
              </w:rPr>
            </w:pPr>
            <w:r>
              <w:rPr>
                <w:rFonts w:ascii="Calibri" w:cs="Calibri" w:eastAsia="Calibri" w:hAnsi="Calibri"/>
                <w:sz w:val="22"/>
                <w:szCs w:val="22"/>
                <w:color w:val="auto"/>
              </w:rPr>
              <w:t>7.7%</w:t>
            </w:r>
          </w:p>
        </w:tc>
        <w:tc>
          <w:tcPr>
            <w:tcW w:w="1380" w:type="dxa"/>
            <w:vAlign w:val="bottom"/>
          </w:tcPr>
          <w:p>
            <w:pPr>
              <w:jc w:val="center"/>
              <w:spacing w:after="0"/>
              <w:rPr>
                <w:sz w:val="20"/>
                <w:szCs w:val="20"/>
                <w:color w:val="auto"/>
              </w:rPr>
            </w:pPr>
            <w:r>
              <w:rPr>
                <w:rFonts w:ascii="Calibri" w:cs="Calibri" w:eastAsia="Calibri" w:hAnsi="Calibri"/>
                <w:sz w:val="22"/>
                <w:szCs w:val="22"/>
                <w:color w:val="auto"/>
              </w:rPr>
              <w:t>4.4%</w:t>
            </w:r>
          </w:p>
        </w:tc>
        <w:tc>
          <w:tcPr>
            <w:tcW w:w="1240" w:type="dxa"/>
            <w:vAlign w:val="bottom"/>
          </w:tcPr>
          <w:p>
            <w:pPr>
              <w:jc w:val="center"/>
              <w:spacing w:after="0"/>
              <w:rPr>
                <w:sz w:val="20"/>
                <w:szCs w:val="20"/>
                <w:color w:val="auto"/>
              </w:rPr>
            </w:pPr>
            <w:r>
              <w:rPr>
                <w:rFonts w:ascii="Calibri" w:cs="Calibri" w:eastAsia="Calibri" w:hAnsi="Calibri"/>
                <w:sz w:val="22"/>
                <w:szCs w:val="22"/>
                <w:color w:val="auto"/>
                <w:w w:val="97"/>
              </w:rPr>
              <w:t>0.35</w:t>
            </w:r>
          </w:p>
        </w:tc>
      </w:tr>
      <w:tr>
        <w:trPr>
          <w:trHeight w:val="346"/>
        </w:trPr>
        <w:tc>
          <w:tcPr>
            <w:tcW w:w="4380" w:type="dxa"/>
            <w:vAlign w:val="bottom"/>
          </w:tcPr>
          <w:p>
            <w:pPr>
              <w:ind w:left="100"/>
              <w:spacing w:after="0"/>
              <w:rPr>
                <w:sz w:val="20"/>
                <w:szCs w:val="20"/>
                <w:color w:val="auto"/>
              </w:rPr>
            </w:pPr>
            <w:r>
              <w:rPr>
                <w:rFonts w:ascii="Calibri" w:cs="Calibri" w:eastAsia="Calibri" w:hAnsi="Calibri"/>
                <w:sz w:val="22"/>
                <w:szCs w:val="22"/>
                <w:color w:val="auto"/>
              </w:rPr>
              <w:t>Average Score</w:t>
            </w:r>
          </w:p>
        </w:tc>
        <w:tc>
          <w:tcPr>
            <w:tcW w:w="1080" w:type="dxa"/>
            <w:vAlign w:val="bottom"/>
          </w:tcPr>
          <w:p>
            <w:pPr>
              <w:jc w:val="center"/>
              <w:ind w:left="50"/>
              <w:spacing w:after="0"/>
              <w:rPr>
                <w:sz w:val="20"/>
                <w:szCs w:val="20"/>
                <w:color w:val="auto"/>
              </w:rPr>
            </w:pPr>
            <w:r>
              <w:rPr>
                <w:rFonts w:ascii="Calibri" w:cs="Calibri" w:eastAsia="Calibri" w:hAnsi="Calibri"/>
                <w:sz w:val="22"/>
                <w:szCs w:val="22"/>
                <w:color w:val="auto"/>
              </w:rPr>
              <w:t>3.0</w:t>
            </w:r>
          </w:p>
        </w:tc>
        <w:tc>
          <w:tcPr>
            <w:tcW w:w="1460" w:type="dxa"/>
            <w:vAlign w:val="bottom"/>
          </w:tcPr>
          <w:p>
            <w:pPr>
              <w:jc w:val="center"/>
              <w:ind w:left="30"/>
              <w:spacing w:after="0"/>
              <w:rPr>
                <w:sz w:val="20"/>
                <w:szCs w:val="20"/>
                <w:color w:val="auto"/>
              </w:rPr>
            </w:pPr>
            <w:r>
              <w:rPr>
                <w:rFonts w:ascii="Calibri" w:cs="Calibri" w:eastAsia="Calibri" w:hAnsi="Calibri"/>
                <w:sz w:val="22"/>
                <w:szCs w:val="22"/>
                <w:color w:val="auto"/>
              </w:rPr>
              <w:t>3.1</w:t>
            </w:r>
          </w:p>
        </w:tc>
        <w:tc>
          <w:tcPr>
            <w:tcW w:w="1380" w:type="dxa"/>
            <w:vAlign w:val="bottom"/>
          </w:tcPr>
          <w:p>
            <w:pPr>
              <w:jc w:val="center"/>
              <w:spacing w:after="0"/>
              <w:rPr>
                <w:sz w:val="20"/>
                <w:szCs w:val="20"/>
                <w:color w:val="auto"/>
              </w:rPr>
            </w:pPr>
            <w:r>
              <w:rPr>
                <w:rFonts w:ascii="Calibri" w:cs="Calibri" w:eastAsia="Calibri" w:hAnsi="Calibri"/>
                <w:sz w:val="22"/>
                <w:szCs w:val="22"/>
                <w:color w:val="auto"/>
              </w:rPr>
              <w:t>2.8</w:t>
            </w:r>
          </w:p>
        </w:tc>
        <w:tc>
          <w:tcPr>
            <w:tcW w:w="1240" w:type="dxa"/>
            <w:vAlign w:val="bottom"/>
          </w:tcPr>
          <w:p>
            <w:pPr>
              <w:jc w:val="center"/>
              <w:spacing w:after="0"/>
              <w:rPr>
                <w:sz w:val="20"/>
                <w:szCs w:val="20"/>
                <w:color w:val="auto"/>
              </w:rPr>
            </w:pPr>
            <w:r>
              <w:rPr>
                <w:rFonts w:ascii="Calibri" w:cs="Calibri" w:eastAsia="Calibri" w:hAnsi="Calibri"/>
                <w:sz w:val="22"/>
                <w:szCs w:val="22"/>
                <w:color w:val="auto"/>
              </w:rPr>
              <w:t>0.01 ***</w:t>
            </w:r>
          </w:p>
        </w:tc>
      </w:tr>
      <w:tr>
        <w:trPr>
          <w:trHeight w:val="288"/>
        </w:trPr>
        <w:tc>
          <w:tcPr>
            <w:tcW w:w="4380" w:type="dxa"/>
            <w:vAlign w:val="bottom"/>
          </w:tcPr>
          <w:p>
            <w:pPr>
              <w:ind w:left="320"/>
              <w:spacing w:after="0"/>
              <w:rPr>
                <w:sz w:val="20"/>
                <w:szCs w:val="20"/>
                <w:color w:val="auto"/>
              </w:rPr>
            </w:pPr>
            <w:r>
              <w:rPr>
                <w:rFonts w:ascii="Calibri" w:cs="Calibri" w:eastAsia="Calibri" w:hAnsi="Calibri"/>
                <w:sz w:val="22"/>
                <w:szCs w:val="22"/>
                <w:color w:val="auto"/>
              </w:rPr>
              <w:t>Average Novelty</w:t>
            </w:r>
          </w:p>
        </w:tc>
        <w:tc>
          <w:tcPr>
            <w:tcW w:w="1080" w:type="dxa"/>
            <w:vAlign w:val="bottom"/>
          </w:tcPr>
          <w:p>
            <w:pPr>
              <w:jc w:val="center"/>
              <w:ind w:left="50"/>
              <w:spacing w:after="0"/>
              <w:rPr>
                <w:sz w:val="20"/>
                <w:szCs w:val="20"/>
                <w:color w:val="auto"/>
              </w:rPr>
            </w:pPr>
            <w:r>
              <w:rPr>
                <w:rFonts w:ascii="Calibri" w:cs="Calibri" w:eastAsia="Calibri" w:hAnsi="Calibri"/>
                <w:sz w:val="22"/>
                <w:szCs w:val="22"/>
                <w:color w:val="auto"/>
              </w:rPr>
              <w:t>2.8</w:t>
            </w:r>
          </w:p>
        </w:tc>
        <w:tc>
          <w:tcPr>
            <w:tcW w:w="1460" w:type="dxa"/>
            <w:vAlign w:val="bottom"/>
          </w:tcPr>
          <w:p>
            <w:pPr>
              <w:jc w:val="center"/>
              <w:ind w:left="30"/>
              <w:spacing w:after="0"/>
              <w:rPr>
                <w:sz w:val="20"/>
                <w:szCs w:val="20"/>
                <w:color w:val="auto"/>
              </w:rPr>
            </w:pPr>
            <w:r>
              <w:rPr>
                <w:rFonts w:ascii="Calibri" w:cs="Calibri" w:eastAsia="Calibri" w:hAnsi="Calibri"/>
                <w:sz w:val="22"/>
                <w:szCs w:val="22"/>
                <w:color w:val="auto"/>
              </w:rPr>
              <w:t>3.0</w:t>
            </w:r>
          </w:p>
        </w:tc>
        <w:tc>
          <w:tcPr>
            <w:tcW w:w="1380" w:type="dxa"/>
            <w:vAlign w:val="bottom"/>
          </w:tcPr>
          <w:p>
            <w:pPr>
              <w:jc w:val="center"/>
              <w:spacing w:after="0"/>
              <w:rPr>
                <w:sz w:val="20"/>
                <w:szCs w:val="20"/>
                <w:color w:val="auto"/>
              </w:rPr>
            </w:pPr>
            <w:r>
              <w:rPr>
                <w:rFonts w:ascii="Calibri" w:cs="Calibri" w:eastAsia="Calibri" w:hAnsi="Calibri"/>
                <w:sz w:val="22"/>
                <w:szCs w:val="22"/>
                <w:color w:val="auto"/>
              </w:rPr>
              <w:t>2.6</w:t>
            </w:r>
          </w:p>
        </w:tc>
        <w:tc>
          <w:tcPr>
            <w:tcW w:w="1240" w:type="dxa"/>
            <w:vAlign w:val="bottom"/>
          </w:tcPr>
          <w:p>
            <w:pPr>
              <w:jc w:val="center"/>
              <w:spacing w:after="0"/>
              <w:rPr>
                <w:sz w:val="20"/>
                <w:szCs w:val="20"/>
                <w:color w:val="auto"/>
              </w:rPr>
            </w:pPr>
            <w:r>
              <w:rPr>
                <w:rFonts w:ascii="Calibri" w:cs="Calibri" w:eastAsia="Calibri" w:hAnsi="Calibri"/>
                <w:sz w:val="22"/>
                <w:szCs w:val="22"/>
                <w:color w:val="auto"/>
              </w:rPr>
              <w:t>0.02 **</w:t>
            </w:r>
          </w:p>
        </w:tc>
      </w:tr>
      <w:tr>
        <w:trPr>
          <w:trHeight w:val="288"/>
        </w:trPr>
        <w:tc>
          <w:tcPr>
            <w:tcW w:w="4380" w:type="dxa"/>
            <w:vAlign w:val="bottom"/>
          </w:tcPr>
          <w:p>
            <w:pPr>
              <w:ind w:left="320"/>
              <w:spacing w:after="0"/>
              <w:rPr>
                <w:sz w:val="20"/>
                <w:szCs w:val="20"/>
                <w:color w:val="auto"/>
              </w:rPr>
            </w:pPr>
            <w:r>
              <w:rPr>
                <w:rFonts w:ascii="Calibri" w:cs="Calibri" w:eastAsia="Calibri" w:hAnsi="Calibri"/>
                <w:sz w:val="22"/>
                <w:szCs w:val="22"/>
                <w:color w:val="auto"/>
              </w:rPr>
              <w:t>Average Relevance</w:t>
            </w:r>
          </w:p>
        </w:tc>
        <w:tc>
          <w:tcPr>
            <w:tcW w:w="1080" w:type="dxa"/>
            <w:vAlign w:val="bottom"/>
          </w:tcPr>
          <w:p>
            <w:pPr>
              <w:jc w:val="center"/>
              <w:ind w:left="50"/>
              <w:spacing w:after="0"/>
              <w:rPr>
                <w:sz w:val="20"/>
                <w:szCs w:val="20"/>
                <w:color w:val="auto"/>
              </w:rPr>
            </w:pPr>
            <w:r>
              <w:rPr>
                <w:rFonts w:ascii="Calibri" w:cs="Calibri" w:eastAsia="Calibri" w:hAnsi="Calibri"/>
                <w:sz w:val="22"/>
                <w:szCs w:val="22"/>
                <w:color w:val="auto"/>
              </w:rPr>
              <w:t>2.7</w:t>
            </w:r>
          </w:p>
        </w:tc>
        <w:tc>
          <w:tcPr>
            <w:tcW w:w="1460" w:type="dxa"/>
            <w:vAlign w:val="bottom"/>
          </w:tcPr>
          <w:p>
            <w:pPr>
              <w:jc w:val="center"/>
              <w:ind w:left="30"/>
              <w:spacing w:after="0"/>
              <w:rPr>
                <w:sz w:val="20"/>
                <w:szCs w:val="20"/>
                <w:color w:val="auto"/>
              </w:rPr>
            </w:pPr>
            <w:r>
              <w:rPr>
                <w:rFonts w:ascii="Calibri" w:cs="Calibri" w:eastAsia="Calibri" w:hAnsi="Calibri"/>
                <w:sz w:val="22"/>
                <w:szCs w:val="22"/>
                <w:color w:val="auto"/>
              </w:rPr>
              <w:t>2.9</w:t>
            </w:r>
          </w:p>
        </w:tc>
        <w:tc>
          <w:tcPr>
            <w:tcW w:w="1380" w:type="dxa"/>
            <w:vAlign w:val="bottom"/>
          </w:tcPr>
          <w:p>
            <w:pPr>
              <w:jc w:val="center"/>
              <w:spacing w:after="0"/>
              <w:rPr>
                <w:sz w:val="20"/>
                <w:szCs w:val="20"/>
                <w:color w:val="auto"/>
              </w:rPr>
            </w:pPr>
            <w:r>
              <w:rPr>
                <w:rFonts w:ascii="Calibri" w:cs="Calibri" w:eastAsia="Calibri" w:hAnsi="Calibri"/>
                <w:sz w:val="22"/>
                <w:szCs w:val="22"/>
                <w:color w:val="auto"/>
              </w:rPr>
              <w:t>2.6</w:t>
            </w:r>
          </w:p>
        </w:tc>
        <w:tc>
          <w:tcPr>
            <w:tcW w:w="1240" w:type="dxa"/>
            <w:vAlign w:val="bottom"/>
          </w:tcPr>
          <w:p>
            <w:pPr>
              <w:jc w:val="center"/>
              <w:spacing w:after="0"/>
              <w:rPr>
                <w:sz w:val="20"/>
                <w:szCs w:val="20"/>
                <w:color w:val="auto"/>
              </w:rPr>
            </w:pPr>
            <w:r>
              <w:rPr>
                <w:rFonts w:ascii="Calibri" w:cs="Calibri" w:eastAsia="Calibri" w:hAnsi="Calibri"/>
                <w:sz w:val="22"/>
                <w:szCs w:val="22"/>
                <w:color w:val="auto"/>
              </w:rPr>
              <w:t>0.04 **</w:t>
            </w:r>
          </w:p>
        </w:tc>
      </w:tr>
      <w:tr>
        <w:trPr>
          <w:trHeight w:val="288"/>
        </w:trPr>
        <w:tc>
          <w:tcPr>
            <w:tcW w:w="4380" w:type="dxa"/>
            <w:vAlign w:val="bottom"/>
          </w:tcPr>
          <w:p>
            <w:pPr>
              <w:ind w:left="320"/>
              <w:spacing w:after="0"/>
              <w:rPr>
                <w:sz w:val="20"/>
                <w:szCs w:val="20"/>
                <w:color w:val="auto"/>
              </w:rPr>
            </w:pPr>
            <w:r>
              <w:rPr>
                <w:rFonts w:ascii="Calibri" w:cs="Calibri" w:eastAsia="Calibri" w:hAnsi="Calibri"/>
                <w:sz w:val="22"/>
                <w:szCs w:val="22"/>
                <w:color w:val="auto"/>
              </w:rPr>
              <w:t>Average Quality</w:t>
            </w:r>
          </w:p>
        </w:tc>
        <w:tc>
          <w:tcPr>
            <w:tcW w:w="1080" w:type="dxa"/>
            <w:vAlign w:val="bottom"/>
          </w:tcPr>
          <w:p>
            <w:pPr>
              <w:jc w:val="center"/>
              <w:ind w:left="50"/>
              <w:spacing w:after="0"/>
              <w:rPr>
                <w:sz w:val="20"/>
                <w:szCs w:val="20"/>
                <w:color w:val="auto"/>
              </w:rPr>
            </w:pPr>
            <w:r>
              <w:rPr>
                <w:rFonts w:ascii="Calibri" w:cs="Calibri" w:eastAsia="Calibri" w:hAnsi="Calibri"/>
                <w:sz w:val="22"/>
                <w:szCs w:val="22"/>
                <w:color w:val="auto"/>
              </w:rPr>
              <w:t>3.0</w:t>
            </w:r>
          </w:p>
        </w:tc>
        <w:tc>
          <w:tcPr>
            <w:tcW w:w="1460" w:type="dxa"/>
            <w:vAlign w:val="bottom"/>
          </w:tcPr>
          <w:p>
            <w:pPr>
              <w:jc w:val="center"/>
              <w:ind w:left="30"/>
              <w:spacing w:after="0"/>
              <w:rPr>
                <w:sz w:val="20"/>
                <w:szCs w:val="20"/>
                <w:color w:val="auto"/>
              </w:rPr>
            </w:pPr>
            <w:r>
              <w:rPr>
                <w:rFonts w:ascii="Calibri" w:cs="Calibri" w:eastAsia="Calibri" w:hAnsi="Calibri"/>
                <w:sz w:val="22"/>
                <w:szCs w:val="22"/>
                <w:color w:val="auto"/>
              </w:rPr>
              <w:t>3.2</w:t>
            </w:r>
          </w:p>
        </w:tc>
        <w:tc>
          <w:tcPr>
            <w:tcW w:w="1380" w:type="dxa"/>
            <w:vAlign w:val="bottom"/>
          </w:tcPr>
          <w:p>
            <w:pPr>
              <w:jc w:val="center"/>
              <w:spacing w:after="0"/>
              <w:rPr>
                <w:sz w:val="20"/>
                <w:szCs w:val="20"/>
                <w:color w:val="auto"/>
              </w:rPr>
            </w:pPr>
            <w:r>
              <w:rPr>
                <w:rFonts w:ascii="Calibri" w:cs="Calibri" w:eastAsia="Calibri" w:hAnsi="Calibri"/>
                <w:sz w:val="22"/>
                <w:szCs w:val="22"/>
                <w:color w:val="auto"/>
              </w:rPr>
              <w:t>2.7</w:t>
            </w:r>
          </w:p>
        </w:tc>
        <w:tc>
          <w:tcPr>
            <w:tcW w:w="1240" w:type="dxa"/>
            <w:vAlign w:val="bottom"/>
          </w:tcPr>
          <w:p>
            <w:pPr>
              <w:jc w:val="center"/>
              <w:spacing w:after="0"/>
              <w:rPr>
                <w:sz w:val="20"/>
                <w:szCs w:val="20"/>
                <w:color w:val="auto"/>
              </w:rPr>
            </w:pPr>
            <w:r>
              <w:rPr>
                <w:rFonts w:ascii="Calibri" w:cs="Calibri" w:eastAsia="Calibri" w:hAnsi="Calibri"/>
                <w:sz w:val="22"/>
                <w:szCs w:val="22"/>
                <w:color w:val="auto"/>
              </w:rPr>
              <w:t>&lt; 0.01 ***</w:t>
            </w:r>
          </w:p>
        </w:tc>
      </w:tr>
      <w:tr>
        <w:trPr>
          <w:trHeight w:val="288"/>
        </w:trPr>
        <w:tc>
          <w:tcPr>
            <w:tcW w:w="4380" w:type="dxa"/>
            <w:vAlign w:val="bottom"/>
          </w:tcPr>
          <w:p>
            <w:pPr>
              <w:ind w:left="320"/>
              <w:spacing w:after="0"/>
              <w:rPr>
                <w:sz w:val="20"/>
                <w:szCs w:val="20"/>
                <w:color w:val="auto"/>
              </w:rPr>
            </w:pPr>
            <w:r>
              <w:rPr>
                <w:rFonts w:ascii="Calibri" w:cs="Calibri" w:eastAsia="Calibri" w:hAnsi="Calibri"/>
                <w:sz w:val="22"/>
                <w:szCs w:val="22"/>
                <w:color w:val="auto"/>
              </w:rPr>
              <w:t>Average Feasibility</w:t>
            </w:r>
          </w:p>
        </w:tc>
        <w:tc>
          <w:tcPr>
            <w:tcW w:w="1080" w:type="dxa"/>
            <w:vAlign w:val="bottom"/>
          </w:tcPr>
          <w:p>
            <w:pPr>
              <w:jc w:val="center"/>
              <w:ind w:left="50"/>
              <w:spacing w:after="0"/>
              <w:rPr>
                <w:sz w:val="20"/>
                <w:szCs w:val="20"/>
                <w:color w:val="auto"/>
              </w:rPr>
            </w:pPr>
            <w:r>
              <w:rPr>
                <w:rFonts w:ascii="Calibri" w:cs="Calibri" w:eastAsia="Calibri" w:hAnsi="Calibri"/>
                <w:sz w:val="22"/>
                <w:szCs w:val="22"/>
                <w:color w:val="auto"/>
              </w:rPr>
              <w:t>3.4</w:t>
            </w:r>
          </w:p>
        </w:tc>
        <w:tc>
          <w:tcPr>
            <w:tcW w:w="1460" w:type="dxa"/>
            <w:vAlign w:val="bottom"/>
          </w:tcPr>
          <w:p>
            <w:pPr>
              <w:jc w:val="center"/>
              <w:ind w:left="30"/>
              <w:spacing w:after="0"/>
              <w:rPr>
                <w:sz w:val="20"/>
                <w:szCs w:val="20"/>
                <w:color w:val="auto"/>
              </w:rPr>
            </w:pPr>
            <w:r>
              <w:rPr>
                <w:rFonts w:ascii="Calibri" w:cs="Calibri" w:eastAsia="Calibri" w:hAnsi="Calibri"/>
                <w:sz w:val="22"/>
                <w:szCs w:val="22"/>
                <w:color w:val="auto"/>
              </w:rPr>
              <w:t>3.6</w:t>
            </w:r>
          </w:p>
        </w:tc>
        <w:tc>
          <w:tcPr>
            <w:tcW w:w="1380" w:type="dxa"/>
            <w:vAlign w:val="bottom"/>
          </w:tcPr>
          <w:p>
            <w:pPr>
              <w:jc w:val="center"/>
              <w:spacing w:after="0"/>
              <w:rPr>
                <w:sz w:val="20"/>
                <w:szCs w:val="20"/>
                <w:color w:val="auto"/>
              </w:rPr>
            </w:pPr>
            <w:r>
              <w:rPr>
                <w:rFonts w:ascii="Calibri" w:cs="Calibri" w:eastAsia="Calibri" w:hAnsi="Calibri"/>
                <w:sz w:val="22"/>
                <w:szCs w:val="22"/>
                <w:color w:val="auto"/>
              </w:rPr>
              <w:t>3.2</w:t>
            </w:r>
          </w:p>
        </w:tc>
        <w:tc>
          <w:tcPr>
            <w:tcW w:w="1240" w:type="dxa"/>
            <w:vAlign w:val="bottom"/>
          </w:tcPr>
          <w:p>
            <w:pPr>
              <w:jc w:val="center"/>
              <w:spacing w:after="0"/>
              <w:rPr>
                <w:sz w:val="20"/>
                <w:szCs w:val="20"/>
                <w:color w:val="auto"/>
              </w:rPr>
            </w:pPr>
            <w:r>
              <w:rPr>
                <w:rFonts w:ascii="Calibri" w:cs="Calibri" w:eastAsia="Calibri" w:hAnsi="Calibri"/>
                <w:sz w:val="22"/>
                <w:szCs w:val="22"/>
                <w:color w:val="auto"/>
              </w:rPr>
              <w:t>&lt; 0.01 ***</w:t>
            </w:r>
          </w:p>
        </w:tc>
      </w:tr>
      <w:tr>
        <w:trPr>
          <w:trHeight w:val="288"/>
        </w:trPr>
        <w:tc>
          <w:tcPr>
            <w:tcW w:w="4380" w:type="dxa"/>
            <w:vAlign w:val="bottom"/>
          </w:tcPr>
          <w:p>
            <w:pPr>
              <w:ind w:left="320"/>
              <w:spacing w:after="0"/>
              <w:rPr>
                <w:sz w:val="20"/>
                <w:szCs w:val="20"/>
                <w:color w:val="auto"/>
              </w:rPr>
            </w:pPr>
            <w:r>
              <w:rPr>
                <w:rFonts w:ascii="Calibri" w:cs="Calibri" w:eastAsia="Calibri" w:hAnsi="Calibri"/>
                <w:sz w:val="22"/>
                <w:szCs w:val="22"/>
                <w:color w:val="auto"/>
              </w:rPr>
              <w:t>Average Reach</w:t>
            </w:r>
          </w:p>
        </w:tc>
        <w:tc>
          <w:tcPr>
            <w:tcW w:w="1080" w:type="dxa"/>
            <w:vAlign w:val="bottom"/>
          </w:tcPr>
          <w:p>
            <w:pPr>
              <w:jc w:val="center"/>
              <w:ind w:left="50"/>
              <w:spacing w:after="0"/>
              <w:rPr>
                <w:sz w:val="20"/>
                <w:szCs w:val="20"/>
                <w:color w:val="auto"/>
              </w:rPr>
            </w:pPr>
            <w:r>
              <w:rPr>
                <w:rFonts w:ascii="Calibri" w:cs="Calibri" w:eastAsia="Calibri" w:hAnsi="Calibri"/>
                <w:sz w:val="22"/>
                <w:szCs w:val="22"/>
                <w:color w:val="auto"/>
              </w:rPr>
              <w:t>2.8</w:t>
            </w:r>
          </w:p>
        </w:tc>
        <w:tc>
          <w:tcPr>
            <w:tcW w:w="1460" w:type="dxa"/>
            <w:vAlign w:val="bottom"/>
          </w:tcPr>
          <w:p>
            <w:pPr>
              <w:jc w:val="center"/>
              <w:ind w:left="30"/>
              <w:spacing w:after="0"/>
              <w:rPr>
                <w:sz w:val="20"/>
                <w:szCs w:val="20"/>
                <w:color w:val="auto"/>
              </w:rPr>
            </w:pPr>
            <w:r>
              <w:rPr>
                <w:rFonts w:ascii="Calibri" w:cs="Calibri" w:eastAsia="Calibri" w:hAnsi="Calibri"/>
                <w:sz w:val="22"/>
                <w:szCs w:val="22"/>
                <w:color w:val="auto"/>
              </w:rPr>
              <w:t>2.9</w:t>
            </w:r>
          </w:p>
        </w:tc>
        <w:tc>
          <w:tcPr>
            <w:tcW w:w="1380" w:type="dxa"/>
            <w:vAlign w:val="bottom"/>
          </w:tcPr>
          <w:p>
            <w:pPr>
              <w:jc w:val="center"/>
              <w:spacing w:after="0"/>
              <w:rPr>
                <w:sz w:val="20"/>
                <w:szCs w:val="20"/>
                <w:color w:val="auto"/>
              </w:rPr>
            </w:pPr>
            <w:r>
              <w:rPr>
                <w:rFonts w:ascii="Calibri" w:cs="Calibri" w:eastAsia="Calibri" w:hAnsi="Calibri"/>
                <w:sz w:val="22"/>
                <w:szCs w:val="22"/>
                <w:color w:val="auto"/>
              </w:rPr>
              <w:t>2.7</w:t>
            </w:r>
          </w:p>
        </w:tc>
        <w:tc>
          <w:tcPr>
            <w:tcW w:w="1240" w:type="dxa"/>
            <w:vAlign w:val="bottom"/>
          </w:tcPr>
          <w:p>
            <w:pPr>
              <w:jc w:val="center"/>
              <w:spacing w:after="0"/>
              <w:rPr>
                <w:sz w:val="20"/>
                <w:szCs w:val="20"/>
                <w:color w:val="auto"/>
              </w:rPr>
            </w:pPr>
            <w:r>
              <w:rPr>
                <w:rFonts w:ascii="Calibri" w:cs="Calibri" w:eastAsia="Calibri" w:hAnsi="Calibri"/>
                <w:sz w:val="22"/>
                <w:szCs w:val="22"/>
                <w:color w:val="auto"/>
                <w:w w:val="98"/>
              </w:rPr>
              <w:t>0.09 *</w:t>
            </w:r>
          </w:p>
        </w:tc>
      </w:tr>
      <w:tr>
        <w:trPr>
          <w:trHeight w:val="269"/>
        </w:trPr>
        <w:tc>
          <w:tcPr>
            <w:tcW w:w="4380" w:type="dxa"/>
            <w:vAlign w:val="bottom"/>
          </w:tcPr>
          <w:p>
            <w:pPr>
              <w:ind w:left="100"/>
              <w:spacing w:after="0"/>
              <w:rPr>
                <w:sz w:val="20"/>
                <w:szCs w:val="20"/>
                <w:color w:val="auto"/>
              </w:rPr>
            </w:pPr>
            <w:r>
              <w:rPr>
                <w:rFonts w:ascii="Calibri" w:cs="Calibri" w:eastAsia="Calibri" w:hAnsi="Calibri"/>
                <w:sz w:val="22"/>
                <w:szCs w:val="22"/>
                <w:color w:val="auto"/>
              </w:rPr>
              <w:t>Probability ranked as "Best" among set of</w:t>
            </w:r>
          </w:p>
        </w:tc>
        <w:tc>
          <w:tcPr>
            <w:tcW w:w="1080" w:type="dxa"/>
            <w:vAlign w:val="bottom"/>
          </w:tcPr>
          <w:p>
            <w:pPr>
              <w:spacing w:after="0"/>
              <w:rPr>
                <w:sz w:val="23"/>
                <w:szCs w:val="23"/>
                <w:color w:val="auto"/>
              </w:rPr>
            </w:pPr>
          </w:p>
        </w:tc>
        <w:tc>
          <w:tcPr>
            <w:tcW w:w="1460" w:type="dxa"/>
            <w:vAlign w:val="bottom"/>
          </w:tcPr>
          <w:p>
            <w:pPr>
              <w:spacing w:after="0"/>
              <w:rPr>
                <w:sz w:val="23"/>
                <w:szCs w:val="23"/>
                <w:color w:val="auto"/>
              </w:rPr>
            </w:pPr>
          </w:p>
        </w:tc>
        <w:tc>
          <w:tcPr>
            <w:tcW w:w="1380" w:type="dxa"/>
            <w:vAlign w:val="bottom"/>
          </w:tcPr>
          <w:p>
            <w:pPr>
              <w:spacing w:after="0"/>
              <w:rPr>
                <w:sz w:val="23"/>
                <w:szCs w:val="23"/>
                <w:color w:val="auto"/>
              </w:rPr>
            </w:pPr>
          </w:p>
        </w:tc>
        <w:tc>
          <w:tcPr>
            <w:tcW w:w="1240" w:type="dxa"/>
            <w:vAlign w:val="bottom"/>
          </w:tcPr>
          <w:p>
            <w:pPr>
              <w:spacing w:after="0"/>
              <w:rPr>
                <w:sz w:val="23"/>
                <w:szCs w:val="23"/>
                <w:color w:val="auto"/>
              </w:rPr>
            </w:pPr>
          </w:p>
        </w:tc>
      </w:tr>
      <w:tr>
        <w:trPr>
          <w:trHeight w:val="269"/>
        </w:trPr>
        <w:tc>
          <w:tcPr>
            <w:tcW w:w="4380" w:type="dxa"/>
            <w:vAlign w:val="bottom"/>
          </w:tcPr>
          <w:p>
            <w:pPr>
              <w:ind w:left="100"/>
              <w:spacing w:after="0"/>
              <w:rPr>
                <w:sz w:val="20"/>
                <w:szCs w:val="20"/>
                <w:color w:val="auto"/>
              </w:rPr>
            </w:pPr>
            <w:r>
              <w:rPr>
                <w:rFonts w:ascii="Calibri" w:cs="Calibri" w:eastAsia="Calibri" w:hAnsi="Calibri"/>
                <w:sz w:val="22"/>
                <w:szCs w:val="22"/>
                <w:color w:val="auto"/>
              </w:rPr>
              <w:t>projects evaluated</w:t>
            </w:r>
          </w:p>
        </w:tc>
        <w:tc>
          <w:tcPr>
            <w:tcW w:w="1080" w:type="dxa"/>
            <w:vAlign w:val="bottom"/>
          </w:tcPr>
          <w:p>
            <w:pPr>
              <w:jc w:val="center"/>
              <w:ind w:left="30"/>
              <w:spacing w:after="0"/>
              <w:rPr>
                <w:sz w:val="20"/>
                <w:szCs w:val="20"/>
                <w:color w:val="auto"/>
              </w:rPr>
            </w:pPr>
            <w:r>
              <w:rPr>
                <w:rFonts w:ascii="Calibri" w:cs="Calibri" w:eastAsia="Calibri" w:hAnsi="Calibri"/>
                <w:sz w:val="22"/>
                <w:szCs w:val="22"/>
                <w:color w:val="auto"/>
                <w:w w:val="99"/>
              </w:rPr>
              <w:t>17%</w:t>
            </w:r>
          </w:p>
        </w:tc>
        <w:tc>
          <w:tcPr>
            <w:tcW w:w="1460" w:type="dxa"/>
            <w:vAlign w:val="bottom"/>
          </w:tcPr>
          <w:p>
            <w:pPr>
              <w:jc w:val="center"/>
              <w:ind w:left="10"/>
              <w:spacing w:after="0"/>
              <w:rPr>
                <w:sz w:val="20"/>
                <w:szCs w:val="20"/>
                <w:color w:val="auto"/>
              </w:rPr>
            </w:pPr>
            <w:r>
              <w:rPr>
                <w:rFonts w:ascii="Calibri" w:cs="Calibri" w:eastAsia="Calibri" w:hAnsi="Calibri"/>
                <w:sz w:val="22"/>
                <w:szCs w:val="22"/>
                <w:color w:val="auto"/>
                <w:w w:val="99"/>
              </w:rPr>
              <w:t>22%</w:t>
            </w:r>
          </w:p>
        </w:tc>
        <w:tc>
          <w:tcPr>
            <w:tcW w:w="1380" w:type="dxa"/>
            <w:vAlign w:val="bottom"/>
          </w:tcPr>
          <w:p>
            <w:pPr>
              <w:jc w:val="center"/>
              <w:spacing w:after="0"/>
              <w:rPr>
                <w:sz w:val="20"/>
                <w:szCs w:val="20"/>
                <w:color w:val="auto"/>
              </w:rPr>
            </w:pPr>
            <w:r>
              <w:rPr>
                <w:rFonts w:ascii="Calibri" w:cs="Calibri" w:eastAsia="Calibri" w:hAnsi="Calibri"/>
                <w:sz w:val="22"/>
                <w:szCs w:val="22"/>
                <w:color w:val="auto"/>
                <w:w w:val="99"/>
              </w:rPr>
              <w:t>11%</w:t>
            </w:r>
          </w:p>
        </w:tc>
        <w:tc>
          <w:tcPr>
            <w:tcW w:w="1240" w:type="dxa"/>
            <w:vAlign w:val="bottom"/>
          </w:tcPr>
          <w:p>
            <w:pPr>
              <w:jc w:val="center"/>
              <w:spacing w:after="0"/>
              <w:rPr>
                <w:sz w:val="20"/>
                <w:szCs w:val="20"/>
                <w:color w:val="auto"/>
              </w:rPr>
            </w:pPr>
            <w:r>
              <w:rPr>
                <w:rFonts w:ascii="Calibri" w:cs="Calibri" w:eastAsia="Calibri" w:hAnsi="Calibri"/>
                <w:sz w:val="22"/>
                <w:szCs w:val="22"/>
                <w:color w:val="auto"/>
              </w:rPr>
              <w:t>0.05**</w:t>
            </w:r>
          </w:p>
        </w:tc>
      </w:tr>
      <w:tr>
        <w:trPr>
          <w:trHeight w:val="269"/>
        </w:trPr>
        <w:tc>
          <w:tcPr>
            <w:tcW w:w="4380" w:type="dxa"/>
            <w:vAlign w:val="bottom"/>
          </w:tcPr>
          <w:p>
            <w:pPr>
              <w:ind w:left="100"/>
              <w:spacing w:after="0"/>
              <w:rPr>
                <w:sz w:val="20"/>
                <w:szCs w:val="20"/>
                <w:color w:val="auto"/>
              </w:rPr>
            </w:pPr>
            <w:r>
              <w:rPr>
                <w:rFonts w:ascii="Calibri" w:cs="Calibri" w:eastAsia="Calibri" w:hAnsi="Calibri"/>
                <w:sz w:val="22"/>
                <w:szCs w:val="22"/>
                <w:color w:val="auto"/>
              </w:rPr>
              <w:t>Probability ranked as "Worst" among set of</w:t>
            </w:r>
          </w:p>
        </w:tc>
        <w:tc>
          <w:tcPr>
            <w:tcW w:w="1080" w:type="dxa"/>
            <w:vAlign w:val="bottom"/>
          </w:tcPr>
          <w:p>
            <w:pPr>
              <w:spacing w:after="0"/>
              <w:rPr>
                <w:sz w:val="23"/>
                <w:szCs w:val="23"/>
                <w:color w:val="auto"/>
              </w:rPr>
            </w:pPr>
          </w:p>
        </w:tc>
        <w:tc>
          <w:tcPr>
            <w:tcW w:w="1460" w:type="dxa"/>
            <w:vAlign w:val="bottom"/>
          </w:tcPr>
          <w:p>
            <w:pPr>
              <w:spacing w:after="0"/>
              <w:rPr>
                <w:sz w:val="23"/>
                <w:szCs w:val="23"/>
                <w:color w:val="auto"/>
              </w:rPr>
            </w:pPr>
          </w:p>
        </w:tc>
        <w:tc>
          <w:tcPr>
            <w:tcW w:w="1380" w:type="dxa"/>
            <w:vAlign w:val="bottom"/>
          </w:tcPr>
          <w:p>
            <w:pPr>
              <w:spacing w:after="0"/>
              <w:rPr>
                <w:sz w:val="23"/>
                <w:szCs w:val="23"/>
                <w:color w:val="auto"/>
              </w:rPr>
            </w:pPr>
          </w:p>
        </w:tc>
        <w:tc>
          <w:tcPr>
            <w:tcW w:w="1240" w:type="dxa"/>
            <w:vAlign w:val="bottom"/>
          </w:tcPr>
          <w:p>
            <w:pPr>
              <w:spacing w:after="0"/>
              <w:rPr>
                <w:sz w:val="23"/>
                <w:szCs w:val="23"/>
                <w:color w:val="auto"/>
              </w:rPr>
            </w:pPr>
          </w:p>
        </w:tc>
      </w:tr>
      <w:tr>
        <w:trPr>
          <w:trHeight w:val="269"/>
        </w:trPr>
        <w:tc>
          <w:tcPr>
            <w:tcW w:w="4380" w:type="dxa"/>
            <w:vAlign w:val="bottom"/>
          </w:tcPr>
          <w:p>
            <w:pPr>
              <w:ind w:left="100"/>
              <w:spacing w:after="0"/>
              <w:rPr>
                <w:sz w:val="20"/>
                <w:szCs w:val="20"/>
                <w:color w:val="auto"/>
              </w:rPr>
            </w:pPr>
            <w:r>
              <w:rPr>
                <w:rFonts w:ascii="Calibri" w:cs="Calibri" w:eastAsia="Calibri" w:hAnsi="Calibri"/>
                <w:sz w:val="22"/>
                <w:szCs w:val="22"/>
                <w:color w:val="auto"/>
              </w:rPr>
              <w:t>projects evaluated</w:t>
            </w:r>
          </w:p>
        </w:tc>
        <w:tc>
          <w:tcPr>
            <w:tcW w:w="1080" w:type="dxa"/>
            <w:vAlign w:val="bottom"/>
          </w:tcPr>
          <w:p>
            <w:pPr>
              <w:jc w:val="center"/>
              <w:ind w:left="30"/>
              <w:spacing w:after="0"/>
              <w:rPr>
                <w:sz w:val="20"/>
                <w:szCs w:val="20"/>
                <w:color w:val="auto"/>
              </w:rPr>
            </w:pPr>
            <w:r>
              <w:rPr>
                <w:rFonts w:ascii="Calibri" w:cs="Calibri" w:eastAsia="Calibri" w:hAnsi="Calibri"/>
                <w:sz w:val="22"/>
                <w:szCs w:val="22"/>
                <w:color w:val="auto"/>
                <w:w w:val="99"/>
              </w:rPr>
              <w:t>17%</w:t>
            </w:r>
          </w:p>
        </w:tc>
        <w:tc>
          <w:tcPr>
            <w:tcW w:w="1460" w:type="dxa"/>
            <w:vAlign w:val="bottom"/>
          </w:tcPr>
          <w:p>
            <w:pPr>
              <w:jc w:val="center"/>
              <w:ind w:left="30"/>
              <w:spacing w:after="0"/>
              <w:rPr>
                <w:sz w:val="20"/>
                <w:szCs w:val="20"/>
                <w:color w:val="auto"/>
              </w:rPr>
            </w:pPr>
            <w:r>
              <w:rPr>
                <w:rFonts w:ascii="Calibri" w:cs="Calibri" w:eastAsia="Calibri" w:hAnsi="Calibri"/>
                <w:sz w:val="22"/>
                <w:szCs w:val="22"/>
                <w:color w:val="auto"/>
              </w:rPr>
              <w:t>9%</w:t>
            </w:r>
          </w:p>
        </w:tc>
        <w:tc>
          <w:tcPr>
            <w:tcW w:w="1380" w:type="dxa"/>
            <w:vAlign w:val="bottom"/>
          </w:tcPr>
          <w:p>
            <w:pPr>
              <w:jc w:val="center"/>
              <w:spacing w:after="0"/>
              <w:rPr>
                <w:sz w:val="20"/>
                <w:szCs w:val="20"/>
                <w:color w:val="auto"/>
              </w:rPr>
            </w:pPr>
            <w:r>
              <w:rPr>
                <w:rFonts w:ascii="Calibri" w:cs="Calibri" w:eastAsia="Calibri" w:hAnsi="Calibri"/>
                <w:sz w:val="22"/>
                <w:szCs w:val="22"/>
                <w:color w:val="auto"/>
                <w:w w:val="99"/>
              </w:rPr>
              <w:t>24%</w:t>
            </w:r>
          </w:p>
        </w:tc>
        <w:tc>
          <w:tcPr>
            <w:tcW w:w="1240" w:type="dxa"/>
            <w:vAlign w:val="bottom"/>
          </w:tcPr>
          <w:p>
            <w:pPr>
              <w:jc w:val="center"/>
              <w:spacing w:after="0"/>
              <w:rPr>
                <w:sz w:val="20"/>
                <w:szCs w:val="20"/>
                <w:color w:val="auto"/>
              </w:rPr>
            </w:pPr>
            <w:r>
              <w:rPr>
                <w:rFonts w:ascii="Calibri" w:cs="Calibri" w:eastAsia="Calibri" w:hAnsi="Calibri"/>
                <w:sz w:val="22"/>
                <w:szCs w:val="22"/>
                <w:color w:val="auto"/>
              </w:rPr>
              <w:t>&lt; 0.01 ***</w:t>
            </w:r>
          </w:p>
        </w:tc>
      </w:tr>
      <w:tr>
        <w:trPr>
          <w:trHeight w:val="375"/>
        </w:trPr>
        <w:tc>
          <w:tcPr>
            <w:tcW w:w="4380" w:type="dxa"/>
            <w:vAlign w:val="bottom"/>
          </w:tcPr>
          <w:p>
            <w:pPr>
              <w:ind w:left="100"/>
              <w:spacing w:after="0"/>
              <w:rPr>
                <w:sz w:val="20"/>
                <w:szCs w:val="20"/>
                <w:color w:val="auto"/>
              </w:rPr>
            </w:pPr>
            <w:r>
              <w:rPr>
                <w:rFonts w:ascii="Calibri" w:cs="Calibri" w:eastAsia="Calibri" w:hAnsi="Calibri"/>
                <w:sz w:val="22"/>
                <w:szCs w:val="22"/>
                <w:color w:val="auto"/>
              </w:rPr>
              <w:t>Average funding share proposed by judges</w:t>
            </w:r>
          </w:p>
        </w:tc>
        <w:tc>
          <w:tcPr>
            <w:tcW w:w="1080" w:type="dxa"/>
            <w:vAlign w:val="bottom"/>
          </w:tcPr>
          <w:p>
            <w:pPr>
              <w:jc w:val="center"/>
              <w:ind w:left="30"/>
              <w:spacing w:after="0"/>
              <w:rPr>
                <w:sz w:val="20"/>
                <w:szCs w:val="20"/>
                <w:color w:val="auto"/>
              </w:rPr>
            </w:pPr>
            <w:r>
              <w:rPr>
                <w:rFonts w:ascii="Calibri" w:cs="Calibri" w:eastAsia="Calibri" w:hAnsi="Calibri"/>
                <w:sz w:val="22"/>
                <w:szCs w:val="22"/>
                <w:color w:val="auto"/>
                <w:w w:val="99"/>
              </w:rPr>
              <w:t>44%</w:t>
            </w:r>
          </w:p>
        </w:tc>
        <w:tc>
          <w:tcPr>
            <w:tcW w:w="1460" w:type="dxa"/>
            <w:vAlign w:val="bottom"/>
          </w:tcPr>
          <w:p>
            <w:pPr>
              <w:jc w:val="center"/>
              <w:ind w:left="10"/>
              <w:spacing w:after="0"/>
              <w:rPr>
                <w:sz w:val="20"/>
                <w:szCs w:val="20"/>
                <w:color w:val="auto"/>
              </w:rPr>
            </w:pPr>
            <w:r>
              <w:rPr>
                <w:rFonts w:ascii="Calibri" w:cs="Calibri" w:eastAsia="Calibri" w:hAnsi="Calibri"/>
                <w:sz w:val="22"/>
                <w:szCs w:val="22"/>
                <w:color w:val="auto"/>
                <w:w w:val="99"/>
              </w:rPr>
              <w:t>52%</w:t>
            </w:r>
          </w:p>
        </w:tc>
        <w:tc>
          <w:tcPr>
            <w:tcW w:w="1380" w:type="dxa"/>
            <w:vAlign w:val="bottom"/>
          </w:tcPr>
          <w:p>
            <w:pPr>
              <w:jc w:val="center"/>
              <w:spacing w:after="0"/>
              <w:rPr>
                <w:sz w:val="20"/>
                <w:szCs w:val="20"/>
                <w:color w:val="auto"/>
              </w:rPr>
            </w:pPr>
            <w:r>
              <w:rPr>
                <w:rFonts w:ascii="Calibri" w:cs="Calibri" w:eastAsia="Calibri" w:hAnsi="Calibri"/>
                <w:sz w:val="22"/>
                <w:szCs w:val="22"/>
                <w:color w:val="auto"/>
                <w:w w:val="99"/>
              </w:rPr>
              <w:t>35%</w:t>
            </w:r>
          </w:p>
        </w:tc>
        <w:tc>
          <w:tcPr>
            <w:tcW w:w="1240" w:type="dxa"/>
            <w:vAlign w:val="bottom"/>
          </w:tcPr>
          <w:p>
            <w:pPr>
              <w:jc w:val="center"/>
              <w:spacing w:after="0"/>
              <w:rPr>
                <w:sz w:val="20"/>
                <w:szCs w:val="20"/>
                <w:color w:val="auto"/>
              </w:rPr>
            </w:pPr>
            <w:r>
              <w:rPr>
                <w:rFonts w:ascii="Calibri" w:cs="Calibri" w:eastAsia="Calibri" w:hAnsi="Calibri"/>
                <w:sz w:val="22"/>
                <w:szCs w:val="22"/>
                <w:color w:val="auto"/>
              </w:rPr>
              <w:t>&lt; 0.01 ***</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-8255</wp:posOffset>
                </wp:positionH>
                <wp:positionV relativeFrom="paragraph">
                  <wp:posOffset>198755</wp:posOffset>
                </wp:positionV>
                <wp:extent cx="6067425"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67425"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499pt,15.65pt" to="477.1pt,15.65pt" o:allowincell="f" strokecolor="#000000" strokeweight="0.72pt"/>
            </w:pict>
          </mc:Fallback>
        </mc:AlternateContent>
        <mc:AlternateContent>
          <mc:Choice Requires="wps">
            <w:drawing>
              <wp:anchor simplePos="0" relativeHeight="251657728" behindDoc="1" locked="0" layoutInCell="0" allowOverlap="1">
                <wp:simplePos x="0" y="0"/>
                <wp:positionH relativeFrom="column">
                  <wp:posOffset>-8255</wp:posOffset>
                </wp:positionH>
                <wp:positionV relativeFrom="paragraph">
                  <wp:posOffset>180340</wp:posOffset>
                </wp:positionV>
                <wp:extent cx="6067425"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67425"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499pt,14.2pt" to="477.1pt,14.2pt" o:allowincell="f" strokecolor="#000000" strokeweight="0.72pt"/>
            </w:pict>
          </mc:Fallback>
        </mc:AlternateContent>
      </w:r>
    </w:p>
    <w:p>
      <w:pPr>
        <w:spacing w:after="0" w:line="336" w:lineRule="exact"/>
        <w:rPr>
          <w:sz w:val="20"/>
          <w:szCs w:val="20"/>
          <w:color w:val="auto"/>
        </w:rPr>
      </w:pPr>
    </w:p>
    <w:p>
      <w:pPr>
        <w:ind w:right="380"/>
        <w:spacing w:after="0" w:line="233" w:lineRule="auto"/>
        <w:rPr>
          <w:sz w:val="20"/>
          <w:szCs w:val="20"/>
          <w:color w:val="auto"/>
        </w:rPr>
      </w:pPr>
      <w:r>
        <w:rPr>
          <w:rFonts w:ascii="Calibri" w:cs="Calibri" w:eastAsia="Calibri" w:hAnsi="Calibri"/>
          <w:sz w:val="18"/>
          <w:szCs w:val="18"/>
          <w:color w:val="auto"/>
        </w:rPr>
        <w:t>Notes: This table reports descriptive statistics on the sample of 120 Kickstarter projects that were grouped into 20 sets of 6 projects each. Each set comprised 3 successful and 3 unsuccessful projects that were then randomly assigned to experts who regularly review applications for the theatre arm of institutions such as the National Endowment for the Arts. The specific questions each judge was asked to answer about each project are reported in the Appendix. Each set of 6 projects was evaluated by at least one judge and half the sets were evaluated by 2 judges. Inter-rater reliability for these judges was 0.45. This table reports descriptive statistics on the expert evaluations of the projects, broken down by whether the project successfully raised funding on the Kickstarter platform.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9140"/>
        <w:spacing w:after="0"/>
        <w:rPr>
          <w:sz w:val="20"/>
          <w:szCs w:val="20"/>
          <w:color w:val="auto"/>
        </w:rPr>
      </w:pPr>
      <w:r>
        <w:rPr>
          <w:rFonts w:ascii="Calibri" w:cs="Calibri" w:eastAsia="Calibri" w:hAnsi="Calibri"/>
          <w:sz w:val="22"/>
          <w:szCs w:val="22"/>
          <w:color w:val="auto"/>
        </w:rPr>
        <w:t>38</w:t>
      </w:r>
    </w:p>
    <w:p>
      <w:pPr>
        <w:sectPr>
          <w:pgSz w:w="12240" w:h="15840" w:orient="portrait"/>
          <w:cols w:equalWidth="0" w:num="1">
            <w:col w:w="9540"/>
          </w:cols>
          <w:pgMar w:left="1440" w:top="1440" w:right="1260" w:bottom="474" w:gutter="0" w:footer="0" w:header="0"/>
        </w:sectPr>
      </w:pPr>
    </w:p>
    <w:bookmarkStart w:id="39" w:name="page40"/>
    <w:bookmarkEnd w:id="3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spacing w:after="0"/>
        <w:rPr>
          <w:sz w:val="20"/>
          <w:szCs w:val="20"/>
          <w:color w:val="auto"/>
        </w:rPr>
      </w:pPr>
      <w:r>
        <w:rPr>
          <w:rFonts w:ascii="Calibri" w:cs="Calibri" w:eastAsia="Calibri" w:hAnsi="Calibri"/>
          <w:sz w:val="28"/>
          <w:szCs w:val="28"/>
          <w:b w:val="1"/>
          <w:bCs w:val="1"/>
          <w:color w:val="auto"/>
        </w:rPr>
        <w:t>Table 2</w:t>
      </w:r>
    </w:p>
    <w:p>
      <w:pPr>
        <w:spacing w:after="0" w:line="18" w:lineRule="exact"/>
        <w:rPr>
          <w:sz w:val="20"/>
          <w:szCs w:val="20"/>
          <w:color w:val="auto"/>
        </w:rPr>
      </w:pPr>
    </w:p>
    <w:p>
      <w:pPr>
        <w:jc w:val="center"/>
        <w:spacing w:after="0"/>
        <w:rPr>
          <w:sz w:val="20"/>
          <w:szCs w:val="20"/>
          <w:color w:val="auto"/>
        </w:rPr>
      </w:pPr>
      <w:r>
        <w:rPr>
          <w:rFonts w:ascii="Calibri" w:cs="Calibri" w:eastAsia="Calibri" w:hAnsi="Calibri"/>
          <w:sz w:val="28"/>
          <w:szCs w:val="28"/>
          <w:b w:val="1"/>
          <w:bCs w:val="1"/>
          <w:color w:val="auto"/>
        </w:rPr>
        <w:t>Correlation between judge evaluations and Kickstarter success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363855</wp:posOffset>
                </wp:positionV>
                <wp:extent cx="5944235"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442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8.65pt" to="468.05pt,28.65pt" o:allowincell="f" strokecolor="#000000" strokeweight="0.4799pt"/>
            </w:pict>
          </mc:Fallback>
        </mc:AlternateContent>
      </w:r>
    </w:p>
    <w:p>
      <w:pPr>
        <w:sectPr>
          <w:pgSz w:w="12240" w:h="15840" w:orient="portrait"/>
          <w:cols w:equalWidth="0" w:num="1">
            <w:col w:w="9360"/>
          </w:cols>
          <w:pgMar w:left="1440" w:top="1440" w:right="1440" w:bottom="47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tbl>
      <w:tblPr>
        <w:tblLayout w:type="fixed"/>
        <w:tblInd w:w="0" w:type="dxa"/>
        <w:tblCellMar>
          <w:top w:w="0" w:type="dxa"/>
          <w:left w:w="0" w:type="dxa"/>
          <w:bottom w:w="0" w:type="dxa"/>
          <w:right w:w="0" w:type="dxa"/>
        </w:tblCellMar>
      </w:tblPr>
      <w:tr>
        <w:trPr>
          <w:trHeight w:val="269"/>
        </w:trPr>
        <w:tc>
          <w:tcPr>
            <w:tcW w:w="2980" w:type="dxa"/>
            <w:vAlign w:val="bottom"/>
          </w:tcPr>
          <w:p>
            <w:pPr>
              <w:ind w:left="460"/>
              <w:spacing w:after="0"/>
              <w:rPr>
                <w:sz w:val="20"/>
                <w:szCs w:val="20"/>
                <w:color w:val="auto"/>
              </w:rPr>
            </w:pPr>
            <w:r>
              <w:rPr>
                <w:rFonts w:ascii="Calibri" w:cs="Calibri" w:eastAsia="Calibri" w:hAnsi="Calibri"/>
                <w:sz w:val="22"/>
                <w:szCs w:val="22"/>
                <w:color w:val="auto"/>
              </w:rPr>
              <w:t>DEPENDENT VARIABLES</w:t>
            </w:r>
          </w:p>
        </w:tc>
        <w:tc>
          <w:tcPr>
            <w:tcW w:w="3140" w:type="dxa"/>
            <w:vAlign w:val="bottom"/>
            <w:gridSpan w:val="3"/>
          </w:tcPr>
          <w:p>
            <w:pPr>
              <w:ind w:left="400"/>
              <w:spacing w:after="0"/>
              <w:rPr>
                <w:sz w:val="20"/>
                <w:szCs w:val="20"/>
                <w:color w:val="auto"/>
              </w:rPr>
            </w:pPr>
            <w:r>
              <w:rPr>
                <w:rFonts w:ascii="Calibri" w:cs="Calibri" w:eastAsia="Calibri" w:hAnsi="Calibri"/>
                <w:sz w:val="22"/>
                <w:szCs w:val="22"/>
                <w:color w:val="auto"/>
              </w:rPr>
              <w:t>Average Score from judges</w:t>
            </w:r>
          </w:p>
        </w:tc>
      </w:tr>
      <w:tr>
        <w:trPr>
          <w:trHeight w:val="181"/>
        </w:trPr>
        <w:tc>
          <w:tcPr>
            <w:tcW w:w="2980" w:type="dxa"/>
            <w:vAlign w:val="bottom"/>
            <w:tcBorders>
              <w:bottom w:val="single" w:sz="8" w:color="auto"/>
            </w:tcBorders>
          </w:tcPr>
          <w:p>
            <w:pPr>
              <w:spacing w:after="0"/>
              <w:rPr>
                <w:sz w:val="15"/>
                <w:szCs w:val="15"/>
                <w:color w:val="auto"/>
              </w:rPr>
            </w:pPr>
          </w:p>
        </w:tc>
        <w:tc>
          <w:tcPr>
            <w:tcW w:w="1140" w:type="dxa"/>
            <w:vAlign w:val="bottom"/>
            <w:tcBorders>
              <w:bottom w:val="single" w:sz="8" w:color="auto"/>
            </w:tcBorders>
          </w:tcPr>
          <w:p>
            <w:pPr>
              <w:spacing w:after="0"/>
              <w:rPr>
                <w:sz w:val="15"/>
                <w:szCs w:val="15"/>
                <w:color w:val="auto"/>
              </w:rPr>
            </w:pPr>
          </w:p>
        </w:tc>
        <w:tc>
          <w:tcPr>
            <w:tcW w:w="1000" w:type="dxa"/>
            <w:vAlign w:val="bottom"/>
            <w:tcBorders>
              <w:bottom w:val="single" w:sz="8" w:color="auto"/>
            </w:tcBorders>
          </w:tcPr>
          <w:p>
            <w:pPr>
              <w:spacing w:after="0"/>
              <w:rPr>
                <w:sz w:val="15"/>
                <w:szCs w:val="15"/>
                <w:color w:val="auto"/>
              </w:rPr>
            </w:pPr>
          </w:p>
        </w:tc>
        <w:tc>
          <w:tcPr>
            <w:tcW w:w="1000" w:type="dxa"/>
            <w:vAlign w:val="bottom"/>
            <w:tcBorders>
              <w:bottom w:val="single" w:sz="8" w:color="auto"/>
            </w:tcBorders>
          </w:tcPr>
          <w:p>
            <w:pPr>
              <w:spacing w:after="0"/>
              <w:rPr>
                <w:sz w:val="15"/>
                <w:szCs w:val="15"/>
                <w:color w:val="auto"/>
              </w:rPr>
            </w:pPr>
          </w:p>
        </w:tc>
      </w:tr>
      <w:tr>
        <w:trPr>
          <w:trHeight w:val="273"/>
        </w:trPr>
        <w:tc>
          <w:tcPr>
            <w:tcW w:w="2980" w:type="dxa"/>
            <w:vAlign w:val="bottom"/>
            <w:tcBorders>
              <w:bottom w:val="single" w:sz="8" w:color="auto"/>
            </w:tcBorders>
          </w:tcPr>
          <w:p>
            <w:pPr>
              <w:spacing w:after="0"/>
              <w:rPr>
                <w:sz w:val="23"/>
                <w:szCs w:val="23"/>
                <w:color w:val="auto"/>
              </w:rPr>
            </w:pPr>
          </w:p>
        </w:tc>
        <w:tc>
          <w:tcPr>
            <w:tcW w:w="1140" w:type="dxa"/>
            <w:vAlign w:val="bottom"/>
            <w:tcBorders>
              <w:bottom w:val="single" w:sz="8" w:color="auto"/>
            </w:tcBorders>
          </w:tcPr>
          <w:p>
            <w:pPr>
              <w:jc w:val="center"/>
              <w:spacing w:after="0"/>
              <w:rPr>
                <w:sz w:val="20"/>
                <w:szCs w:val="20"/>
                <w:color w:val="auto"/>
              </w:rPr>
            </w:pPr>
            <w:r>
              <w:rPr>
                <w:rFonts w:ascii="Calibri" w:cs="Calibri" w:eastAsia="Calibri" w:hAnsi="Calibri"/>
                <w:sz w:val="22"/>
                <w:szCs w:val="22"/>
                <w:color w:val="auto"/>
                <w:w w:val="97"/>
              </w:rPr>
              <w:t>(1)</w:t>
            </w:r>
          </w:p>
        </w:tc>
        <w:tc>
          <w:tcPr>
            <w:tcW w:w="1000" w:type="dxa"/>
            <w:vAlign w:val="bottom"/>
            <w:tcBorders>
              <w:bottom w:val="single" w:sz="8" w:color="auto"/>
            </w:tcBorders>
          </w:tcPr>
          <w:p>
            <w:pPr>
              <w:jc w:val="center"/>
              <w:spacing w:after="0"/>
              <w:rPr>
                <w:sz w:val="20"/>
                <w:szCs w:val="20"/>
                <w:color w:val="auto"/>
              </w:rPr>
            </w:pPr>
            <w:r>
              <w:rPr>
                <w:rFonts w:ascii="Calibri" w:cs="Calibri" w:eastAsia="Calibri" w:hAnsi="Calibri"/>
                <w:sz w:val="22"/>
                <w:szCs w:val="22"/>
                <w:color w:val="auto"/>
                <w:w w:val="97"/>
              </w:rPr>
              <w:t>(2)</w:t>
            </w:r>
          </w:p>
        </w:tc>
        <w:tc>
          <w:tcPr>
            <w:tcW w:w="1000" w:type="dxa"/>
            <w:vAlign w:val="bottom"/>
            <w:tcBorders>
              <w:bottom w:val="single" w:sz="8" w:color="auto"/>
            </w:tcBorders>
          </w:tcPr>
          <w:p>
            <w:pPr>
              <w:jc w:val="center"/>
              <w:spacing w:after="0"/>
              <w:rPr>
                <w:sz w:val="20"/>
                <w:szCs w:val="20"/>
                <w:color w:val="auto"/>
              </w:rPr>
            </w:pPr>
            <w:r>
              <w:rPr>
                <w:rFonts w:ascii="Calibri" w:cs="Calibri" w:eastAsia="Calibri" w:hAnsi="Calibri"/>
                <w:sz w:val="22"/>
                <w:szCs w:val="22"/>
                <w:color w:val="auto"/>
                <w:w w:val="97"/>
              </w:rPr>
              <w:t>(3)</w:t>
            </w:r>
          </w:p>
        </w:tc>
      </w:tr>
      <w:tr>
        <w:trPr>
          <w:trHeight w:val="275"/>
        </w:trPr>
        <w:tc>
          <w:tcPr>
            <w:tcW w:w="2980" w:type="dxa"/>
            <w:vAlign w:val="bottom"/>
          </w:tcPr>
          <w:p>
            <w:pPr>
              <w:ind w:left="100"/>
              <w:spacing w:after="0"/>
              <w:rPr>
                <w:sz w:val="20"/>
                <w:szCs w:val="20"/>
                <w:color w:val="auto"/>
              </w:rPr>
            </w:pPr>
            <w:r>
              <w:rPr>
                <w:rFonts w:ascii="Calibri" w:cs="Calibri" w:eastAsia="Calibri" w:hAnsi="Calibri"/>
                <w:sz w:val="22"/>
                <w:szCs w:val="22"/>
                <w:color w:val="auto"/>
              </w:rPr>
              <w:t>Reached or Exceeded goal on</w:t>
            </w:r>
          </w:p>
        </w:tc>
        <w:tc>
          <w:tcPr>
            <w:tcW w:w="1140" w:type="dxa"/>
            <w:vAlign w:val="bottom"/>
          </w:tcPr>
          <w:p>
            <w:pPr>
              <w:jc w:val="center"/>
              <w:spacing w:after="0"/>
              <w:rPr>
                <w:sz w:val="20"/>
                <w:szCs w:val="20"/>
                <w:color w:val="auto"/>
              </w:rPr>
            </w:pPr>
            <w:r>
              <w:rPr>
                <w:rFonts w:ascii="Calibri" w:cs="Calibri" w:eastAsia="Calibri" w:hAnsi="Calibri"/>
                <w:sz w:val="20"/>
                <w:szCs w:val="20"/>
                <w:color w:val="auto"/>
              </w:rPr>
              <w:t>0.564***</w:t>
            </w:r>
          </w:p>
        </w:tc>
        <w:tc>
          <w:tcPr>
            <w:tcW w:w="1000" w:type="dxa"/>
            <w:vAlign w:val="bottom"/>
          </w:tcPr>
          <w:p>
            <w:pPr>
              <w:jc w:val="center"/>
              <w:spacing w:after="0"/>
              <w:rPr>
                <w:sz w:val="20"/>
                <w:szCs w:val="20"/>
                <w:color w:val="auto"/>
              </w:rPr>
            </w:pPr>
            <w:r>
              <w:rPr>
                <w:rFonts w:ascii="Calibri" w:cs="Calibri" w:eastAsia="Calibri" w:hAnsi="Calibri"/>
                <w:sz w:val="20"/>
                <w:szCs w:val="20"/>
                <w:color w:val="auto"/>
              </w:rPr>
              <w:t>0.559***</w:t>
            </w:r>
          </w:p>
        </w:tc>
        <w:tc>
          <w:tcPr>
            <w:tcW w:w="1000" w:type="dxa"/>
            <w:vAlign w:val="bottom"/>
          </w:tcPr>
          <w:p>
            <w:pPr>
              <w:jc w:val="center"/>
              <w:spacing w:after="0"/>
              <w:rPr>
                <w:sz w:val="20"/>
                <w:szCs w:val="20"/>
                <w:color w:val="auto"/>
              </w:rPr>
            </w:pPr>
            <w:r>
              <w:rPr>
                <w:rFonts w:ascii="Calibri" w:cs="Calibri" w:eastAsia="Calibri" w:hAnsi="Calibri"/>
                <w:sz w:val="20"/>
                <w:szCs w:val="20"/>
                <w:color w:val="auto"/>
              </w:rPr>
              <w:t>0.551***</w:t>
            </w:r>
          </w:p>
        </w:tc>
      </w:tr>
      <w:tr>
        <w:trPr>
          <w:trHeight w:val="288"/>
        </w:trPr>
        <w:tc>
          <w:tcPr>
            <w:tcW w:w="2980" w:type="dxa"/>
            <w:vAlign w:val="bottom"/>
          </w:tcPr>
          <w:p>
            <w:pPr>
              <w:ind w:left="100"/>
              <w:spacing w:after="0"/>
              <w:rPr>
                <w:sz w:val="20"/>
                <w:szCs w:val="20"/>
                <w:color w:val="auto"/>
              </w:rPr>
            </w:pPr>
            <w:r>
              <w:rPr>
                <w:rFonts w:ascii="Calibri" w:cs="Calibri" w:eastAsia="Calibri" w:hAnsi="Calibri"/>
                <w:sz w:val="22"/>
                <w:szCs w:val="22"/>
                <w:color w:val="auto"/>
              </w:rPr>
              <w:t>Kickstarter</w:t>
            </w:r>
          </w:p>
        </w:tc>
        <w:tc>
          <w:tcPr>
            <w:tcW w:w="1140" w:type="dxa"/>
            <w:vAlign w:val="bottom"/>
          </w:tcPr>
          <w:p>
            <w:pPr>
              <w:jc w:val="center"/>
              <w:spacing w:after="0"/>
              <w:rPr>
                <w:sz w:val="20"/>
                <w:szCs w:val="20"/>
                <w:color w:val="auto"/>
              </w:rPr>
            </w:pPr>
            <w:r>
              <w:rPr>
                <w:rFonts w:ascii="Calibri" w:cs="Calibri" w:eastAsia="Calibri" w:hAnsi="Calibri"/>
                <w:sz w:val="20"/>
                <w:szCs w:val="20"/>
                <w:color w:val="auto"/>
                <w:w w:val="96"/>
              </w:rPr>
              <w:t>(0.171)</w:t>
            </w:r>
          </w:p>
        </w:tc>
        <w:tc>
          <w:tcPr>
            <w:tcW w:w="1000" w:type="dxa"/>
            <w:vAlign w:val="bottom"/>
          </w:tcPr>
          <w:p>
            <w:pPr>
              <w:jc w:val="center"/>
              <w:spacing w:after="0"/>
              <w:rPr>
                <w:sz w:val="20"/>
                <w:szCs w:val="20"/>
                <w:color w:val="auto"/>
              </w:rPr>
            </w:pPr>
            <w:r>
              <w:rPr>
                <w:rFonts w:ascii="Calibri" w:cs="Calibri" w:eastAsia="Calibri" w:hAnsi="Calibri"/>
                <w:sz w:val="20"/>
                <w:szCs w:val="20"/>
                <w:color w:val="auto"/>
              </w:rPr>
              <w:t>(0.177)</w:t>
            </w:r>
          </w:p>
        </w:tc>
        <w:tc>
          <w:tcPr>
            <w:tcW w:w="1000" w:type="dxa"/>
            <w:vAlign w:val="bottom"/>
          </w:tcPr>
          <w:p>
            <w:pPr>
              <w:jc w:val="center"/>
              <w:spacing w:after="0"/>
              <w:rPr>
                <w:sz w:val="20"/>
                <w:szCs w:val="20"/>
                <w:color w:val="auto"/>
              </w:rPr>
            </w:pPr>
            <w:r>
              <w:rPr>
                <w:rFonts w:ascii="Calibri" w:cs="Calibri" w:eastAsia="Calibri" w:hAnsi="Calibri"/>
                <w:sz w:val="20"/>
                <w:szCs w:val="20"/>
                <w:color w:val="auto"/>
                <w:w w:val="96"/>
              </w:rPr>
              <w:t>(0.189)</w:t>
            </w:r>
          </w:p>
        </w:tc>
      </w:tr>
      <w:tr>
        <w:trPr>
          <w:trHeight w:val="538"/>
        </w:trPr>
        <w:tc>
          <w:tcPr>
            <w:tcW w:w="2980" w:type="dxa"/>
            <w:vAlign w:val="bottom"/>
          </w:tcPr>
          <w:p>
            <w:pPr>
              <w:ind w:left="100"/>
              <w:spacing w:after="0"/>
              <w:rPr>
                <w:sz w:val="20"/>
                <w:szCs w:val="20"/>
                <w:color w:val="auto"/>
              </w:rPr>
            </w:pPr>
            <w:r>
              <w:rPr>
                <w:rFonts w:ascii="Calibri" w:cs="Calibri" w:eastAsia="Calibri" w:hAnsi="Calibri"/>
                <w:sz w:val="22"/>
                <w:szCs w:val="22"/>
                <w:color w:val="auto"/>
              </w:rPr>
              <w:t>Constant</w:t>
            </w:r>
          </w:p>
        </w:tc>
        <w:tc>
          <w:tcPr>
            <w:tcW w:w="1140" w:type="dxa"/>
            <w:vAlign w:val="bottom"/>
          </w:tcPr>
          <w:p>
            <w:pPr>
              <w:jc w:val="center"/>
              <w:spacing w:after="0"/>
              <w:rPr>
                <w:sz w:val="20"/>
                <w:szCs w:val="20"/>
                <w:color w:val="auto"/>
              </w:rPr>
            </w:pPr>
            <w:r>
              <w:rPr>
                <w:rFonts w:ascii="Calibri" w:cs="Calibri" w:eastAsia="Calibri" w:hAnsi="Calibri"/>
                <w:sz w:val="20"/>
                <w:szCs w:val="20"/>
                <w:color w:val="auto"/>
              </w:rPr>
              <w:t>2.597***</w:t>
            </w:r>
          </w:p>
        </w:tc>
        <w:tc>
          <w:tcPr>
            <w:tcW w:w="1000" w:type="dxa"/>
            <w:vAlign w:val="bottom"/>
          </w:tcPr>
          <w:p>
            <w:pPr>
              <w:jc w:val="center"/>
              <w:spacing w:after="0"/>
              <w:rPr>
                <w:sz w:val="20"/>
                <w:szCs w:val="20"/>
                <w:color w:val="auto"/>
              </w:rPr>
            </w:pPr>
            <w:r>
              <w:rPr>
                <w:rFonts w:ascii="Calibri" w:cs="Calibri" w:eastAsia="Calibri" w:hAnsi="Calibri"/>
                <w:sz w:val="20"/>
                <w:szCs w:val="20"/>
                <w:color w:val="auto"/>
              </w:rPr>
              <w:t>2.422***</w:t>
            </w:r>
          </w:p>
        </w:tc>
        <w:tc>
          <w:tcPr>
            <w:tcW w:w="1000" w:type="dxa"/>
            <w:vAlign w:val="bottom"/>
          </w:tcPr>
          <w:p>
            <w:pPr>
              <w:jc w:val="center"/>
              <w:spacing w:after="0"/>
              <w:rPr>
                <w:sz w:val="20"/>
                <w:szCs w:val="20"/>
                <w:color w:val="auto"/>
              </w:rPr>
            </w:pPr>
            <w:r>
              <w:rPr>
                <w:rFonts w:ascii="Calibri" w:cs="Calibri" w:eastAsia="Calibri" w:hAnsi="Calibri"/>
                <w:sz w:val="20"/>
                <w:szCs w:val="20"/>
                <w:color w:val="auto"/>
              </w:rPr>
              <w:t>2.584***</w:t>
            </w:r>
          </w:p>
        </w:tc>
      </w:tr>
      <w:tr>
        <w:trPr>
          <w:trHeight w:val="288"/>
        </w:trPr>
        <w:tc>
          <w:tcPr>
            <w:tcW w:w="2980" w:type="dxa"/>
            <w:vAlign w:val="bottom"/>
          </w:tcPr>
          <w:p>
            <w:pPr>
              <w:spacing w:after="0"/>
              <w:rPr>
                <w:sz w:val="24"/>
                <w:szCs w:val="24"/>
                <w:color w:val="auto"/>
              </w:rPr>
            </w:pPr>
          </w:p>
        </w:tc>
        <w:tc>
          <w:tcPr>
            <w:tcW w:w="1140" w:type="dxa"/>
            <w:vAlign w:val="bottom"/>
          </w:tcPr>
          <w:p>
            <w:pPr>
              <w:jc w:val="center"/>
              <w:spacing w:after="0"/>
              <w:rPr>
                <w:sz w:val="20"/>
                <w:szCs w:val="20"/>
                <w:color w:val="auto"/>
              </w:rPr>
            </w:pPr>
            <w:r>
              <w:rPr>
                <w:rFonts w:ascii="Calibri" w:cs="Calibri" w:eastAsia="Calibri" w:hAnsi="Calibri"/>
                <w:sz w:val="20"/>
                <w:szCs w:val="20"/>
                <w:color w:val="auto"/>
                <w:w w:val="96"/>
              </w:rPr>
              <w:t>(0.106)</w:t>
            </w:r>
          </w:p>
        </w:tc>
        <w:tc>
          <w:tcPr>
            <w:tcW w:w="1000" w:type="dxa"/>
            <w:vAlign w:val="bottom"/>
          </w:tcPr>
          <w:p>
            <w:pPr>
              <w:jc w:val="center"/>
              <w:spacing w:after="0"/>
              <w:rPr>
                <w:sz w:val="20"/>
                <w:szCs w:val="20"/>
                <w:color w:val="auto"/>
              </w:rPr>
            </w:pPr>
            <w:r>
              <w:rPr>
                <w:rFonts w:ascii="Calibri" w:cs="Calibri" w:eastAsia="Calibri" w:hAnsi="Calibri"/>
                <w:sz w:val="20"/>
                <w:szCs w:val="20"/>
                <w:color w:val="auto"/>
              </w:rPr>
              <w:t>(0.184)</w:t>
            </w:r>
          </w:p>
        </w:tc>
        <w:tc>
          <w:tcPr>
            <w:tcW w:w="1000" w:type="dxa"/>
            <w:vAlign w:val="bottom"/>
          </w:tcPr>
          <w:p>
            <w:pPr>
              <w:jc w:val="center"/>
              <w:spacing w:after="0"/>
              <w:rPr>
                <w:sz w:val="20"/>
                <w:szCs w:val="20"/>
                <w:color w:val="auto"/>
              </w:rPr>
            </w:pPr>
            <w:r>
              <w:rPr>
                <w:rFonts w:ascii="Calibri" w:cs="Calibri" w:eastAsia="Calibri" w:hAnsi="Calibri"/>
                <w:sz w:val="20"/>
                <w:szCs w:val="20"/>
                <w:color w:val="auto"/>
                <w:w w:val="96"/>
              </w:rPr>
              <w:t>(0.092)</w:t>
            </w:r>
          </w:p>
        </w:tc>
      </w:tr>
      <w:tr>
        <w:trPr>
          <w:trHeight w:val="276"/>
        </w:trPr>
        <w:tc>
          <w:tcPr>
            <w:tcW w:w="2980" w:type="dxa"/>
            <w:vAlign w:val="bottom"/>
            <w:tcBorders>
              <w:bottom w:val="single" w:sz="8" w:color="auto"/>
            </w:tcBorders>
          </w:tcPr>
          <w:p>
            <w:pPr>
              <w:spacing w:after="0"/>
              <w:rPr>
                <w:sz w:val="24"/>
                <w:szCs w:val="24"/>
                <w:color w:val="auto"/>
              </w:rPr>
            </w:pPr>
          </w:p>
        </w:tc>
        <w:tc>
          <w:tcPr>
            <w:tcW w:w="1140" w:type="dxa"/>
            <w:vAlign w:val="bottom"/>
            <w:tcBorders>
              <w:bottom w:val="single" w:sz="8" w:color="auto"/>
            </w:tcBorders>
          </w:tcPr>
          <w:p>
            <w:pPr>
              <w:spacing w:after="0"/>
              <w:rPr>
                <w:sz w:val="24"/>
                <w:szCs w:val="24"/>
                <w:color w:val="auto"/>
              </w:rPr>
            </w:pPr>
          </w:p>
        </w:tc>
        <w:tc>
          <w:tcPr>
            <w:tcW w:w="1000" w:type="dxa"/>
            <w:vAlign w:val="bottom"/>
            <w:tcBorders>
              <w:bottom w:val="single" w:sz="8" w:color="auto"/>
            </w:tcBorders>
          </w:tcPr>
          <w:p>
            <w:pPr>
              <w:spacing w:after="0"/>
              <w:rPr>
                <w:sz w:val="24"/>
                <w:szCs w:val="24"/>
                <w:color w:val="auto"/>
              </w:rPr>
            </w:pPr>
          </w:p>
        </w:tc>
        <w:tc>
          <w:tcPr>
            <w:tcW w:w="1000" w:type="dxa"/>
            <w:vAlign w:val="bottom"/>
            <w:tcBorders>
              <w:bottom w:val="single" w:sz="8" w:color="auto"/>
            </w:tcBorders>
          </w:tcPr>
          <w:p>
            <w:pPr>
              <w:spacing w:after="0"/>
              <w:rPr>
                <w:sz w:val="24"/>
                <w:szCs w:val="24"/>
                <w:color w:val="auto"/>
              </w:rPr>
            </w:pPr>
          </w:p>
        </w:tc>
      </w:tr>
      <w:tr>
        <w:trPr>
          <w:trHeight w:val="270"/>
        </w:trPr>
        <w:tc>
          <w:tcPr>
            <w:tcW w:w="2980" w:type="dxa"/>
            <w:vAlign w:val="bottom"/>
          </w:tcPr>
          <w:p>
            <w:pPr>
              <w:ind w:left="100"/>
              <w:spacing w:after="0"/>
              <w:rPr>
                <w:sz w:val="20"/>
                <w:szCs w:val="20"/>
                <w:color w:val="auto"/>
              </w:rPr>
            </w:pPr>
            <w:r>
              <w:rPr>
                <w:rFonts w:ascii="Calibri" w:cs="Calibri" w:eastAsia="Calibri" w:hAnsi="Calibri"/>
                <w:sz w:val="22"/>
                <w:szCs w:val="22"/>
                <w:color w:val="auto"/>
              </w:rPr>
              <w:t>Controls</w:t>
            </w:r>
          </w:p>
        </w:tc>
        <w:tc>
          <w:tcPr>
            <w:tcW w:w="1140" w:type="dxa"/>
            <w:vAlign w:val="bottom"/>
          </w:tcPr>
          <w:p>
            <w:pPr>
              <w:ind w:left="500"/>
              <w:spacing w:after="0"/>
              <w:rPr>
                <w:sz w:val="20"/>
                <w:szCs w:val="20"/>
                <w:color w:val="auto"/>
              </w:rPr>
            </w:pPr>
            <w:r>
              <w:rPr>
                <w:rFonts w:ascii="Calibri" w:cs="Calibri" w:eastAsia="Calibri" w:hAnsi="Calibri"/>
                <w:sz w:val="20"/>
                <w:szCs w:val="20"/>
                <w:color w:val="auto"/>
              </w:rPr>
              <w:t>No</w:t>
            </w:r>
          </w:p>
        </w:tc>
        <w:tc>
          <w:tcPr>
            <w:tcW w:w="1000" w:type="dxa"/>
            <w:vAlign w:val="bottom"/>
          </w:tcPr>
          <w:p>
            <w:pPr>
              <w:ind w:left="380"/>
              <w:spacing w:after="0"/>
              <w:rPr>
                <w:sz w:val="20"/>
                <w:szCs w:val="20"/>
                <w:color w:val="auto"/>
              </w:rPr>
            </w:pPr>
            <w:r>
              <w:rPr>
                <w:rFonts w:ascii="Calibri" w:cs="Calibri" w:eastAsia="Calibri" w:hAnsi="Calibri"/>
                <w:sz w:val="20"/>
                <w:szCs w:val="20"/>
                <w:color w:val="auto"/>
              </w:rPr>
              <w:t>Yes</w:t>
            </w:r>
          </w:p>
        </w:tc>
        <w:tc>
          <w:tcPr>
            <w:tcW w:w="1000" w:type="dxa"/>
            <w:vAlign w:val="bottom"/>
          </w:tcPr>
          <w:p>
            <w:pPr>
              <w:ind w:left="360"/>
              <w:spacing w:after="0"/>
              <w:rPr>
                <w:sz w:val="20"/>
                <w:szCs w:val="20"/>
                <w:color w:val="auto"/>
              </w:rPr>
            </w:pPr>
            <w:r>
              <w:rPr>
                <w:rFonts w:ascii="Calibri" w:cs="Calibri" w:eastAsia="Calibri" w:hAnsi="Calibri"/>
                <w:sz w:val="20"/>
                <w:szCs w:val="20"/>
                <w:color w:val="auto"/>
              </w:rPr>
              <w:t>Yes</w:t>
            </w:r>
          </w:p>
        </w:tc>
      </w:tr>
      <w:tr>
        <w:trPr>
          <w:trHeight w:val="288"/>
        </w:trPr>
        <w:tc>
          <w:tcPr>
            <w:tcW w:w="2980" w:type="dxa"/>
            <w:vAlign w:val="bottom"/>
          </w:tcPr>
          <w:p>
            <w:pPr>
              <w:ind w:left="100"/>
              <w:spacing w:after="0"/>
              <w:rPr>
                <w:sz w:val="20"/>
                <w:szCs w:val="20"/>
                <w:color w:val="auto"/>
              </w:rPr>
            </w:pPr>
            <w:r>
              <w:rPr>
                <w:rFonts w:ascii="Calibri" w:cs="Calibri" w:eastAsia="Calibri" w:hAnsi="Calibri"/>
                <w:sz w:val="22"/>
                <w:szCs w:val="22"/>
                <w:color w:val="auto"/>
              </w:rPr>
              <w:t>Judge fixed effects</w:t>
            </w:r>
          </w:p>
        </w:tc>
        <w:tc>
          <w:tcPr>
            <w:tcW w:w="1140" w:type="dxa"/>
            <w:vAlign w:val="bottom"/>
          </w:tcPr>
          <w:p>
            <w:pPr>
              <w:ind w:left="500"/>
              <w:spacing w:after="0"/>
              <w:rPr>
                <w:sz w:val="20"/>
                <w:szCs w:val="20"/>
                <w:color w:val="auto"/>
              </w:rPr>
            </w:pPr>
            <w:r>
              <w:rPr>
                <w:rFonts w:ascii="Calibri" w:cs="Calibri" w:eastAsia="Calibri" w:hAnsi="Calibri"/>
                <w:sz w:val="20"/>
                <w:szCs w:val="20"/>
                <w:color w:val="auto"/>
              </w:rPr>
              <w:t>No</w:t>
            </w:r>
          </w:p>
        </w:tc>
        <w:tc>
          <w:tcPr>
            <w:tcW w:w="1000" w:type="dxa"/>
            <w:vAlign w:val="bottom"/>
          </w:tcPr>
          <w:p>
            <w:pPr>
              <w:ind w:left="400"/>
              <w:spacing w:after="0"/>
              <w:rPr>
                <w:sz w:val="20"/>
                <w:szCs w:val="20"/>
                <w:color w:val="auto"/>
              </w:rPr>
            </w:pPr>
            <w:r>
              <w:rPr>
                <w:rFonts w:ascii="Calibri" w:cs="Calibri" w:eastAsia="Calibri" w:hAnsi="Calibri"/>
                <w:sz w:val="20"/>
                <w:szCs w:val="20"/>
                <w:color w:val="auto"/>
              </w:rPr>
              <w:t>No</w:t>
            </w:r>
          </w:p>
        </w:tc>
        <w:tc>
          <w:tcPr>
            <w:tcW w:w="1000" w:type="dxa"/>
            <w:vAlign w:val="bottom"/>
          </w:tcPr>
          <w:p>
            <w:pPr>
              <w:ind w:left="360"/>
              <w:spacing w:after="0"/>
              <w:rPr>
                <w:sz w:val="20"/>
                <w:szCs w:val="20"/>
                <w:color w:val="auto"/>
              </w:rPr>
            </w:pPr>
            <w:r>
              <w:rPr>
                <w:rFonts w:ascii="Calibri" w:cs="Calibri" w:eastAsia="Calibri" w:hAnsi="Calibri"/>
                <w:sz w:val="20"/>
                <w:szCs w:val="20"/>
                <w:color w:val="auto"/>
              </w:rPr>
              <w:t>Yes</w:t>
            </w:r>
          </w:p>
        </w:tc>
      </w:tr>
      <w:tr>
        <w:trPr>
          <w:trHeight w:val="269"/>
        </w:trPr>
        <w:tc>
          <w:tcPr>
            <w:tcW w:w="2980" w:type="dxa"/>
            <w:vAlign w:val="bottom"/>
          </w:tcPr>
          <w:p>
            <w:pPr>
              <w:ind w:left="100"/>
              <w:spacing w:after="0"/>
              <w:rPr>
                <w:sz w:val="20"/>
                <w:szCs w:val="20"/>
                <w:color w:val="auto"/>
              </w:rPr>
            </w:pPr>
            <w:r>
              <w:rPr>
                <w:rFonts w:ascii="Calibri" w:cs="Calibri" w:eastAsia="Calibri" w:hAnsi="Calibri"/>
                <w:sz w:val="22"/>
                <w:szCs w:val="22"/>
                <w:color w:val="auto"/>
              </w:rPr>
              <w:t>Number of observations</w:t>
            </w:r>
          </w:p>
        </w:tc>
        <w:tc>
          <w:tcPr>
            <w:tcW w:w="1140" w:type="dxa"/>
            <w:vAlign w:val="bottom"/>
          </w:tcPr>
          <w:p>
            <w:pPr>
              <w:jc w:val="center"/>
              <w:spacing w:after="0"/>
              <w:rPr>
                <w:sz w:val="20"/>
                <w:szCs w:val="20"/>
                <w:color w:val="auto"/>
              </w:rPr>
            </w:pPr>
            <w:r>
              <w:rPr>
                <w:rFonts w:ascii="Calibri" w:cs="Calibri" w:eastAsia="Calibri" w:hAnsi="Calibri"/>
                <w:sz w:val="20"/>
                <w:szCs w:val="20"/>
                <w:color w:val="auto"/>
              </w:rPr>
              <w:t>120</w:t>
            </w:r>
          </w:p>
        </w:tc>
        <w:tc>
          <w:tcPr>
            <w:tcW w:w="1000" w:type="dxa"/>
            <w:vAlign w:val="bottom"/>
          </w:tcPr>
          <w:p>
            <w:pPr>
              <w:jc w:val="center"/>
              <w:spacing w:after="0"/>
              <w:rPr>
                <w:sz w:val="20"/>
                <w:szCs w:val="20"/>
                <w:color w:val="auto"/>
              </w:rPr>
            </w:pPr>
            <w:r>
              <w:rPr>
                <w:rFonts w:ascii="Calibri" w:cs="Calibri" w:eastAsia="Calibri" w:hAnsi="Calibri"/>
                <w:sz w:val="20"/>
                <w:szCs w:val="20"/>
                <w:color w:val="auto"/>
                <w:w w:val="98"/>
              </w:rPr>
              <w:t>120</w:t>
            </w:r>
          </w:p>
        </w:tc>
        <w:tc>
          <w:tcPr>
            <w:tcW w:w="1000" w:type="dxa"/>
            <w:vAlign w:val="bottom"/>
          </w:tcPr>
          <w:p>
            <w:pPr>
              <w:jc w:val="center"/>
              <w:spacing w:after="0"/>
              <w:rPr>
                <w:sz w:val="20"/>
                <w:szCs w:val="20"/>
                <w:color w:val="auto"/>
              </w:rPr>
            </w:pPr>
            <w:r>
              <w:rPr>
                <w:rFonts w:ascii="Calibri" w:cs="Calibri" w:eastAsia="Calibri" w:hAnsi="Calibri"/>
                <w:sz w:val="20"/>
                <w:szCs w:val="20"/>
                <w:color w:val="auto"/>
              </w:rPr>
              <w:t>120</w:t>
            </w:r>
          </w:p>
        </w:tc>
      </w:tr>
      <w:tr>
        <w:trPr>
          <w:trHeight w:val="300"/>
        </w:trPr>
        <w:tc>
          <w:tcPr>
            <w:tcW w:w="2980" w:type="dxa"/>
            <w:vAlign w:val="bottom"/>
          </w:tcPr>
          <w:p>
            <w:pPr>
              <w:ind w:left="100"/>
              <w:spacing w:after="0"/>
              <w:rPr>
                <w:sz w:val="20"/>
                <w:szCs w:val="20"/>
                <w:color w:val="auto"/>
              </w:rPr>
            </w:pPr>
            <w:r>
              <w:rPr>
                <w:rFonts w:ascii="Calibri" w:cs="Calibri" w:eastAsia="Calibri" w:hAnsi="Calibri"/>
                <w:sz w:val="22"/>
                <w:szCs w:val="22"/>
                <w:color w:val="auto"/>
              </w:rPr>
              <w:t>R-squared</w:t>
            </w:r>
          </w:p>
        </w:tc>
        <w:tc>
          <w:tcPr>
            <w:tcW w:w="1140" w:type="dxa"/>
            <w:vAlign w:val="bottom"/>
          </w:tcPr>
          <w:p>
            <w:pPr>
              <w:jc w:val="center"/>
              <w:spacing w:after="0"/>
              <w:rPr>
                <w:sz w:val="20"/>
                <w:szCs w:val="20"/>
                <w:color w:val="auto"/>
              </w:rPr>
            </w:pPr>
            <w:r>
              <w:rPr>
                <w:rFonts w:ascii="Calibri" w:cs="Calibri" w:eastAsia="Calibri" w:hAnsi="Calibri"/>
                <w:sz w:val="20"/>
                <w:szCs w:val="20"/>
                <w:color w:val="auto"/>
              </w:rPr>
              <w:t>0.12</w:t>
            </w:r>
          </w:p>
        </w:tc>
        <w:tc>
          <w:tcPr>
            <w:tcW w:w="1000" w:type="dxa"/>
            <w:vAlign w:val="bottom"/>
          </w:tcPr>
          <w:p>
            <w:pPr>
              <w:jc w:val="center"/>
              <w:spacing w:after="0"/>
              <w:rPr>
                <w:sz w:val="20"/>
                <w:szCs w:val="20"/>
                <w:color w:val="auto"/>
              </w:rPr>
            </w:pPr>
            <w:r>
              <w:rPr>
                <w:rFonts w:ascii="Calibri" w:cs="Calibri" w:eastAsia="Calibri" w:hAnsi="Calibri"/>
                <w:sz w:val="20"/>
                <w:szCs w:val="20"/>
                <w:color w:val="auto"/>
              </w:rPr>
              <w:t>0.15</w:t>
            </w:r>
          </w:p>
        </w:tc>
        <w:tc>
          <w:tcPr>
            <w:tcW w:w="1000" w:type="dxa"/>
            <w:vAlign w:val="bottom"/>
          </w:tcPr>
          <w:p>
            <w:pPr>
              <w:jc w:val="center"/>
              <w:spacing w:after="0"/>
              <w:rPr>
                <w:sz w:val="20"/>
                <w:szCs w:val="20"/>
                <w:color w:val="auto"/>
              </w:rPr>
            </w:pPr>
            <w:r>
              <w:rPr>
                <w:rFonts w:ascii="Calibri" w:cs="Calibri" w:eastAsia="Calibri" w:hAnsi="Calibri"/>
                <w:sz w:val="20"/>
                <w:szCs w:val="20"/>
                <w:color w:val="auto"/>
              </w:rPr>
              <w:t>0.34</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-8255</wp:posOffset>
                </wp:positionH>
                <wp:positionV relativeFrom="paragraph">
                  <wp:posOffset>27305</wp:posOffset>
                </wp:positionV>
                <wp:extent cx="5953125"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53125"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499pt,2.15pt" to="468.1pt,2.15pt" o:allowincell="f" strokecolor="#000000" strokeweight="0.7199pt"/>
            </w:pict>
          </mc:Fallback>
        </mc:AlternateContent>
        <mc:AlternateContent>
          <mc:Choice Requires="wps">
            <w:drawing>
              <wp:anchor simplePos="0" relativeHeight="251657728" behindDoc="1" locked="0" layoutInCell="0" allowOverlap="1">
                <wp:simplePos x="0" y="0"/>
                <wp:positionH relativeFrom="column">
                  <wp:posOffset>-8255</wp:posOffset>
                </wp:positionH>
                <wp:positionV relativeFrom="paragraph">
                  <wp:posOffset>8890</wp:posOffset>
                </wp:positionV>
                <wp:extent cx="5953125"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53125"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499pt,0.7pt" to="468.1pt,0.7pt" o:allowincell="f" strokecolor="#000000" strokeweight="0.72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91"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Funding share proposed by</w:t>
      </w:r>
    </w:p>
    <w:p>
      <w:pPr>
        <w:jc w:val="center"/>
        <w:spacing w:after="0" w:line="238" w:lineRule="auto"/>
        <w:rPr>
          <w:sz w:val="20"/>
          <w:szCs w:val="20"/>
          <w:color w:val="auto"/>
        </w:rPr>
      </w:pPr>
      <w:r>
        <w:rPr>
          <w:rFonts w:ascii="Calibri" w:cs="Calibri" w:eastAsia="Calibri" w:hAnsi="Calibri"/>
          <w:sz w:val="22"/>
          <w:szCs w:val="22"/>
          <w:color w:val="auto"/>
        </w:rPr>
        <w:t>judges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34290</wp:posOffset>
                </wp:positionV>
                <wp:extent cx="1896745"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9674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2.7pt" to="149.05pt,2.7pt" o:allowincell="f" strokecolor="#000000" strokeweight="0.4799pt"/>
            </w:pict>
          </mc:Fallback>
        </mc:AlternateContent>
      </w:r>
    </w:p>
    <w:p>
      <w:pPr>
        <w:spacing w:after="0" w:line="50" w:lineRule="exact"/>
        <w:rPr>
          <w:sz w:val="20"/>
          <w:szCs w:val="20"/>
          <w:color w:val="auto"/>
        </w:rPr>
      </w:pPr>
    </w:p>
    <w:tbl>
      <w:tblPr>
        <w:tblLayout w:type="fixed"/>
        <w:tblInd w:w="0" w:type="dxa"/>
        <w:tblCellMar>
          <w:top w:w="0" w:type="dxa"/>
          <w:left w:w="0" w:type="dxa"/>
          <w:bottom w:w="0" w:type="dxa"/>
          <w:right w:w="0" w:type="dxa"/>
        </w:tblCellMar>
      </w:tblPr>
      <w:tr>
        <w:trPr>
          <w:trHeight w:val="273"/>
        </w:trPr>
        <w:tc>
          <w:tcPr>
            <w:tcW w:w="980" w:type="dxa"/>
            <w:vAlign w:val="bottom"/>
            <w:tcBorders>
              <w:bottom w:val="single" w:sz="8" w:color="auto"/>
            </w:tcBorders>
          </w:tcPr>
          <w:p>
            <w:pPr>
              <w:jc w:val="center"/>
              <w:spacing w:after="0"/>
              <w:rPr>
                <w:sz w:val="20"/>
                <w:szCs w:val="20"/>
                <w:color w:val="auto"/>
              </w:rPr>
            </w:pPr>
            <w:r>
              <w:rPr>
                <w:rFonts w:ascii="Calibri" w:cs="Calibri" w:eastAsia="Calibri" w:hAnsi="Calibri"/>
                <w:sz w:val="22"/>
                <w:szCs w:val="22"/>
                <w:color w:val="auto"/>
              </w:rPr>
              <w:t>(4)</w:t>
            </w:r>
          </w:p>
        </w:tc>
        <w:tc>
          <w:tcPr>
            <w:tcW w:w="1000" w:type="dxa"/>
            <w:vAlign w:val="bottom"/>
            <w:tcBorders>
              <w:bottom w:val="single" w:sz="8" w:color="auto"/>
            </w:tcBorders>
          </w:tcPr>
          <w:p>
            <w:pPr>
              <w:jc w:val="center"/>
              <w:spacing w:after="0"/>
              <w:rPr>
                <w:sz w:val="20"/>
                <w:szCs w:val="20"/>
                <w:color w:val="auto"/>
              </w:rPr>
            </w:pPr>
            <w:r>
              <w:rPr>
                <w:rFonts w:ascii="Calibri" w:cs="Calibri" w:eastAsia="Calibri" w:hAnsi="Calibri"/>
                <w:sz w:val="22"/>
                <w:szCs w:val="22"/>
                <w:color w:val="auto"/>
              </w:rPr>
              <w:t>(5)</w:t>
            </w:r>
          </w:p>
        </w:tc>
        <w:tc>
          <w:tcPr>
            <w:tcW w:w="1000" w:type="dxa"/>
            <w:vAlign w:val="bottom"/>
            <w:tcBorders>
              <w:bottom w:val="single" w:sz="8" w:color="auto"/>
            </w:tcBorders>
          </w:tcPr>
          <w:p>
            <w:pPr>
              <w:jc w:val="center"/>
              <w:spacing w:after="0"/>
              <w:rPr>
                <w:sz w:val="20"/>
                <w:szCs w:val="20"/>
                <w:color w:val="auto"/>
              </w:rPr>
            </w:pPr>
            <w:r>
              <w:rPr>
                <w:rFonts w:ascii="Calibri" w:cs="Calibri" w:eastAsia="Calibri" w:hAnsi="Calibri"/>
                <w:sz w:val="22"/>
                <w:szCs w:val="22"/>
                <w:color w:val="auto"/>
                <w:w w:val="97"/>
              </w:rPr>
              <w:t>(6)</w:t>
            </w:r>
          </w:p>
        </w:tc>
      </w:tr>
      <w:tr>
        <w:trPr>
          <w:trHeight w:val="275"/>
        </w:trPr>
        <w:tc>
          <w:tcPr>
            <w:tcW w:w="980" w:type="dxa"/>
            <w:vAlign w:val="bottom"/>
          </w:tcPr>
          <w:p>
            <w:pPr>
              <w:jc w:val="center"/>
              <w:spacing w:after="0"/>
              <w:rPr>
                <w:sz w:val="20"/>
                <w:szCs w:val="20"/>
                <w:color w:val="auto"/>
              </w:rPr>
            </w:pPr>
            <w:r>
              <w:rPr>
                <w:rFonts w:ascii="Calibri" w:cs="Calibri" w:eastAsia="Calibri" w:hAnsi="Calibri"/>
                <w:sz w:val="20"/>
                <w:szCs w:val="20"/>
                <w:color w:val="auto"/>
                <w:w w:val="97"/>
              </w:rPr>
              <w:t>0.212***</w:t>
            </w:r>
          </w:p>
        </w:tc>
        <w:tc>
          <w:tcPr>
            <w:tcW w:w="1000" w:type="dxa"/>
            <w:vAlign w:val="bottom"/>
          </w:tcPr>
          <w:p>
            <w:pPr>
              <w:jc w:val="center"/>
              <w:spacing w:after="0"/>
              <w:rPr>
                <w:sz w:val="20"/>
                <w:szCs w:val="20"/>
                <w:color w:val="auto"/>
              </w:rPr>
            </w:pPr>
            <w:r>
              <w:rPr>
                <w:rFonts w:ascii="Calibri" w:cs="Calibri" w:eastAsia="Calibri" w:hAnsi="Calibri"/>
                <w:sz w:val="20"/>
                <w:szCs w:val="20"/>
                <w:color w:val="auto"/>
              </w:rPr>
              <w:t>0.211***</w:t>
            </w:r>
          </w:p>
        </w:tc>
        <w:tc>
          <w:tcPr>
            <w:tcW w:w="1000" w:type="dxa"/>
            <w:vAlign w:val="bottom"/>
          </w:tcPr>
          <w:p>
            <w:pPr>
              <w:jc w:val="center"/>
              <w:spacing w:after="0"/>
              <w:rPr>
                <w:sz w:val="20"/>
                <w:szCs w:val="20"/>
                <w:color w:val="auto"/>
              </w:rPr>
            </w:pPr>
            <w:r>
              <w:rPr>
                <w:rFonts w:ascii="Calibri" w:cs="Calibri" w:eastAsia="Calibri" w:hAnsi="Calibri"/>
                <w:sz w:val="20"/>
                <w:szCs w:val="20"/>
                <w:color w:val="auto"/>
              </w:rPr>
              <w:t>0.209***</w:t>
            </w:r>
          </w:p>
        </w:tc>
      </w:tr>
      <w:tr>
        <w:trPr>
          <w:trHeight w:val="288"/>
        </w:trPr>
        <w:tc>
          <w:tcPr>
            <w:tcW w:w="980" w:type="dxa"/>
            <w:vAlign w:val="bottom"/>
          </w:tcPr>
          <w:p>
            <w:pPr>
              <w:jc w:val="center"/>
              <w:spacing w:after="0"/>
              <w:rPr>
                <w:sz w:val="20"/>
                <w:szCs w:val="20"/>
                <w:color w:val="auto"/>
              </w:rPr>
            </w:pPr>
            <w:r>
              <w:rPr>
                <w:rFonts w:ascii="Calibri" w:cs="Calibri" w:eastAsia="Calibri" w:hAnsi="Calibri"/>
                <w:sz w:val="20"/>
                <w:szCs w:val="20"/>
                <w:color w:val="auto"/>
              </w:rPr>
              <w:t>(0.062)</w:t>
            </w:r>
          </w:p>
        </w:tc>
        <w:tc>
          <w:tcPr>
            <w:tcW w:w="1000" w:type="dxa"/>
            <w:vAlign w:val="bottom"/>
          </w:tcPr>
          <w:p>
            <w:pPr>
              <w:jc w:val="center"/>
              <w:spacing w:after="0"/>
              <w:rPr>
                <w:sz w:val="20"/>
                <w:szCs w:val="20"/>
                <w:color w:val="auto"/>
              </w:rPr>
            </w:pPr>
            <w:r>
              <w:rPr>
                <w:rFonts w:ascii="Calibri" w:cs="Calibri" w:eastAsia="Calibri" w:hAnsi="Calibri"/>
                <w:sz w:val="20"/>
                <w:szCs w:val="20"/>
                <w:color w:val="auto"/>
              </w:rPr>
              <w:t>(0.064)</w:t>
            </w:r>
          </w:p>
        </w:tc>
        <w:tc>
          <w:tcPr>
            <w:tcW w:w="1000" w:type="dxa"/>
            <w:vAlign w:val="bottom"/>
          </w:tcPr>
          <w:p>
            <w:pPr>
              <w:jc w:val="center"/>
              <w:spacing w:after="0"/>
              <w:rPr>
                <w:sz w:val="20"/>
                <w:szCs w:val="20"/>
                <w:color w:val="auto"/>
              </w:rPr>
            </w:pPr>
            <w:r>
              <w:rPr>
                <w:rFonts w:ascii="Calibri" w:cs="Calibri" w:eastAsia="Calibri" w:hAnsi="Calibri"/>
                <w:sz w:val="20"/>
                <w:szCs w:val="20"/>
                <w:color w:val="auto"/>
              </w:rPr>
              <w:t>(0.068)</w:t>
            </w:r>
          </w:p>
        </w:tc>
      </w:tr>
      <w:tr>
        <w:trPr>
          <w:trHeight w:val="538"/>
        </w:trPr>
        <w:tc>
          <w:tcPr>
            <w:tcW w:w="980" w:type="dxa"/>
            <w:vAlign w:val="bottom"/>
          </w:tcPr>
          <w:p>
            <w:pPr>
              <w:jc w:val="center"/>
              <w:spacing w:after="0"/>
              <w:rPr>
                <w:sz w:val="20"/>
                <w:szCs w:val="20"/>
                <w:color w:val="auto"/>
              </w:rPr>
            </w:pPr>
            <w:r>
              <w:rPr>
                <w:rFonts w:ascii="Calibri" w:cs="Calibri" w:eastAsia="Calibri" w:hAnsi="Calibri"/>
                <w:sz w:val="20"/>
                <w:szCs w:val="20"/>
                <w:color w:val="auto"/>
                <w:w w:val="97"/>
              </w:rPr>
              <w:t>0.308***</w:t>
            </w:r>
          </w:p>
        </w:tc>
        <w:tc>
          <w:tcPr>
            <w:tcW w:w="1000" w:type="dxa"/>
            <w:vAlign w:val="bottom"/>
          </w:tcPr>
          <w:p>
            <w:pPr>
              <w:jc w:val="center"/>
              <w:spacing w:after="0"/>
              <w:rPr>
                <w:sz w:val="20"/>
                <w:szCs w:val="20"/>
                <w:color w:val="auto"/>
              </w:rPr>
            </w:pPr>
            <w:r>
              <w:rPr>
                <w:rFonts w:ascii="Calibri" w:cs="Calibri" w:eastAsia="Calibri" w:hAnsi="Calibri"/>
                <w:sz w:val="20"/>
                <w:szCs w:val="20"/>
                <w:color w:val="auto"/>
              </w:rPr>
              <w:t>0.220***</w:t>
            </w:r>
          </w:p>
        </w:tc>
        <w:tc>
          <w:tcPr>
            <w:tcW w:w="1000" w:type="dxa"/>
            <w:vAlign w:val="bottom"/>
          </w:tcPr>
          <w:p>
            <w:pPr>
              <w:jc w:val="center"/>
              <w:spacing w:after="0"/>
              <w:rPr>
                <w:sz w:val="20"/>
                <w:szCs w:val="20"/>
                <w:color w:val="auto"/>
              </w:rPr>
            </w:pPr>
            <w:r>
              <w:rPr>
                <w:rFonts w:ascii="Calibri" w:cs="Calibri" w:eastAsia="Calibri" w:hAnsi="Calibri"/>
                <w:sz w:val="20"/>
                <w:szCs w:val="20"/>
                <w:color w:val="auto"/>
              </w:rPr>
              <w:t>0.306***</w:t>
            </w:r>
          </w:p>
        </w:tc>
      </w:tr>
      <w:tr>
        <w:trPr>
          <w:trHeight w:val="288"/>
        </w:trPr>
        <w:tc>
          <w:tcPr>
            <w:tcW w:w="980" w:type="dxa"/>
            <w:vAlign w:val="bottom"/>
          </w:tcPr>
          <w:p>
            <w:pPr>
              <w:jc w:val="center"/>
              <w:spacing w:after="0"/>
              <w:rPr>
                <w:sz w:val="20"/>
                <w:szCs w:val="20"/>
                <w:color w:val="auto"/>
              </w:rPr>
            </w:pPr>
            <w:r>
              <w:rPr>
                <w:rFonts w:ascii="Calibri" w:cs="Calibri" w:eastAsia="Calibri" w:hAnsi="Calibri"/>
                <w:sz w:val="20"/>
                <w:szCs w:val="20"/>
                <w:color w:val="auto"/>
              </w:rPr>
              <w:t>(0.053)</w:t>
            </w:r>
          </w:p>
        </w:tc>
        <w:tc>
          <w:tcPr>
            <w:tcW w:w="1000" w:type="dxa"/>
            <w:vAlign w:val="bottom"/>
          </w:tcPr>
          <w:p>
            <w:pPr>
              <w:jc w:val="center"/>
              <w:spacing w:after="0"/>
              <w:rPr>
                <w:sz w:val="20"/>
                <w:szCs w:val="20"/>
                <w:color w:val="auto"/>
              </w:rPr>
            </w:pPr>
            <w:r>
              <w:rPr>
                <w:rFonts w:ascii="Calibri" w:cs="Calibri" w:eastAsia="Calibri" w:hAnsi="Calibri"/>
                <w:sz w:val="20"/>
                <w:szCs w:val="20"/>
                <w:color w:val="auto"/>
              </w:rPr>
              <w:t>(0.071)</w:t>
            </w:r>
          </w:p>
        </w:tc>
        <w:tc>
          <w:tcPr>
            <w:tcW w:w="1000" w:type="dxa"/>
            <w:vAlign w:val="bottom"/>
          </w:tcPr>
          <w:p>
            <w:pPr>
              <w:jc w:val="center"/>
              <w:spacing w:after="0"/>
              <w:rPr>
                <w:sz w:val="20"/>
                <w:szCs w:val="20"/>
                <w:color w:val="auto"/>
              </w:rPr>
            </w:pPr>
            <w:r>
              <w:rPr>
                <w:rFonts w:ascii="Calibri" w:cs="Calibri" w:eastAsia="Calibri" w:hAnsi="Calibri"/>
                <w:sz w:val="20"/>
                <w:szCs w:val="20"/>
                <w:color w:val="auto"/>
              </w:rPr>
              <w:t>(0.032)</w:t>
            </w:r>
          </w:p>
        </w:tc>
      </w:tr>
      <w:tr>
        <w:trPr>
          <w:trHeight w:val="276"/>
        </w:trPr>
        <w:tc>
          <w:tcPr>
            <w:tcW w:w="980" w:type="dxa"/>
            <w:vAlign w:val="bottom"/>
            <w:tcBorders>
              <w:bottom w:val="single" w:sz="8" w:color="auto"/>
            </w:tcBorders>
          </w:tcPr>
          <w:p>
            <w:pPr>
              <w:spacing w:after="0"/>
              <w:rPr>
                <w:sz w:val="24"/>
                <w:szCs w:val="24"/>
                <w:color w:val="auto"/>
              </w:rPr>
            </w:pPr>
          </w:p>
        </w:tc>
        <w:tc>
          <w:tcPr>
            <w:tcW w:w="1000" w:type="dxa"/>
            <w:vAlign w:val="bottom"/>
            <w:tcBorders>
              <w:bottom w:val="single" w:sz="8" w:color="auto"/>
            </w:tcBorders>
          </w:tcPr>
          <w:p>
            <w:pPr>
              <w:spacing w:after="0"/>
              <w:rPr>
                <w:sz w:val="24"/>
                <w:szCs w:val="24"/>
                <w:color w:val="auto"/>
              </w:rPr>
            </w:pPr>
          </w:p>
        </w:tc>
        <w:tc>
          <w:tcPr>
            <w:tcW w:w="1000" w:type="dxa"/>
            <w:vAlign w:val="bottom"/>
            <w:tcBorders>
              <w:bottom w:val="single" w:sz="8" w:color="auto"/>
            </w:tcBorders>
          </w:tcPr>
          <w:p>
            <w:pPr>
              <w:spacing w:after="0"/>
              <w:rPr>
                <w:sz w:val="24"/>
                <w:szCs w:val="24"/>
                <w:color w:val="auto"/>
              </w:rPr>
            </w:pPr>
          </w:p>
        </w:tc>
      </w:tr>
      <w:tr>
        <w:trPr>
          <w:trHeight w:val="270"/>
        </w:trPr>
        <w:tc>
          <w:tcPr>
            <w:tcW w:w="980" w:type="dxa"/>
            <w:vAlign w:val="bottom"/>
          </w:tcPr>
          <w:p>
            <w:pPr>
              <w:ind w:left="380"/>
              <w:spacing w:after="0"/>
              <w:rPr>
                <w:sz w:val="20"/>
                <w:szCs w:val="20"/>
                <w:color w:val="auto"/>
              </w:rPr>
            </w:pPr>
            <w:r>
              <w:rPr>
                <w:rFonts w:ascii="Calibri" w:cs="Calibri" w:eastAsia="Calibri" w:hAnsi="Calibri"/>
                <w:sz w:val="20"/>
                <w:szCs w:val="20"/>
                <w:color w:val="auto"/>
              </w:rPr>
              <w:t>No</w:t>
            </w:r>
          </w:p>
        </w:tc>
        <w:tc>
          <w:tcPr>
            <w:tcW w:w="1000" w:type="dxa"/>
            <w:vAlign w:val="bottom"/>
          </w:tcPr>
          <w:p>
            <w:pPr>
              <w:ind w:left="360"/>
              <w:spacing w:after="0"/>
              <w:rPr>
                <w:sz w:val="20"/>
                <w:szCs w:val="20"/>
                <w:color w:val="auto"/>
              </w:rPr>
            </w:pPr>
            <w:r>
              <w:rPr>
                <w:rFonts w:ascii="Calibri" w:cs="Calibri" w:eastAsia="Calibri" w:hAnsi="Calibri"/>
                <w:sz w:val="20"/>
                <w:szCs w:val="20"/>
                <w:color w:val="auto"/>
              </w:rPr>
              <w:t>Yes</w:t>
            </w:r>
          </w:p>
        </w:tc>
        <w:tc>
          <w:tcPr>
            <w:tcW w:w="1000" w:type="dxa"/>
            <w:vAlign w:val="bottom"/>
          </w:tcPr>
          <w:p>
            <w:pPr>
              <w:ind w:left="360"/>
              <w:spacing w:after="0"/>
              <w:rPr>
                <w:sz w:val="20"/>
                <w:szCs w:val="20"/>
                <w:color w:val="auto"/>
              </w:rPr>
            </w:pPr>
            <w:r>
              <w:rPr>
                <w:rFonts w:ascii="Calibri" w:cs="Calibri" w:eastAsia="Calibri" w:hAnsi="Calibri"/>
                <w:sz w:val="20"/>
                <w:szCs w:val="20"/>
                <w:color w:val="auto"/>
              </w:rPr>
              <w:t>Yes</w:t>
            </w:r>
          </w:p>
        </w:tc>
      </w:tr>
      <w:tr>
        <w:trPr>
          <w:trHeight w:val="288"/>
        </w:trPr>
        <w:tc>
          <w:tcPr>
            <w:tcW w:w="980" w:type="dxa"/>
            <w:vAlign w:val="bottom"/>
          </w:tcPr>
          <w:p>
            <w:pPr>
              <w:ind w:left="380"/>
              <w:spacing w:after="0"/>
              <w:rPr>
                <w:sz w:val="20"/>
                <w:szCs w:val="20"/>
                <w:color w:val="auto"/>
              </w:rPr>
            </w:pPr>
            <w:r>
              <w:rPr>
                <w:rFonts w:ascii="Calibri" w:cs="Calibri" w:eastAsia="Calibri" w:hAnsi="Calibri"/>
                <w:sz w:val="20"/>
                <w:szCs w:val="20"/>
                <w:color w:val="auto"/>
              </w:rPr>
              <w:t>No</w:t>
            </w:r>
          </w:p>
        </w:tc>
        <w:tc>
          <w:tcPr>
            <w:tcW w:w="1000" w:type="dxa"/>
            <w:vAlign w:val="bottom"/>
          </w:tcPr>
          <w:p>
            <w:pPr>
              <w:ind w:left="380"/>
              <w:spacing w:after="0"/>
              <w:rPr>
                <w:sz w:val="20"/>
                <w:szCs w:val="20"/>
                <w:color w:val="auto"/>
              </w:rPr>
            </w:pPr>
            <w:r>
              <w:rPr>
                <w:rFonts w:ascii="Calibri" w:cs="Calibri" w:eastAsia="Calibri" w:hAnsi="Calibri"/>
                <w:sz w:val="20"/>
                <w:szCs w:val="20"/>
                <w:color w:val="auto"/>
              </w:rPr>
              <w:t>No</w:t>
            </w:r>
          </w:p>
        </w:tc>
        <w:tc>
          <w:tcPr>
            <w:tcW w:w="1000" w:type="dxa"/>
            <w:vAlign w:val="bottom"/>
          </w:tcPr>
          <w:p>
            <w:pPr>
              <w:ind w:left="360"/>
              <w:spacing w:after="0"/>
              <w:rPr>
                <w:sz w:val="20"/>
                <w:szCs w:val="20"/>
                <w:color w:val="auto"/>
              </w:rPr>
            </w:pPr>
            <w:r>
              <w:rPr>
                <w:rFonts w:ascii="Calibri" w:cs="Calibri" w:eastAsia="Calibri" w:hAnsi="Calibri"/>
                <w:sz w:val="20"/>
                <w:szCs w:val="20"/>
                <w:color w:val="auto"/>
              </w:rPr>
              <w:t>Yes</w:t>
            </w:r>
          </w:p>
        </w:tc>
      </w:tr>
      <w:tr>
        <w:trPr>
          <w:trHeight w:val="269"/>
        </w:trPr>
        <w:tc>
          <w:tcPr>
            <w:tcW w:w="980" w:type="dxa"/>
            <w:vAlign w:val="bottom"/>
          </w:tcPr>
          <w:p>
            <w:pPr>
              <w:jc w:val="center"/>
              <w:spacing w:after="0"/>
              <w:rPr>
                <w:sz w:val="20"/>
                <w:szCs w:val="20"/>
                <w:color w:val="auto"/>
              </w:rPr>
            </w:pPr>
            <w:r>
              <w:rPr>
                <w:rFonts w:ascii="Calibri" w:cs="Calibri" w:eastAsia="Calibri" w:hAnsi="Calibri"/>
                <w:sz w:val="20"/>
                <w:szCs w:val="20"/>
                <w:color w:val="auto"/>
                <w:w w:val="98"/>
              </w:rPr>
              <w:t>120</w:t>
            </w:r>
          </w:p>
        </w:tc>
        <w:tc>
          <w:tcPr>
            <w:tcW w:w="1000" w:type="dxa"/>
            <w:vAlign w:val="bottom"/>
          </w:tcPr>
          <w:p>
            <w:pPr>
              <w:jc w:val="center"/>
              <w:spacing w:after="0"/>
              <w:rPr>
                <w:sz w:val="20"/>
                <w:szCs w:val="20"/>
                <w:color w:val="auto"/>
              </w:rPr>
            </w:pPr>
            <w:r>
              <w:rPr>
                <w:rFonts w:ascii="Calibri" w:cs="Calibri" w:eastAsia="Calibri" w:hAnsi="Calibri"/>
                <w:sz w:val="20"/>
                <w:szCs w:val="20"/>
                <w:color w:val="auto"/>
                <w:w w:val="98"/>
              </w:rPr>
              <w:t>120</w:t>
            </w:r>
          </w:p>
        </w:tc>
        <w:tc>
          <w:tcPr>
            <w:tcW w:w="1000" w:type="dxa"/>
            <w:vAlign w:val="bottom"/>
          </w:tcPr>
          <w:p>
            <w:pPr>
              <w:jc w:val="center"/>
              <w:spacing w:after="0"/>
              <w:rPr>
                <w:sz w:val="20"/>
                <w:szCs w:val="20"/>
                <w:color w:val="auto"/>
              </w:rPr>
            </w:pPr>
            <w:r>
              <w:rPr>
                <w:rFonts w:ascii="Calibri" w:cs="Calibri" w:eastAsia="Calibri" w:hAnsi="Calibri"/>
                <w:sz w:val="20"/>
                <w:szCs w:val="20"/>
                <w:color w:val="auto"/>
                <w:w w:val="98"/>
              </w:rPr>
              <w:t>120</w:t>
            </w:r>
          </w:p>
        </w:tc>
      </w:tr>
      <w:tr>
        <w:trPr>
          <w:trHeight w:val="300"/>
        </w:trPr>
        <w:tc>
          <w:tcPr>
            <w:tcW w:w="980" w:type="dxa"/>
            <w:vAlign w:val="bottom"/>
          </w:tcPr>
          <w:p>
            <w:pPr>
              <w:jc w:val="center"/>
              <w:spacing w:after="0"/>
              <w:rPr>
                <w:sz w:val="20"/>
                <w:szCs w:val="20"/>
                <w:color w:val="auto"/>
              </w:rPr>
            </w:pPr>
            <w:r>
              <w:rPr>
                <w:rFonts w:ascii="Calibri" w:cs="Calibri" w:eastAsia="Calibri" w:hAnsi="Calibri"/>
                <w:sz w:val="20"/>
                <w:szCs w:val="20"/>
                <w:color w:val="auto"/>
                <w:w w:val="95"/>
              </w:rPr>
              <w:t>0.12</w:t>
            </w:r>
          </w:p>
        </w:tc>
        <w:tc>
          <w:tcPr>
            <w:tcW w:w="1000" w:type="dxa"/>
            <w:vAlign w:val="bottom"/>
          </w:tcPr>
          <w:p>
            <w:pPr>
              <w:jc w:val="center"/>
              <w:spacing w:after="0"/>
              <w:rPr>
                <w:sz w:val="20"/>
                <w:szCs w:val="20"/>
                <w:color w:val="auto"/>
              </w:rPr>
            </w:pPr>
            <w:r>
              <w:rPr>
                <w:rFonts w:ascii="Calibri" w:cs="Calibri" w:eastAsia="Calibri" w:hAnsi="Calibri"/>
                <w:sz w:val="20"/>
                <w:szCs w:val="20"/>
                <w:color w:val="auto"/>
              </w:rPr>
              <w:t>0.19</w:t>
            </w:r>
          </w:p>
        </w:tc>
        <w:tc>
          <w:tcPr>
            <w:tcW w:w="1000" w:type="dxa"/>
            <w:vAlign w:val="bottom"/>
          </w:tcPr>
          <w:p>
            <w:pPr>
              <w:jc w:val="center"/>
              <w:spacing w:after="0"/>
              <w:rPr>
                <w:sz w:val="20"/>
                <w:szCs w:val="20"/>
                <w:color w:val="auto"/>
              </w:rPr>
            </w:pPr>
            <w:r>
              <w:rPr>
                <w:rFonts w:ascii="Calibri" w:cs="Calibri" w:eastAsia="Calibri" w:hAnsi="Calibri"/>
                <w:sz w:val="20"/>
                <w:szCs w:val="20"/>
                <w:color w:val="auto"/>
              </w:rPr>
              <w:t>0.33</w:t>
            </w:r>
          </w:p>
        </w:tc>
      </w:tr>
    </w:tbl>
    <w:p>
      <w:pPr>
        <w:spacing w:after="0" w:line="200" w:lineRule="exact"/>
        <w:rPr>
          <w:sz w:val="20"/>
          <w:szCs w:val="20"/>
          <w:color w:val="auto"/>
        </w:rPr>
      </w:pPr>
    </w:p>
    <w:p>
      <w:pPr>
        <w:sectPr>
          <w:pgSz w:w="12240" w:h="15840" w:orient="portrait"/>
          <w:cols w:equalWidth="0" w:num="2">
            <w:col w:w="6120" w:space="260"/>
            <w:col w:w="2980"/>
          </w:cols>
          <w:pgMar w:left="1440" w:top="1440" w:right="1440" w:bottom="474" w:gutter="0" w:footer="0" w:header="0"/>
          <w:type w:val="continuous"/>
        </w:sectPr>
      </w:pPr>
    </w:p>
    <w:p>
      <w:pPr>
        <w:spacing w:after="0" w:line="200" w:lineRule="exact"/>
        <w:rPr>
          <w:sz w:val="20"/>
          <w:szCs w:val="20"/>
          <w:color w:val="auto"/>
        </w:rPr>
      </w:pPr>
    </w:p>
    <w:p>
      <w:pPr>
        <w:spacing w:after="0" w:line="255" w:lineRule="exact"/>
        <w:rPr>
          <w:sz w:val="20"/>
          <w:szCs w:val="20"/>
          <w:color w:val="auto"/>
        </w:rPr>
      </w:pPr>
    </w:p>
    <w:p>
      <w:pPr>
        <w:ind w:right="60"/>
        <w:spacing w:after="0" w:line="254" w:lineRule="auto"/>
        <w:rPr>
          <w:sz w:val="20"/>
          <w:szCs w:val="20"/>
          <w:color w:val="auto"/>
        </w:rPr>
      </w:pPr>
      <w:r>
        <w:rPr>
          <w:rFonts w:ascii="Calibri" w:cs="Calibri" w:eastAsia="Calibri" w:hAnsi="Calibri"/>
          <w:sz w:val="22"/>
          <w:szCs w:val="22"/>
          <w:color w:val="auto"/>
        </w:rPr>
        <w:t>Notes: This table reports the results of OLS regressions, where the dependent variable is either the average score that the judge assigned a project or the share of funding goal that the judge proposed the project should get. Specifications (2), (3), (5) and (6) control for the background of the judges, including the number of times they have evaluated grant applications for theatre projects, their affiliation with the theatre industry, their familiarity with specific projects and the time they took to complete the survey. Columns (3) and (6) further add individual fixed effects for each judge. The key coefficients of interest are related to indicator variables for whether the project either reached or exceeded its goal on Kickstarter. These coefficients are estimated relative to the category of projects that did not reach their goal on Kickstarter. We report robust standard errors that are clustered by judge. *, ** and *** refer to significance at 10%, 5% and 1% respectively.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39</w:t>
      </w:r>
    </w:p>
    <w:p>
      <w:pPr>
        <w:sectPr>
          <w:pgSz w:w="12240" w:h="15840" w:orient="portrait"/>
          <w:cols w:equalWidth="0" w:num="1">
            <w:col w:w="9360"/>
          </w:cols>
          <w:pgMar w:left="1440" w:top="1440" w:right="1440" w:bottom="474" w:gutter="0" w:footer="0" w:header="0"/>
          <w:type w:val="continuous"/>
        </w:sectPr>
      </w:pPr>
    </w:p>
    <w:bookmarkStart w:id="40" w:name="page41"/>
    <w:bookmarkEnd w:id="40"/>
    <w:p>
      <w:pPr>
        <w:spacing w:after="0" w:line="200" w:lineRule="exact"/>
        <w:rPr>
          <w:sz w:val="20"/>
          <w:szCs w:val="20"/>
          <w:color w:val="auto"/>
        </w:rPr>
      </w:pPr>
    </w:p>
    <w:p>
      <w:pPr>
        <w:spacing w:after="0" w:line="244" w:lineRule="exact"/>
        <w:rPr>
          <w:sz w:val="20"/>
          <w:szCs w:val="20"/>
          <w:color w:val="auto"/>
        </w:rPr>
      </w:pPr>
    </w:p>
    <w:p>
      <w:pPr>
        <w:jc w:val="center"/>
        <w:spacing w:after="0"/>
        <w:rPr>
          <w:sz w:val="20"/>
          <w:szCs w:val="20"/>
          <w:color w:val="auto"/>
        </w:rPr>
      </w:pPr>
      <w:r>
        <w:rPr>
          <w:rFonts w:ascii="Calibri" w:cs="Calibri" w:eastAsia="Calibri" w:hAnsi="Calibri"/>
          <w:sz w:val="28"/>
          <w:szCs w:val="28"/>
          <w:b w:val="1"/>
          <w:bCs w:val="1"/>
          <w:color w:val="auto"/>
        </w:rPr>
        <w:t>Table 3a</w:t>
      </w:r>
    </w:p>
    <w:p>
      <w:pPr>
        <w:spacing w:after="0" w:line="1" w:lineRule="exact"/>
        <w:rPr>
          <w:sz w:val="20"/>
          <w:szCs w:val="20"/>
          <w:color w:val="auto"/>
        </w:rPr>
      </w:pPr>
    </w:p>
    <w:p>
      <w:pPr>
        <w:jc w:val="center"/>
        <w:spacing w:after="0"/>
        <w:rPr>
          <w:sz w:val="20"/>
          <w:szCs w:val="20"/>
          <w:color w:val="auto"/>
        </w:rPr>
      </w:pPr>
      <w:r>
        <w:rPr>
          <w:rFonts w:ascii="Calibri" w:cs="Calibri" w:eastAsia="Calibri" w:hAnsi="Calibri"/>
          <w:sz w:val="28"/>
          <w:szCs w:val="28"/>
          <w:b w:val="1"/>
          <w:bCs w:val="1"/>
          <w:color w:val="auto"/>
        </w:rPr>
        <w:t>Level of Agreement between Crowds and Experts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wp:posOffset>
            </wp:positionH>
            <wp:positionV relativeFrom="paragraph">
              <wp:posOffset>220345</wp:posOffset>
            </wp:positionV>
            <wp:extent cx="8195945" cy="4763"/>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extLst>
                    </a:blip>
                    <a:srcRect/>
                    <a:stretch>
                      <a:fillRect/>
                    </a:stretch>
                  </pic:blipFill>
                  <pic:spPr bwMode="auto">
                    <a:xfrm>
                      <a:off x="0" y="0"/>
                      <a:ext cx="8195945" cy="4763"/>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tbl>
      <w:tblPr>
        <w:tblLayout w:type="fixed"/>
        <w:tblInd w:w="20" w:type="dxa"/>
        <w:tblCellMar>
          <w:top w:w="0" w:type="dxa"/>
          <w:left w:w="0" w:type="dxa"/>
          <w:bottom w:w="0" w:type="dxa"/>
          <w:right w:w="0" w:type="dxa"/>
        </w:tblCellMar>
      </w:tblPr>
      <w:tr>
        <w:trPr>
          <w:trHeight w:val="246"/>
        </w:trPr>
        <w:tc>
          <w:tcPr>
            <w:tcW w:w="2100" w:type="dxa"/>
            <w:vAlign w:val="bottom"/>
            <w:tcBorders>
              <w:bottom w:val="single" w:sz="8" w:color="auto"/>
            </w:tcBorders>
          </w:tcPr>
          <w:p>
            <w:pPr>
              <w:spacing w:after="0"/>
              <w:rPr>
                <w:sz w:val="21"/>
                <w:szCs w:val="21"/>
                <w:color w:val="auto"/>
              </w:rPr>
            </w:pPr>
          </w:p>
        </w:tc>
        <w:tc>
          <w:tcPr>
            <w:tcW w:w="4080" w:type="dxa"/>
            <w:vAlign w:val="bottom"/>
            <w:tcBorders>
              <w:bottom w:val="single" w:sz="8" w:color="auto"/>
            </w:tcBorders>
            <w:gridSpan w:val="2"/>
          </w:tcPr>
          <w:p>
            <w:pPr>
              <w:ind w:left="1060"/>
              <w:spacing w:after="0"/>
              <w:rPr>
                <w:sz w:val="20"/>
                <w:szCs w:val="20"/>
                <w:color w:val="auto"/>
              </w:rPr>
            </w:pPr>
            <w:r>
              <w:rPr>
                <w:rFonts w:ascii="Calibri" w:cs="Calibri" w:eastAsia="Calibri" w:hAnsi="Calibri"/>
                <w:sz w:val="20"/>
                <w:szCs w:val="20"/>
                <w:color w:val="auto"/>
              </w:rPr>
              <w:t>Funding threshold is 100% of goal</w:t>
            </w:r>
          </w:p>
        </w:tc>
        <w:tc>
          <w:tcPr>
            <w:tcW w:w="160" w:type="dxa"/>
            <w:vAlign w:val="bottom"/>
          </w:tcPr>
          <w:p>
            <w:pPr>
              <w:spacing w:after="0"/>
              <w:rPr>
                <w:sz w:val="21"/>
                <w:szCs w:val="21"/>
                <w:color w:val="auto"/>
              </w:rPr>
            </w:pPr>
          </w:p>
        </w:tc>
        <w:tc>
          <w:tcPr>
            <w:tcW w:w="3240" w:type="dxa"/>
            <w:vAlign w:val="bottom"/>
            <w:tcBorders>
              <w:bottom w:val="single" w:sz="8" w:color="auto"/>
            </w:tcBorders>
            <w:gridSpan w:val="2"/>
          </w:tcPr>
          <w:p>
            <w:pPr>
              <w:ind w:left="320"/>
              <w:spacing w:after="0"/>
              <w:rPr>
                <w:sz w:val="20"/>
                <w:szCs w:val="20"/>
                <w:color w:val="auto"/>
              </w:rPr>
            </w:pPr>
            <w:r>
              <w:rPr>
                <w:rFonts w:ascii="Calibri" w:cs="Calibri" w:eastAsia="Calibri" w:hAnsi="Calibri"/>
                <w:sz w:val="20"/>
                <w:szCs w:val="20"/>
                <w:color w:val="auto"/>
              </w:rPr>
              <w:t>Funding threshold is 75% of goal</w:t>
            </w:r>
          </w:p>
        </w:tc>
        <w:tc>
          <w:tcPr>
            <w:tcW w:w="120" w:type="dxa"/>
            <w:vAlign w:val="bottom"/>
          </w:tcPr>
          <w:p>
            <w:pPr>
              <w:spacing w:after="0"/>
              <w:rPr>
                <w:sz w:val="21"/>
                <w:szCs w:val="21"/>
                <w:color w:val="auto"/>
              </w:rPr>
            </w:pPr>
          </w:p>
        </w:tc>
        <w:tc>
          <w:tcPr>
            <w:tcW w:w="3220" w:type="dxa"/>
            <w:vAlign w:val="bottom"/>
            <w:tcBorders>
              <w:bottom w:val="single" w:sz="8" w:color="auto"/>
            </w:tcBorders>
            <w:gridSpan w:val="2"/>
          </w:tcPr>
          <w:p>
            <w:pPr>
              <w:ind w:left="300"/>
              <w:spacing w:after="0"/>
              <w:rPr>
                <w:sz w:val="20"/>
                <w:szCs w:val="20"/>
                <w:color w:val="auto"/>
              </w:rPr>
            </w:pPr>
            <w:r>
              <w:rPr>
                <w:rFonts w:ascii="Calibri" w:cs="Calibri" w:eastAsia="Calibri" w:hAnsi="Calibri"/>
                <w:sz w:val="20"/>
                <w:szCs w:val="20"/>
                <w:color w:val="auto"/>
              </w:rPr>
              <w:t>Funding threshold is 50% of goal</w:t>
            </w:r>
          </w:p>
        </w:tc>
      </w:tr>
      <w:tr>
        <w:trPr>
          <w:trHeight w:val="222"/>
        </w:trPr>
        <w:tc>
          <w:tcPr>
            <w:tcW w:w="2100" w:type="dxa"/>
            <w:vAlign w:val="bottom"/>
          </w:tcPr>
          <w:p>
            <w:pPr>
              <w:spacing w:after="0"/>
              <w:rPr>
                <w:sz w:val="19"/>
                <w:szCs w:val="19"/>
                <w:color w:val="auto"/>
              </w:rPr>
            </w:pPr>
          </w:p>
        </w:tc>
        <w:tc>
          <w:tcPr>
            <w:tcW w:w="2440" w:type="dxa"/>
            <w:vAlign w:val="bottom"/>
          </w:tcPr>
          <w:p>
            <w:pPr>
              <w:jc w:val="center"/>
              <w:ind w:left="664"/>
              <w:spacing w:after="0" w:line="217" w:lineRule="exact"/>
              <w:rPr>
                <w:sz w:val="20"/>
                <w:szCs w:val="20"/>
                <w:color w:val="auto"/>
              </w:rPr>
            </w:pPr>
            <w:r>
              <w:rPr>
                <w:rFonts w:ascii="Calibri" w:cs="Calibri" w:eastAsia="Calibri" w:hAnsi="Calibri"/>
                <w:sz w:val="18"/>
                <w:szCs w:val="18"/>
                <w:color w:val="auto"/>
                <w:w w:val="99"/>
              </w:rPr>
              <w:t>(1)</w:t>
            </w:r>
          </w:p>
        </w:tc>
        <w:tc>
          <w:tcPr>
            <w:tcW w:w="1640" w:type="dxa"/>
            <w:vAlign w:val="bottom"/>
          </w:tcPr>
          <w:p>
            <w:pPr>
              <w:jc w:val="center"/>
              <w:spacing w:after="0" w:line="217" w:lineRule="exact"/>
              <w:rPr>
                <w:sz w:val="20"/>
                <w:szCs w:val="20"/>
                <w:color w:val="auto"/>
              </w:rPr>
            </w:pPr>
            <w:r>
              <w:rPr>
                <w:rFonts w:ascii="Calibri" w:cs="Calibri" w:eastAsia="Calibri" w:hAnsi="Calibri"/>
                <w:sz w:val="18"/>
                <w:szCs w:val="18"/>
                <w:color w:val="auto"/>
                <w:w w:val="99"/>
              </w:rPr>
              <w:t>(2)</w:t>
            </w:r>
          </w:p>
        </w:tc>
        <w:tc>
          <w:tcPr>
            <w:tcW w:w="1800" w:type="dxa"/>
            <w:vAlign w:val="bottom"/>
            <w:gridSpan w:val="2"/>
          </w:tcPr>
          <w:p>
            <w:pPr>
              <w:jc w:val="center"/>
              <w:ind w:left="21"/>
              <w:spacing w:after="0" w:line="217" w:lineRule="exact"/>
              <w:rPr>
                <w:sz w:val="20"/>
                <w:szCs w:val="20"/>
                <w:color w:val="auto"/>
              </w:rPr>
            </w:pPr>
            <w:r>
              <w:rPr>
                <w:rFonts w:ascii="Calibri" w:cs="Calibri" w:eastAsia="Calibri" w:hAnsi="Calibri"/>
                <w:sz w:val="18"/>
                <w:szCs w:val="18"/>
                <w:color w:val="auto"/>
                <w:w w:val="99"/>
              </w:rPr>
              <w:t>(3)</w:t>
            </w:r>
          </w:p>
        </w:tc>
        <w:tc>
          <w:tcPr>
            <w:tcW w:w="1600" w:type="dxa"/>
            <w:vAlign w:val="bottom"/>
          </w:tcPr>
          <w:p>
            <w:pPr>
              <w:jc w:val="center"/>
              <w:spacing w:after="0" w:line="217" w:lineRule="exact"/>
              <w:rPr>
                <w:sz w:val="20"/>
                <w:szCs w:val="20"/>
                <w:color w:val="auto"/>
              </w:rPr>
            </w:pPr>
            <w:r>
              <w:rPr>
                <w:rFonts w:ascii="Calibri" w:cs="Calibri" w:eastAsia="Calibri" w:hAnsi="Calibri"/>
                <w:sz w:val="18"/>
                <w:szCs w:val="18"/>
                <w:color w:val="auto"/>
                <w:w w:val="99"/>
              </w:rPr>
              <w:t>(4)</w:t>
            </w:r>
          </w:p>
        </w:tc>
        <w:tc>
          <w:tcPr>
            <w:tcW w:w="1680" w:type="dxa"/>
            <w:vAlign w:val="bottom"/>
            <w:gridSpan w:val="2"/>
          </w:tcPr>
          <w:p>
            <w:pPr>
              <w:jc w:val="center"/>
              <w:ind w:left="21"/>
              <w:spacing w:after="0" w:line="217" w:lineRule="exact"/>
              <w:rPr>
                <w:sz w:val="20"/>
                <w:szCs w:val="20"/>
                <w:color w:val="auto"/>
              </w:rPr>
            </w:pPr>
            <w:r>
              <w:rPr>
                <w:rFonts w:ascii="Calibri" w:cs="Calibri" w:eastAsia="Calibri" w:hAnsi="Calibri"/>
                <w:sz w:val="18"/>
                <w:szCs w:val="18"/>
                <w:color w:val="auto"/>
                <w:w w:val="99"/>
              </w:rPr>
              <w:t>(5)</w:t>
            </w:r>
          </w:p>
        </w:tc>
        <w:tc>
          <w:tcPr>
            <w:tcW w:w="1660" w:type="dxa"/>
            <w:vAlign w:val="bottom"/>
          </w:tcPr>
          <w:p>
            <w:pPr>
              <w:jc w:val="center"/>
              <w:spacing w:after="0" w:line="217" w:lineRule="exact"/>
              <w:rPr>
                <w:sz w:val="20"/>
                <w:szCs w:val="20"/>
                <w:color w:val="auto"/>
              </w:rPr>
            </w:pPr>
            <w:r>
              <w:rPr>
                <w:rFonts w:ascii="Calibri" w:cs="Calibri" w:eastAsia="Calibri" w:hAnsi="Calibri"/>
                <w:sz w:val="18"/>
                <w:szCs w:val="18"/>
                <w:color w:val="auto"/>
                <w:w w:val="99"/>
              </w:rPr>
              <w:t>(6)</w:t>
            </w:r>
          </w:p>
        </w:tc>
      </w:tr>
      <w:tr>
        <w:trPr>
          <w:trHeight w:val="361"/>
        </w:trPr>
        <w:tc>
          <w:tcPr>
            <w:tcW w:w="2100" w:type="dxa"/>
            <w:vAlign w:val="bottom"/>
            <w:tcBorders>
              <w:top w:val="single" w:sz="8" w:color="auto"/>
            </w:tcBorders>
          </w:tcPr>
          <w:p>
            <w:pPr>
              <w:spacing w:after="0"/>
              <w:rPr>
                <w:sz w:val="24"/>
                <w:szCs w:val="24"/>
                <w:color w:val="auto"/>
              </w:rPr>
            </w:pPr>
          </w:p>
        </w:tc>
        <w:tc>
          <w:tcPr>
            <w:tcW w:w="2440" w:type="dxa"/>
            <w:vAlign w:val="bottom"/>
            <w:tcBorders>
              <w:top w:val="single" w:sz="8" w:color="auto"/>
            </w:tcBorders>
          </w:tcPr>
          <w:p>
            <w:pPr>
              <w:jc w:val="center"/>
              <w:ind w:left="664"/>
              <w:spacing w:after="0"/>
              <w:rPr>
                <w:sz w:val="20"/>
                <w:szCs w:val="20"/>
                <w:color w:val="auto"/>
              </w:rPr>
            </w:pPr>
            <w:r>
              <w:rPr>
                <w:rFonts w:ascii="Calibri" w:cs="Calibri" w:eastAsia="Calibri" w:hAnsi="Calibri"/>
                <w:sz w:val="18"/>
                <w:szCs w:val="18"/>
                <w:color w:val="auto"/>
                <w:w w:val="98"/>
              </w:rPr>
              <w:t>Share of cases where</w:t>
            </w:r>
          </w:p>
        </w:tc>
        <w:tc>
          <w:tcPr>
            <w:tcW w:w="1640" w:type="dxa"/>
            <w:vAlign w:val="bottom"/>
            <w:tcBorders>
              <w:top w:val="single" w:sz="8" w:color="auto"/>
            </w:tcBorders>
          </w:tcPr>
          <w:p>
            <w:pPr>
              <w:jc w:val="center"/>
              <w:spacing w:after="0"/>
              <w:rPr>
                <w:sz w:val="20"/>
                <w:szCs w:val="20"/>
                <w:color w:val="auto"/>
              </w:rPr>
            </w:pPr>
            <w:r>
              <w:rPr>
                <w:rFonts w:ascii="Calibri" w:cs="Calibri" w:eastAsia="Calibri" w:hAnsi="Calibri"/>
                <w:sz w:val="18"/>
                <w:szCs w:val="18"/>
                <w:color w:val="auto"/>
                <w:w w:val="95"/>
              </w:rPr>
              <w:t>Share of</w:t>
            </w:r>
          </w:p>
        </w:tc>
        <w:tc>
          <w:tcPr>
            <w:tcW w:w="160" w:type="dxa"/>
            <w:vAlign w:val="bottom"/>
          </w:tcPr>
          <w:p>
            <w:pPr>
              <w:spacing w:after="0"/>
              <w:rPr>
                <w:sz w:val="24"/>
                <w:szCs w:val="24"/>
                <w:color w:val="auto"/>
              </w:rPr>
            </w:pPr>
          </w:p>
        </w:tc>
        <w:tc>
          <w:tcPr>
            <w:tcW w:w="1640" w:type="dxa"/>
            <w:vAlign w:val="bottom"/>
            <w:tcBorders>
              <w:top w:val="single" w:sz="8" w:color="auto"/>
            </w:tcBorders>
          </w:tcPr>
          <w:p>
            <w:pPr>
              <w:jc w:val="center"/>
              <w:spacing w:after="0"/>
              <w:rPr>
                <w:sz w:val="20"/>
                <w:szCs w:val="20"/>
                <w:color w:val="auto"/>
              </w:rPr>
            </w:pPr>
            <w:r>
              <w:rPr>
                <w:rFonts w:ascii="Calibri" w:cs="Calibri" w:eastAsia="Calibri" w:hAnsi="Calibri"/>
                <w:sz w:val="18"/>
                <w:szCs w:val="18"/>
                <w:color w:val="auto"/>
                <w:w w:val="98"/>
              </w:rPr>
              <w:t>Share of cases where</w:t>
            </w:r>
          </w:p>
        </w:tc>
        <w:tc>
          <w:tcPr>
            <w:tcW w:w="1600" w:type="dxa"/>
            <w:vAlign w:val="bottom"/>
            <w:tcBorders>
              <w:top w:val="single" w:sz="8" w:color="auto"/>
            </w:tcBorders>
          </w:tcPr>
          <w:p>
            <w:pPr>
              <w:jc w:val="center"/>
              <w:spacing w:after="0"/>
              <w:rPr>
                <w:sz w:val="20"/>
                <w:szCs w:val="20"/>
                <w:color w:val="auto"/>
              </w:rPr>
            </w:pPr>
            <w:r>
              <w:rPr>
                <w:rFonts w:ascii="Calibri" w:cs="Calibri" w:eastAsia="Calibri" w:hAnsi="Calibri"/>
                <w:sz w:val="18"/>
                <w:szCs w:val="18"/>
                <w:color w:val="auto"/>
                <w:w w:val="98"/>
              </w:rPr>
              <w:t>Share of</w:t>
            </w:r>
          </w:p>
        </w:tc>
        <w:tc>
          <w:tcPr>
            <w:tcW w:w="120" w:type="dxa"/>
            <w:vAlign w:val="bottom"/>
          </w:tcPr>
          <w:p>
            <w:pPr>
              <w:spacing w:after="0"/>
              <w:rPr>
                <w:sz w:val="24"/>
                <w:szCs w:val="24"/>
                <w:color w:val="auto"/>
              </w:rPr>
            </w:pPr>
          </w:p>
        </w:tc>
        <w:tc>
          <w:tcPr>
            <w:tcW w:w="1560" w:type="dxa"/>
            <w:vAlign w:val="bottom"/>
            <w:tcBorders>
              <w:top w:val="single" w:sz="8" w:color="auto"/>
            </w:tcBorders>
          </w:tcPr>
          <w:p>
            <w:pPr>
              <w:jc w:val="center"/>
              <w:spacing w:after="0"/>
              <w:rPr>
                <w:sz w:val="20"/>
                <w:szCs w:val="20"/>
                <w:color w:val="auto"/>
              </w:rPr>
            </w:pPr>
            <w:r>
              <w:rPr>
                <w:rFonts w:ascii="Calibri" w:cs="Calibri" w:eastAsia="Calibri" w:hAnsi="Calibri"/>
                <w:sz w:val="18"/>
                <w:szCs w:val="18"/>
                <w:color w:val="auto"/>
                <w:w w:val="98"/>
              </w:rPr>
              <w:t>Share of cases</w:t>
            </w:r>
          </w:p>
        </w:tc>
        <w:tc>
          <w:tcPr>
            <w:tcW w:w="1660" w:type="dxa"/>
            <w:vAlign w:val="bottom"/>
            <w:tcBorders>
              <w:top w:val="single" w:sz="8" w:color="auto"/>
            </w:tcBorders>
          </w:tcPr>
          <w:p>
            <w:pPr>
              <w:jc w:val="center"/>
              <w:spacing w:after="0"/>
              <w:rPr>
                <w:sz w:val="20"/>
                <w:szCs w:val="20"/>
                <w:color w:val="auto"/>
              </w:rPr>
            </w:pPr>
            <w:r>
              <w:rPr>
                <w:rFonts w:ascii="Calibri" w:cs="Calibri" w:eastAsia="Calibri" w:hAnsi="Calibri"/>
                <w:sz w:val="18"/>
                <w:szCs w:val="18"/>
                <w:color w:val="auto"/>
                <w:w w:val="98"/>
              </w:rPr>
              <w:t>Share of</w:t>
            </w:r>
          </w:p>
        </w:tc>
      </w:tr>
      <w:tr>
        <w:trPr>
          <w:trHeight w:val="234"/>
        </w:trPr>
        <w:tc>
          <w:tcPr>
            <w:tcW w:w="2100" w:type="dxa"/>
            <w:vAlign w:val="bottom"/>
          </w:tcPr>
          <w:p>
            <w:pPr>
              <w:spacing w:after="0"/>
              <w:rPr>
                <w:sz w:val="20"/>
                <w:szCs w:val="20"/>
                <w:color w:val="auto"/>
              </w:rPr>
            </w:pPr>
          </w:p>
        </w:tc>
        <w:tc>
          <w:tcPr>
            <w:tcW w:w="2440" w:type="dxa"/>
            <w:vAlign w:val="bottom"/>
          </w:tcPr>
          <w:p>
            <w:pPr>
              <w:jc w:val="center"/>
              <w:ind w:left="664"/>
              <w:spacing w:after="0"/>
              <w:rPr>
                <w:sz w:val="20"/>
                <w:szCs w:val="20"/>
                <w:color w:val="auto"/>
              </w:rPr>
            </w:pPr>
            <w:r>
              <w:rPr>
                <w:rFonts w:ascii="Calibri" w:cs="Calibri" w:eastAsia="Calibri" w:hAnsi="Calibri"/>
                <w:sz w:val="18"/>
                <w:szCs w:val="18"/>
                <w:color w:val="auto"/>
                <w:w w:val="98"/>
              </w:rPr>
              <w:t>Experts and Crowd</w:t>
            </w:r>
          </w:p>
        </w:tc>
        <w:tc>
          <w:tcPr>
            <w:tcW w:w="1640" w:type="dxa"/>
            <w:vAlign w:val="bottom"/>
          </w:tcPr>
          <w:p>
            <w:pPr>
              <w:jc w:val="center"/>
              <w:spacing w:after="0"/>
              <w:rPr>
                <w:sz w:val="20"/>
                <w:szCs w:val="20"/>
                <w:color w:val="auto"/>
              </w:rPr>
            </w:pPr>
            <w:r>
              <w:rPr>
                <w:rFonts w:ascii="Calibri" w:cs="Calibri" w:eastAsia="Calibri" w:hAnsi="Calibri"/>
                <w:sz w:val="18"/>
                <w:szCs w:val="18"/>
                <w:color w:val="auto"/>
                <w:w w:val="98"/>
              </w:rPr>
              <w:t>disagreement cases</w:t>
            </w:r>
          </w:p>
        </w:tc>
        <w:tc>
          <w:tcPr>
            <w:tcW w:w="160" w:type="dxa"/>
            <w:vAlign w:val="bottom"/>
          </w:tcPr>
          <w:p>
            <w:pPr>
              <w:spacing w:after="0"/>
              <w:rPr>
                <w:sz w:val="20"/>
                <w:szCs w:val="20"/>
                <w:color w:val="auto"/>
              </w:rPr>
            </w:pPr>
          </w:p>
        </w:tc>
        <w:tc>
          <w:tcPr>
            <w:tcW w:w="1640" w:type="dxa"/>
            <w:vAlign w:val="bottom"/>
          </w:tcPr>
          <w:p>
            <w:pPr>
              <w:jc w:val="center"/>
              <w:spacing w:after="0"/>
              <w:rPr>
                <w:sz w:val="20"/>
                <w:szCs w:val="20"/>
                <w:color w:val="auto"/>
              </w:rPr>
            </w:pPr>
            <w:r>
              <w:rPr>
                <w:rFonts w:ascii="Calibri" w:cs="Calibri" w:eastAsia="Calibri" w:hAnsi="Calibri"/>
                <w:sz w:val="18"/>
                <w:szCs w:val="18"/>
                <w:color w:val="auto"/>
                <w:w w:val="98"/>
              </w:rPr>
              <w:t>Experts and Crowd</w:t>
            </w:r>
          </w:p>
        </w:tc>
        <w:tc>
          <w:tcPr>
            <w:tcW w:w="1600" w:type="dxa"/>
            <w:vAlign w:val="bottom"/>
          </w:tcPr>
          <w:p>
            <w:pPr>
              <w:jc w:val="center"/>
              <w:spacing w:after="0"/>
              <w:rPr>
                <w:sz w:val="20"/>
                <w:szCs w:val="20"/>
                <w:color w:val="auto"/>
              </w:rPr>
            </w:pPr>
            <w:r>
              <w:rPr>
                <w:rFonts w:ascii="Calibri" w:cs="Calibri" w:eastAsia="Calibri" w:hAnsi="Calibri"/>
                <w:sz w:val="18"/>
                <w:szCs w:val="18"/>
                <w:color w:val="auto"/>
                <w:w w:val="99"/>
              </w:rPr>
              <w:t>disagreement cases</w:t>
            </w:r>
          </w:p>
        </w:tc>
        <w:tc>
          <w:tcPr>
            <w:tcW w:w="120" w:type="dxa"/>
            <w:vAlign w:val="bottom"/>
          </w:tcPr>
          <w:p>
            <w:pPr>
              <w:spacing w:after="0"/>
              <w:rPr>
                <w:sz w:val="20"/>
                <w:szCs w:val="20"/>
                <w:color w:val="auto"/>
              </w:rPr>
            </w:pPr>
          </w:p>
        </w:tc>
        <w:tc>
          <w:tcPr>
            <w:tcW w:w="1560" w:type="dxa"/>
            <w:vAlign w:val="bottom"/>
          </w:tcPr>
          <w:p>
            <w:pPr>
              <w:jc w:val="center"/>
              <w:spacing w:after="0"/>
              <w:rPr>
                <w:sz w:val="20"/>
                <w:szCs w:val="20"/>
                <w:color w:val="auto"/>
              </w:rPr>
            </w:pPr>
            <w:r>
              <w:rPr>
                <w:rFonts w:ascii="Calibri" w:cs="Calibri" w:eastAsia="Calibri" w:hAnsi="Calibri"/>
                <w:sz w:val="18"/>
                <w:szCs w:val="18"/>
                <w:color w:val="auto"/>
                <w:w w:val="99"/>
              </w:rPr>
              <w:t>where Experts and</w:t>
            </w:r>
          </w:p>
        </w:tc>
        <w:tc>
          <w:tcPr>
            <w:tcW w:w="1660" w:type="dxa"/>
            <w:vAlign w:val="bottom"/>
          </w:tcPr>
          <w:p>
            <w:pPr>
              <w:jc w:val="center"/>
              <w:spacing w:after="0"/>
              <w:rPr>
                <w:sz w:val="20"/>
                <w:szCs w:val="20"/>
                <w:color w:val="auto"/>
              </w:rPr>
            </w:pPr>
            <w:r>
              <w:rPr>
                <w:rFonts w:ascii="Calibri" w:cs="Calibri" w:eastAsia="Calibri" w:hAnsi="Calibri"/>
                <w:sz w:val="18"/>
                <w:szCs w:val="18"/>
                <w:color w:val="auto"/>
                <w:w w:val="99"/>
              </w:rPr>
              <w:t>disagreement cases</w:t>
            </w:r>
          </w:p>
        </w:tc>
      </w:tr>
      <w:tr>
        <w:trPr>
          <w:trHeight w:val="234"/>
        </w:trPr>
        <w:tc>
          <w:tcPr>
            <w:tcW w:w="2100" w:type="dxa"/>
            <w:vAlign w:val="bottom"/>
          </w:tcPr>
          <w:p>
            <w:pPr>
              <w:spacing w:after="0"/>
              <w:rPr>
                <w:sz w:val="20"/>
                <w:szCs w:val="20"/>
                <w:color w:val="auto"/>
              </w:rPr>
            </w:pPr>
          </w:p>
        </w:tc>
        <w:tc>
          <w:tcPr>
            <w:tcW w:w="2440" w:type="dxa"/>
            <w:vAlign w:val="bottom"/>
          </w:tcPr>
          <w:p>
            <w:pPr>
              <w:jc w:val="center"/>
              <w:ind w:left="664"/>
              <w:spacing w:after="0"/>
              <w:rPr>
                <w:sz w:val="20"/>
                <w:szCs w:val="20"/>
                <w:color w:val="auto"/>
              </w:rPr>
            </w:pPr>
            <w:r>
              <w:rPr>
                <w:rFonts w:ascii="Calibri" w:cs="Calibri" w:eastAsia="Calibri" w:hAnsi="Calibri"/>
                <w:sz w:val="18"/>
                <w:szCs w:val="18"/>
                <w:color w:val="auto"/>
                <w:w w:val="99"/>
              </w:rPr>
              <w:t>agree on funding</w:t>
            </w:r>
          </w:p>
        </w:tc>
        <w:tc>
          <w:tcPr>
            <w:tcW w:w="1640" w:type="dxa"/>
            <w:vAlign w:val="bottom"/>
          </w:tcPr>
          <w:p>
            <w:pPr>
              <w:jc w:val="center"/>
              <w:spacing w:after="0"/>
              <w:rPr>
                <w:sz w:val="20"/>
                <w:szCs w:val="20"/>
                <w:color w:val="auto"/>
              </w:rPr>
            </w:pPr>
            <w:r>
              <w:rPr>
                <w:rFonts w:ascii="Calibri" w:cs="Calibri" w:eastAsia="Calibri" w:hAnsi="Calibri"/>
                <w:sz w:val="18"/>
                <w:szCs w:val="18"/>
                <w:color w:val="auto"/>
                <w:w w:val="99"/>
              </w:rPr>
              <w:t>where crowd funds</w:t>
            </w:r>
          </w:p>
        </w:tc>
        <w:tc>
          <w:tcPr>
            <w:tcW w:w="160" w:type="dxa"/>
            <w:vAlign w:val="bottom"/>
          </w:tcPr>
          <w:p>
            <w:pPr>
              <w:spacing w:after="0"/>
              <w:rPr>
                <w:sz w:val="20"/>
                <w:szCs w:val="20"/>
                <w:color w:val="auto"/>
              </w:rPr>
            </w:pPr>
          </w:p>
        </w:tc>
        <w:tc>
          <w:tcPr>
            <w:tcW w:w="1640" w:type="dxa"/>
            <w:vAlign w:val="bottom"/>
          </w:tcPr>
          <w:p>
            <w:pPr>
              <w:jc w:val="center"/>
              <w:spacing w:after="0"/>
              <w:rPr>
                <w:sz w:val="20"/>
                <w:szCs w:val="20"/>
                <w:color w:val="auto"/>
              </w:rPr>
            </w:pPr>
            <w:r>
              <w:rPr>
                <w:rFonts w:ascii="Calibri" w:cs="Calibri" w:eastAsia="Calibri" w:hAnsi="Calibri"/>
                <w:sz w:val="18"/>
                <w:szCs w:val="18"/>
                <w:color w:val="auto"/>
                <w:w w:val="98"/>
              </w:rPr>
              <w:t>agree on funding</w:t>
            </w:r>
          </w:p>
        </w:tc>
        <w:tc>
          <w:tcPr>
            <w:tcW w:w="1600" w:type="dxa"/>
            <w:vAlign w:val="bottom"/>
          </w:tcPr>
          <w:p>
            <w:pPr>
              <w:jc w:val="center"/>
              <w:spacing w:after="0"/>
              <w:rPr>
                <w:sz w:val="20"/>
                <w:szCs w:val="20"/>
                <w:color w:val="auto"/>
              </w:rPr>
            </w:pPr>
            <w:r>
              <w:rPr>
                <w:rFonts w:ascii="Calibri" w:cs="Calibri" w:eastAsia="Calibri" w:hAnsi="Calibri"/>
                <w:sz w:val="18"/>
                <w:szCs w:val="18"/>
                <w:color w:val="auto"/>
                <w:w w:val="99"/>
              </w:rPr>
              <w:t>where crowd funds</w:t>
            </w:r>
          </w:p>
        </w:tc>
        <w:tc>
          <w:tcPr>
            <w:tcW w:w="120" w:type="dxa"/>
            <w:vAlign w:val="bottom"/>
          </w:tcPr>
          <w:p>
            <w:pPr>
              <w:spacing w:after="0"/>
              <w:rPr>
                <w:sz w:val="20"/>
                <w:szCs w:val="20"/>
                <w:color w:val="auto"/>
              </w:rPr>
            </w:pPr>
          </w:p>
        </w:tc>
        <w:tc>
          <w:tcPr>
            <w:tcW w:w="1560" w:type="dxa"/>
            <w:vAlign w:val="bottom"/>
          </w:tcPr>
          <w:p>
            <w:pPr>
              <w:jc w:val="center"/>
              <w:spacing w:after="0"/>
              <w:rPr>
                <w:sz w:val="20"/>
                <w:szCs w:val="20"/>
                <w:color w:val="auto"/>
              </w:rPr>
            </w:pPr>
            <w:r>
              <w:rPr>
                <w:rFonts w:ascii="Calibri" w:cs="Calibri" w:eastAsia="Calibri" w:hAnsi="Calibri"/>
                <w:sz w:val="18"/>
                <w:szCs w:val="18"/>
                <w:color w:val="auto"/>
                <w:w w:val="99"/>
              </w:rPr>
              <w:t>Crowd agree on</w:t>
            </w:r>
          </w:p>
        </w:tc>
        <w:tc>
          <w:tcPr>
            <w:tcW w:w="1660" w:type="dxa"/>
            <w:vAlign w:val="bottom"/>
          </w:tcPr>
          <w:p>
            <w:pPr>
              <w:jc w:val="center"/>
              <w:spacing w:after="0"/>
              <w:rPr>
                <w:sz w:val="20"/>
                <w:szCs w:val="20"/>
                <w:color w:val="auto"/>
              </w:rPr>
            </w:pPr>
            <w:r>
              <w:rPr>
                <w:rFonts w:ascii="Calibri" w:cs="Calibri" w:eastAsia="Calibri" w:hAnsi="Calibri"/>
                <w:sz w:val="18"/>
                <w:szCs w:val="18"/>
                <w:color w:val="auto"/>
                <w:w w:val="99"/>
              </w:rPr>
              <w:t>where crowd funds</w:t>
            </w:r>
          </w:p>
        </w:tc>
      </w:tr>
      <w:tr>
        <w:trPr>
          <w:trHeight w:val="234"/>
        </w:trPr>
        <w:tc>
          <w:tcPr>
            <w:tcW w:w="2100" w:type="dxa"/>
            <w:vAlign w:val="bottom"/>
          </w:tcPr>
          <w:p>
            <w:pPr>
              <w:spacing w:after="0"/>
              <w:rPr>
                <w:sz w:val="20"/>
                <w:szCs w:val="20"/>
                <w:color w:val="auto"/>
              </w:rPr>
            </w:pPr>
          </w:p>
        </w:tc>
        <w:tc>
          <w:tcPr>
            <w:tcW w:w="2440" w:type="dxa"/>
            <w:vAlign w:val="bottom"/>
          </w:tcPr>
          <w:p>
            <w:pPr>
              <w:jc w:val="center"/>
              <w:ind w:left="664"/>
              <w:spacing w:after="0"/>
              <w:rPr>
                <w:sz w:val="20"/>
                <w:szCs w:val="20"/>
                <w:color w:val="auto"/>
              </w:rPr>
            </w:pPr>
            <w:r>
              <w:rPr>
                <w:rFonts w:ascii="Calibri" w:cs="Calibri" w:eastAsia="Calibri" w:hAnsi="Calibri"/>
                <w:sz w:val="18"/>
                <w:szCs w:val="18"/>
                <w:color w:val="auto"/>
                <w:w w:val="97"/>
              </w:rPr>
              <w:t>outcome</w:t>
            </w:r>
          </w:p>
        </w:tc>
        <w:tc>
          <w:tcPr>
            <w:tcW w:w="1640" w:type="dxa"/>
            <w:vAlign w:val="bottom"/>
          </w:tcPr>
          <w:p>
            <w:pPr>
              <w:jc w:val="center"/>
              <w:spacing w:after="0"/>
              <w:rPr>
                <w:sz w:val="20"/>
                <w:szCs w:val="20"/>
                <w:color w:val="auto"/>
              </w:rPr>
            </w:pPr>
            <w:r>
              <w:rPr>
                <w:rFonts w:ascii="Calibri" w:cs="Calibri" w:eastAsia="Calibri" w:hAnsi="Calibri"/>
                <w:sz w:val="18"/>
                <w:szCs w:val="18"/>
                <w:color w:val="auto"/>
                <w:w w:val="98"/>
              </w:rPr>
              <w:t>but experts do not</w:t>
            </w:r>
          </w:p>
        </w:tc>
        <w:tc>
          <w:tcPr>
            <w:tcW w:w="160" w:type="dxa"/>
            <w:vAlign w:val="bottom"/>
          </w:tcPr>
          <w:p>
            <w:pPr>
              <w:spacing w:after="0"/>
              <w:rPr>
                <w:sz w:val="20"/>
                <w:szCs w:val="20"/>
                <w:color w:val="auto"/>
              </w:rPr>
            </w:pPr>
          </w:p>
        </w:tc>
        <w:tc>
          <w:tcPr>
            <w:tcW w:w="1640" w:type="dxa"/>
            <w:vAlign w:val="bottom"/>
          </w:tcPr>
          <w:p>
            <w:pPr>
              <w:jc w:val="center"/>
              <w:spacing w:after="0"/>
              <w:rPr>
                <w:sz w:val="20"/>
                <w:szCs w:val="20"/>
                <w:color w:val="auto"/>
              </w:rPr>
            </w:pPr>
            <w:r>
              <w:rPr>
                <w:rFonts w:ascii="Calibri" w:cs="Calibri" w:eastAsia="Calibri" w:hAnsi="Calibri"/>
                <w:sz w:val="18"/>
                <w:szCs w:val="18"/>
                <w:color w:val="auto"/>
                <w:w w:val="97"/>
              </w:rPr>
              <w:t>outcome</w:t>
            </w:r>
          </w:p>
        </w:tc>
        <w:tc>
          <w:tcPr>
            <w:tcW w:w="1600" w:type="dxa"/>
            <w:vAlign w:val="bottom"/>
          </w:tcPr>
          <w:p>
            <w:pPr>
              <w:jc w:val="center"/>
              <w:spacing w:after="0"/>
              <w:rPr>
                <w:sz w:val="20"/>
                <w:szCs w:val="20"/>
                <w:color w:val="auto"/>
              </w:rPr>
            </w:pPr>
            <w:r>
              <w:rPr>
                <w:rFonts w:ascii="Calibri" w:cs="Calibri" w:eastAsia="Calibri" w:hAnsi="Calibri"/>
                <w:sz w:val="18"/>
                <w:szCs w:val="18"/>
                <w:color w:val="auto"/>
                <w:w w:val="97"/>
              </w:rPr>
              <w:t>but experts do not</w:t>
            </w:r>
          </w:p>
        </w:tc>
        <w:tc>
          <w:tcPr>
            <w:tcW w:w="120" w:type="dxa"/>
            <w:vAlign w:val="bottom"/>
          </w:tcPr>
          <w:p>
            <w:pPr>
              <w:spacing w:after="0"/>
              <w:rPr>
                <w:sz w:val="20"/>
                <w:szCs w:val="20"/>
                <w:color w:val="auto"/>
              </w:rPr>
            </w:pPr>
          </w:p>
        </w:tc>
        <w:tc>
          <w:tcPr>
            <w:tcW w:w="1560" w:type="dxa"/>
            <w:vAlign w:val="bottom"/>
          </w:tcPr>
          <w:p>
            <w:pPr>
              <w:jc w:val="center"/>
              <w:spacing w:after="0"/>
              <w:rPr>
                <w:sz w:val="20"/>
                <w:szCs w:val="20"/>
                <w:color w:val="auto"/>
              </w:rPr>
            </w:pPr>
            <w:r>
              <w:rPr>
                <w:rFonts w:ascii="Calibri" w:cs="Calibri" w:eastAsia="Calibri" w:hAnsi="Calibri"/>
                <w:sz w:val="18"/>
                <w:szCs w:val="18"/>
                <w:color w:val="auto"/>
                <w:w w:val="98"/>
              </w:rPr>
              <w:t>funding outcome</w:t>
            </w:r>
          </w:p>
        </w:tc>
        <w:tc>
          <w:tcPr>
            <w:tcW w:w="1660" w:type="dxa"/>
            <w:vAlign w:val="bottom"/>
          </w:tcPr>
          <w:p>
            <w:pPr>
              <w:jc w:val="center"/>
              <w:spacing w:after="0"/>
              <w:rPr>
                <w:sz w:val="20"/>
                <w:szCs w:val="20"/>
                <w:color w:val="auto"/>
              </w:rPr>
            </w:pPr>
            <w:r>
              <w:rPr>
                <w:rFonts w:ascii="Calibri" w:cs="Calibri" w:eastAsia="Calibri" w:hAnsi="Calibri"/>
                <w:sz w:val="18"/>
                <w:szCs w:val="18"/>
                <w:color w:val="auto"/>
                <w:w w:val="98"/>
              </w:rPr>
              <w:t>but experts do not</w:t>
            </w:r>
          </w:p>
        </w:tc>
      </w:tr>
      <w:tr>
        <w:trPr>
          <w:trHeight w:val="157"/>
        </w:trPr>
        <w:tc>
          <w:tcPr>
            <w:tcW w:w="2100" w:type="dxa"/>
            <w:vAlign w:val="bottom"/>
            <w:tcBorders>
              <w:bottom w:val="single" w:sz="8" w:color="auto"/>
            </w:tcBorders>
          </w:tcPr>
          <w:p>
            <w:pPr>
              <w:spacing w:after="0"/>
              <w:rPr>
                <w:sz w:val="13"/>
                <w:szCs w:val="13"/>
                <w:color w:val="auto"/>
              </w:rPr>
            </w:pPr>
          </w:p>
        </w:tc>
        <w:tc>
          <w:tcPr>
            <w:tcW w:w="2440" w:type="dxa"/>
            <w:vAlign w:val="bottom"/>
            <w:tcBorders>
              <w:bottom w:val="single" w:sz="8" w:color="auto"/>
            </w:tcBorders>
          </w:tcPr>
          <w:p>
            <w:pPr>
              <w:spacing w:after="0"/>
              <w:rPr>
                <w:sz w:val="13"/>
                <w:szCs w:val="13"/>
                <w:color w:val="auto"/>
              </w:rPr>
            </w:pPr>
          </w:p>
        </w:tc>
        <w:tc>
          <w:tcPr>
            <w:tcW w:w="1640" w:type="dxa"/>
            <w:vAlign w:val="bottom"/>
            <w:tcBorders>
              <w:bottom w:val="single" w:sz="8" w:color="auto"/>
            </w:tcBorders>
          </w:tcPr>
          <w:p>
            <w:pPr>
              <w:spacing w:after="0"/>
              <w:rPr>
                <w:sz w:val="13"/>
                <w:szCs w:val="13"/>
                <w:color w:val="auto"/>
              </w:rPr>
            </w:pPr>
          </w:p>
        </w:tc>
        <w:tc>
          <w:tcPr>
            <w:tcW w:w="160" w:type="dxa"/>
            <w:vAlign w:val="bottom"/>
          </w:tcPr>
          <w:p>
            <w:pPr>
              <w:spacing w:after="0"/>
              <w:rPr>
                <w:sz w:val="13"/>
                <w:szCs w:val="13"/>
                <w:color w:val="auto"/>
              </w:rPr>
            </w:pPr>
          </w:p>
        </w:tc>
        <w:tc>
          <w:tcPr>
            <w:tcW w:w="1640" w:type="dxa"/>
            <w:vAlign w:val="bottom"/>
            <w:tcBorders>
              <w:bottom w:val="single" w:sz="8" w:color="auto"/>
            </w:tcBorders>
          </w:tcPr>
          <w:p>
            <w:pPr>
              <w:spacing w:after="0"/>
              <w:rPr>
                <w:sz w:val="13"/>
                <w:szCs w:val="13"/>
                <w:color w:val="auto"/>
              </w:rPr>
            </w:pPr>
          </w:p>
        </w:tc>
        <w:tc>
          <w:tcPr>
            <w:tcW w:w="1600" w:type="dxa"/>
            <w:vAlign w:val="bottom"/>
            <w:tcBorders>
              <w:bottom w:val="single" w:sz="8" w:color="auto"/>
            </w:tcBorders>
          </w:tcPr>
          <w:p>
            <w:pPr>
              <w:spacing w:after="0"/>
              <w:rPr>
                <w:sz w:val="13"/>
                <w:szCs w:val="13"/>
                <w:color w:val="auto"/>
              </w:rPr>
            </w:pPr>
          </w:p>
        </w:tc>
        <w:tc>
          <w:tcPr>
            <w:tcW w:w="120" w:type="dxa"/>
            <w:vAlign w:val="bottom"/>
          </w:tcPr>
          <w:p>
            <w:pPr>
              <w:spacing w:after="0"/>
              <w:rPr>
                <w:sz w:val="13"/>
                <w:szCs w:val="13"/>
                <w:color w:val="auto"/>
              </w:rPr>
            </w:pPr>
          </w:p>
        </w:tc>
        <w:tc>
          <w:tcPr>
            <w:tcW w:w="1560" w:type="dxa"/>
            <w:vAlign w:val="bottom"/>
            <w:tcBorders>
              <w:bottom w:val="single" w:sz="8" w:color="auto"/>
            </w:tcBorders>
          </w:tcPr>
          <w:p>
            <w:pPr>
              <w:spacing w:after="0"/>
              <w:rPr>
                <w:sz w:val="13"/>
                <w:szCs w:val="13"/>
                <w:color w:val="auto"/>
              </w:rPr>
            </w:pPr>
          </w:p>
        </w:tc>
        <w:tc>
          <w:tcPr>
            <w:tcW w:w="1660" w:type="dxa"/>
            <w:vAlign w:val="bottom"/>
            <w:tcBorders>
              <w:bottom w:val="single" w:sz="8" w:color="auto"/>
            </w:tcBorders>
          </w:tcPr>
          <w:p>
            <w:pPr>
              <w:spacing w:after="0"/>
              <w:rPr>
                <w:sz w:val="13"/>
                <w:szCs w:val="13"/>
                <w:color w:val="auto"/>
              </w:rPr>
            </w:pPr>
          </w:p>
        </w:tc>
      </w:tr>
      <w:tr>
        <w:trPr>
          <w:trHeight w:val="237"/>
        </w:trPr>
        <w:tc>
          <w:tcPr>
            <w:tcW w:w="2100" w:type="dxa"/>
            <w:vAlign w:val="bottom"/>
          </w:tcPr>
          <w:p>
            <w:pPr>
              <w:ind w:left="40"/>
              <w:spacing w:after="0" w:line="236" w:lineRule="exact"/>
              <w:rPr>
                <w:sz w:val="20"/>
                <w:szCs w:val="20"/>
                <w:color w:val="auto"/>
              </w:rPr>
            </w:pPr>
            <w:r>
              <w:rPr>
                <w:rFonts w:ascii="Calibri" w:cs="Calibri" w:eastAsia="Calibri" w:hAnsi="Calibri"/>
                <w:sz w:val="20"/>
                <w:szCs w:val="20"/>
                <w:color w:val="auto"/>
              </w:rPr>
              <w:t>Mean</w:t>
            </w:r>
          </w:p>
        </w:tc>
        <w:tc>
          <w:tcPr>
            <w:tcW w:w="2440" w:type="dxa"/>
            <w:vAlign w:val="bottom"/>
          </w:tcPr>
          <w:p>
            <w:pPr>
              <w:jc w:val="center"/>
              <w:ind w:left="684"/>
              <w:spacing w:after="0" w:line="236" w:lineRule="exact"/>
              <w:rPr>
                <w:sz w:val="20"/>
                <w:szCs w:val="20"/>
                <w:color w:val="auto"/>
              </w:rPr>
            </w:pPr>
            <w:r>
              <w:rPr>
                <w:rFonts w:ascii="Calibri" w:cs="Calibri" w:eastAsia="Calibri" w:hAnsi="Calibri"/>
                <w:sz w:val="20"/>
                <w:szCs w:val="20"/>
                <w:color w:val="auto"/>
              </w:rPr>
              <w:t>58.8%</w:t>
            </w:r>
          </w:p>
        </w:tc>
        <w:tc>
          <w:tcPr>
            <w:tcW w:w="1640" w:type="dxa"/>
            <w:vAlign w:val="bottom"/>
          </w:tcPr>
          <w:p>
            <w:pPr>
              <w:jc w:val="center"/>
              <w:spacing w:after="0" w:line="236" w:lineRule="exact"/>
              <w:rPr>
                <w:sz w:val="20"/>
                <w:szCs w:val="20"/>
                <w:color w:val="auto"/>
              </w:rPr>
            </w:pPr>
            <w:r>
              <w:rPr>
                <w:rFonts w:ascii="Calibri" w:cs="Calibri" w:eastAsia="Calibri" w:hAnsi="Calibri"/>
                <w:sz w:val="20"/>
                <w:szCs w:val="20"/>
                <w:color w:val="auto"/>
                <w:w w:val="98"/>
              </w:rPr>
              <w:t>80%</w:t>
            </w:r>
          </w:p>
        </w:tc>
        <w:tc>
          <w:tcPr>
            <w:tcW w:w="1800" w:type="dxa"/>
            <w:vAlign w:val="bottom"/>
            <w:gridSpan w:val="2"/>
          </w:tcPr>
          <w:p>
            <w:pPr>
              <w:jc w:val="center"/>
              <w:ind w:left="41"/>
              <w:spacing w:after="0" w:line="236" w:lineRule="exact"/>
              <w:rPr>
                <w:sz w:val="20"/>
                <w:szCs w:val="20"/>
                <w:color w:val="auto"/>
              </w:rPr>
            </w:pPr>
            <w:r>
              <w:rPr>
                <w:rFonts w:ascii="Calibri" w:cs="Calibri" w:eastAsia="Calibri" w:hAnsi="Calibri"/>
                <w:sz w:val="20"/>
                <w:szCs w:val="20"/>
                <w:color w:val="auto"/>
              </w:rPr>
              <w:t>58.8%</w:t>
            </w:r>
          </w:p>
        </w:tc>
        <w:tc>
          <w:tcPr>
            <w:tcW w:w="1600" w:type="dxa"/>
            <w:vAlign w:val="bottom"/>
          </w:tcPr>
          <w:p>
            <w:pPr>
              <w:jc w:val="center"/>
              <w:spacing w:after="0" w:line="236" w:lineRule="exact"/>
              <w:rPr>
                <w:sz w:val="20"/>
                <w:szCs w:val="20"/>
                <w:color w:val="auto"/>
              </w:rPr>
            </w:pPr>
            <w:r>
              <w:rPr>
                <w:rFonts w:ascii="Calibri" w:cs="Calibri" w:eastAsia="Calibri" w:hAnsi="Calibri"/>
                <w:sz w:val="20"/>
                <w:szCs w:val="20"/>
                <w:color w:val="auto"/>
              </w:rPr>
              <w:t>76%</w:t>
            </w:r>
          </w:p>
        </w:tc>
        <w:tc>
          <w:tcPr>
            <w:tcW w:w="1680" w:type="dxa"/>
            <w:vAlign w:val="bottom"/>
            <w:gridSpan w:val="2"/>
          </w:tcPr>
          <w:p>
            <w:pPr>
              <w:jc w:val="center"/>
              <w:ind w:left="41"/>
              <w:spacing w:after="0" w:line="236" w:lineRule="exact"/>
              <w:rPr>
                <w:sz w:val="20"/>
                <w:szCs w:val="20"/>
                <w:color w:val="auto"/>
              </w:rPr>
            </w:pPr>
            <w:r>
              <w:rPr>
                <w:rFonts w:ascii="Calibri" w:cs="Calibri" w:eastAsia="Calibri" w:hAnsi="Calibri"/>
                <w:sz w:val="20"/>
                <w:szCs w:val="20"/>
                <w:color w:val="auto"/>
              </w:rPr>
              <w:t>62.1%</w:t>
            </w:r>
          </w:p>
        </w:tc>
        <w:tc>
          <w:tcPr>
            <w:tcW w:w="1660" w:type="dxa"/>
            <w:vAlign w:val="bottom"/>
          </w:tcPr>
          <w:p>
            <w:pPr>
              <w:jc w:val="center"/>
              <w:spacing w:after="0" w:line="236" w:lineRule="exact"/>
              <w:rPr>
                <w:sz w:val="20"/>
                <w:szCs w:val="20"/>
                <w:color w:val="auto"/>
              </w:rPr>
            </w:pPr>
            <w:r>
              <w:rPr>
                <w:rFonts w:ascii="Calibri" w:cs="Calibri" w:eastAsia="Calibri" w:hAnsi="Calibri"/>
                <w:sz w:val="20"/>
                <w:szCs w:val="20"/>
                <w:color w:val="auto"/>
                <w:w w:val="98"/>
              </w:rPr>
              <w:t>57%</w:t>
            </w:r>
          </w:p>
        </w:tc>
      </w:tr>
      <w:tr>
        <w:trPr>
          <w:trHeight w:val="506"/>
        </w:trPr>
        <w:tc>
          <w:tcPr>
            <w:tcW w:w="2100" w:type="dxa"/>
            <w:vAlign w:val="bottom"/>
          </w:tcPr>
          <w:p>
            <w:pPr>
              <w:ind w:left="40"/>
              <w:spacing w:after="0"/>
              <w:rPr>
                <w:sz w:val="20"/>
                <w:szCs w:val="20"/>
                <w:color w:val="auto"/>
              </w:rPr>
            </w:pPr>
            <w:r>
              <w:rPr>
                <w:rFonts w:ascii="Calibri" w:cs="Calibri" w:eastAsia="Calibri" w:hAnsi="Calibri"/>
                <w:sz w:val="20"/>
                <w:szCs w:val="20"/>
                <w:color w:val="auto"/>
              </w:rPr>
              <w:t>Minimum</w:t>
            </w:r>
          </w:p>
        </w:tc>
        <w:tc>
          <w:tcPr>
            <w:tcW w:w="2440" w:type="dxa"/>
            <w:vAlign w:val="bottom"/>
          </w:tcPr>
          <w:p>
            <w:pPr>
              <w:jc w:val="center"/>
              <w:ind w:left="684"/>
              <w:spacing w:after="0"/>
              <w:rPr>
                <w:sz w:val="20"/>
                <w:szCs w:val="20"/>
                <w:color w:val="auto"/>
              </w:rPr>
            </w:pPr>
            <w:r>
              <w:rPr>
                <w:rFonts w:ascii="Calibri" w:cs="Calibri" w:eastAsia="Calibri" w:hAnsi="Calibri"/>
                <w:sz w:val="20"/>
                <w:szCs w:val="20"/>
                <w:color w:val="auto"/>
              </w:rPr>
              <w:t>56.7%</w:t>
            </w:r>
          </w:p>
        </w:tc>
        <w:tc>
          <w:tcPr>
            <w:tcW w:w="1640" w:type="dxa"/>
            <w:vAlign w:val="bottom"/>
          </w:tcPr>
          <w:p>
            <w:pPr>
              <w:jc w:val="center"/>
              <w:spacing w:after="0"/>
              <w:rPr>
                <w:sz w:val="20"/>
                <w:szCs w:val="20"/>
                <w:color w:val="auto"/>
              </w:rPr>
            </w:pPr>
            <w:r>
              <w:rPr>
                <w:rFonts w:ascii="Calibri" w:cs="Calibri" w:eastAsia="Calibri" w:hAnsi="Calibri"/>
                <w:sz w:val="20"/>
                <w:szCs w:val="20"/>
                <w:color w:val="auto"/>
                <w:w w:val="98"/>
              </w:rPr>
              <w:t>71%</w:t>
            </w:r>
          </w:p>
        </w:tc>
        <w:tc>
          <w:tcPr>
            <w:tcW w:w="1800" w:type="dxa"/>
            <w:vAlign w:val="bottom"/>
            <w:gridSpan w:val="2"/>
          </w:tcPr>
          <w:p>
            <w:pPr>
              <w:jc w:val="center"/>
              <w:ind w:left="41"/>
              <w:spacing w:after="0"/>
              <w:rPr>
                <w:sz w:val="20"/>
                <w:szCs w:val="20"/>
                <w:color w:val="auto"/>
              </w:rPr>
            </w:pPr>
            <w:r>
              <w:rPr>
                <w:rFonts w:ascii="Calibri" w:cs="Calibri" w:eastAsia="Calibri" w:hAnsi="Calibri"/>
                <w:sz w:val="20"/>
                <w:szCs w:val="20"/>
                <w:color w:val="auto"/>
              </w:rPr>
              <w:t>56.7%</w:t>
            </w:r>
          </w:p>
        </w:tc>
        <w:tc>
          <w:tcPr>
            <w:tcW w:w="1600" w:type="dxa"/>
            <w:vAlign w:val="bottom"/>
          </w:tcPr>
          <w:p>
            <w:pPr>
              <w:jc w:val="center"/>
              <w:spacing w:after="0"/>
              <w:rPr>
                <w:sz w:val="20"/>
                <w:szCs w:val="20"/>
                <w:color w:val="auto"/>
              </w:rPr>
            </w:pPr>
            <w:r>
              <w:rPr>
                <w:rFonts w:ascii="Calibri" w:cs="Calibri" w:eastAsia="Calibri" w:hAnsi="Calibri"/>
                <w:sz w:val="20"/>
                <w:szCs w:val="20"/>
                <w:color w:val="auto"/>
              </w:rPr>
              <w:t>68%</w:t>
            </w:r>
          </w:p>
        </w:tc>
        <w:tc>
          <w:tcPr>
            <w:tcW w:w="1680" w:type="dxa"/>
            <w:vAlign w:val="bottom"/>
            <w:gridSpan w:val="2"/>
          </w:tcPr>
          <w:p>
            <w:pPr>
              <w:jc w:val="center"/>
              <w:ind w:left="41"/>
              <w:spacing w:after="0"/>
              <w:rPr>
                <w:sz w:val="20"/>
                <w:szCs w:val="20"/>
                <w:color w:val="auto"/>
              </w:rPr>
            </w:pPr>
            <w:r>
              <w:rPr>
                <w:rFonts w:ascii="Calibri" w:cs="Calibri" w:eastAsia="Calibri" w:hAnsi="Calibri"/>
                <w:sz w:val="20"/>
                <w:szCs w:val="20"/>
                <w:color w:val="auto"/>
              </w:rPr>
              <w:t>59.2%</w:t>
            </w:r>
          </w:p>
        </w:tc>
        <w:tc>
          <w:tcPr>
            <w:tcW w:w="1660" w:type="dxa"/>
            <w:vAlign w:val="bottom"/>
          </w:tcPr>
          <w:p>
            <w:pPr>
              <w:jc w:val="center"/>
              <w:spacing w:after="0"/>
              <w:rPr>
                <w:sz w:val="20"/>
                <w:szCs w:val="20"/>
                <w:color w:val="auto"/>
              </w:rPr>
            </w:pPr>
            <w:r>
              <w:rPr>
                <w:rFonts w:ascii="Calibri" w:cs="Calibri" w:eastAsia="Calibri" w:hAnsi="Calibri"/>
                <w:sz w:val="20"/>
                <w:szCs w:val="20"/>
                <w:color w:val="auto"/>
                <w:w w:val="98"/>
              </w:rPr>
              <w:t>44%</w:t>
            </w:r>
          </w:p>
        </w:tc>
      </w:tr>
      <w:tr>
        <w:trPr>
          <w:trHeight w:val="343"/>
        </w:trPr>
        <w:tc>
          <w:tcPr>
            <w:tcW w:w="2100" w:type="dxa"/>
            <w:vAlign w:val="bottom"/>
          </w:tcPr>
          <w:p>
            <w:pPr>
              <w:ind w:left="40"/>
              <w:spacing w:after="0"/>
              <w:rPr>
                <w:sz w:val="20"/>
                <w:szCs w:val="20"/>
                <w:color w:val="auto"/>
              </w:rPr>
            </w:pPr>
            <w:r>
              <w:rPr>
                <w:rFonts w:ascii="Calibri" w:cs="Calibri" w:eastAsia="Calibri" w:hAnsi="Calibri"/>
                <w:sz w:val="20"/>
                <w:szCs w:val="20"/>
                <w:color w:val="auto"/>
              </w:rPr>
              <w:t>25th percentile</w:t>
            </w:r>
          </w:p>
        </w:tc>
        <w:tc>
          <w:tcPr>
            <w:tcW w:w="2440" w:type="dxa"/>
            <w:vAlign w:val="bottom"/>
          </w:tcPr>
          <w:p>
            <w:pPr>
              <w:jc w:val="center"/>
              <w:ind w:left="684"/>
              <w:spacing w:after="0"/>
              <w:rPr>
                <w:sz w:val="20"/>
                <w:szCs w:val="20"/>
                <w:color w:val="auto"/>
              </w:rPr>
            </w:pPr>
            <w:r>
              <w:rPr>
                <w:rFonts w:ascii="Calibri" w:cs="Calibri" w:eastAsia="Calibri" w:hAnsi="Calibri"/>
                <w:sz w:val="20"/>
                <w:szCs w:val="20"/>
                <w:color w:val="auto"/>
              </w:rPr>
              <w:t>57.9%</w:t>
            </w:r>
          </w:p>
        </w:tc>
        <w:tc>
          <w:tcPr>
            <w:tcW w:w="1640" w:type="dxa"/>
            <w:vAlign w:val="bottom"/>
          </w:tcPr>
          <w:p>
            <w:pPr>
              <w:jc w:val="center"/>
              <w:spacing w:after="0"/>
              <w:rPr>
                <w:sz w:val="20"/>
                <w:szCs w:val="20"/>
                <w:color w:val="auto"/>
              </w:rPr>
            </w:pPr>
            <w:r>
              <w:rPr>
                <w:rFonts w:ascii="Calibri" w:cs="Calibri" w:eastAsia="Calibri" w:hAnsi="Calibri"/>
                <w:sz w:val="20"/>
                <w:szCs w:val="20"/>
                <w:color w:val="auto"/>
                <w:w w:val="98"/>
              </w:rPr>
              <w:t>78%</w:t>
            </w:r>
          </w:p>
        </w:tc>
        <w:tc>
          <w:tcPr>
            <w:tcW w:w="1800" w:type="dxa"/>
            <w:vAlign w:val="bottom"/>
            <w:gridSpan w:val="2"/>
          </w:tcPr>
          <w:p>
            <w:pPr>
              <w:jc w:val="center"/>
              <w:ind w:left="41"/>
              <w:spacing w:after="0"/>
              <w:rPr>
                <w:sz w:val="20"/>
                <w:szCs w:val="20"/>
                <w:color w:val="auto"/>
              </w:rPr>
            </w:pPr>
            <w:r>
              <w:rPr>
                <w:rFonts w:ascii="Calibri" w:cs="Calibri" w:eastAsia="Calibri" w:hAnsi="Calibri"/>
                <w:sz w:val="20"/>
                <w:szCs w:val="20"/>
                <w:color w:val="auto"/>
              </w:rPr>
              <w:t>57.9%</w:t>
            </w:r>
          </w:p>
        </w:tc>
        <w:tc>
          <w:tcPr>
            <w:tcW w:w="1600" w:type="dxa"/>
            <w:vAlign w:val="bottom"/>
          </w:tcPr>
          <w:p>
            <w:pPr>
              <w:jc w:val="center"/>
              <w:spacing w:after="0"/>
              <w:rPr>
                <w:sz w:val="20"/>
                <w:szCs w:val="20"/>
                <w:color w:val="auto"/>
              </w:rPr>
            </w:pPr>
            <w:r>
              <w:rPr>
                <w:rFonts w:ascii="Calibri" w:cs="Calibri" w:eastAsia="Calibri" w:hAnsi="Calibri"/>
                <w:sz w:val="20"/>
                <w:szCs w:val="20"/>
                <w:color w:val="auto"/>
              </w:rPr>
              <w:t>74%</w:t>
            </w:r>
          </w:p>
        </w:tc>
        <w:tc>
          <w:tcPr>
            <w:tcW w:w="1680" w:type="dxa"/>
            <w:vAlign w:val="bottom"/>
            <w:gridSpan w:val="2"/>
          </w:tcPr>
          <w:p>
            <w:pPr>
              <w:jc w:val="center"/>
              <w:ind w:left="41"/>
              <w:spacing w:after="0"/>
              <w:rPr>
                <w:sz w:val="20"/>
                <w:szCs w:val="20"/>
                <w:color w:val="auto"/>
              </w:rPr>
            </w:pPr>
            <w:r>
              <w:rPr>
                <w:rFonts w:ascii="Calibri" w:cs="Calibri" w:eastAsia="Calibri" w:hAnsi="Calibri"/>
                <w:sz w:val="20"/>
                <w:szCs w:val="20"/>
                <w:color w:val="auto"/>
              </w:rPr>
              <w:t>60.8%</w:t>
            </w:r>
          </w:p>
        </w:tc>
        <w:tc>
          <w:tcPr>
            <w:tcW w:w="1660" w:type="dxa"/>
            <w:vAlign w:val="bottom"/>
          </w:tcPr>
          <w:p>
            <w:pPr>
              <w:jc w:val="center"/>
              <w:spacing w:after="0"/>
              <w:rPr>
                <w:sz w:val="20"/>
                <w:szCs w:val="20"/>
                <w:color w:val="auto"/>
              </w:rPr>
            </w:pPr>
            <w:r>
              <w:rPr>
                <w:rFonts w:ascii="Calibri" w:cs="Calibri" w:eastAsia="Calibri" w:hAnsi="Calibri"/>
                <w:sz w:val="20"/>
                <w:szCs w:val="20"/>
                <w:color w:val="auto"/>
                <w:w w:val="98"/>
              </w:rPr>
              <w:t>52%</w:t>
            </w:r>
          </w:p>
        </w:tc>
      </w:tr>
      <w:tr>
        <w:trPr>
          <w:trHeight w:val="343"/>
        </w:trPr>
        <w:tc>
          <w:tcPr>
            <w:tcW w:w="2100" w:type="dxa"/>
            <w:vAlign w:val="bottom"/>
          </w:tcPr>
          <w:p>
            <w:pPr>
              <w:ind w:left="40"/>
              <w:spacing w:after="0"/>
              <w:rPr>
                <w:sz w:val="20"/>
                <w:szCs w:val="20"/>
                <w:color w:val="auto"/>
              </w:rPr>
            </w:pPr>
            <w:r>
              <w:rPr>
                <w:rFonts w:ascii="Calibri" w:cs="Calibri" w:eastAsia="Calibri" w:hAnsi="Calibri"/>
                <w:sz w:val="20"/>
                <w:szCs w:val="20"/>
                <w:color w:val="auto"/>
              </w:rPr>
              <w:t>Median</w:t>
            </w:r>
          </w:p>
        </w:tc>
        <w:tc>
          <w:tcPr>
            <w:tcW w:w="2440" w:type="dxa"/>
            <w:vAlign w:val="bottom"/>
          </w:tcPr>
          <w:p>
            <w:pPr>
              <w:jc w:val="center"/>
              <w:ind w:left="684"/>
              <w:spacing w:after="0"/>
              <w:rPr>
                <w:sz w:val="20"/>
                <w:szCs w:val="20"/>
                <w:color w:val="auto"/>
              </w:rPr>
            </w:pPr>
            <w:r>
              <w:rPr>
                <w:rFonts w:ascii="Calibri" w:cs="Calibri" w:eastAsia="Calibri" w:hAnsi="Calibri"/>
                <w:sz w:val="20"/>
                <w:szCs w:val="20"/>
                <w:color w:val="auto"/>
              </w:rPr>
              <w:t>58.8%</w:t>
            </w:r>
          </w:p>
        </w:tc>
        <w:tc>
          <w:tcPr>
            <w:tcW w:w="1640" w:type="dxa"/>
            <w:vAlign w:val="bottom"/>
          </w:tcPr>
          <w:p>
            <w:pPr>
              <w:jc w:val="center"/>
              <w:spacing w:after="0"/>
              <w:rPr>
                <w:sz w:val="20"/>
                <w:szCs w:val="20"/>
                <w:color w:val="auto"/>
              </w:rPr>
            </w:pPr>
            <w:r>
              <w:rPr>
                <w:rFonts w:ascii="Calibri" w:cs="Calibri" w:eastAsia="Calibri" w:hAnsi="Calibri"/>
                <w:sz w:val="20"/>
                <w:szCs w:val="20"/>
                <w:color w:val="auto"/>
                <w:w w:val="98"/>
              </w:rPr>
              <w:t>80%</w:t>
            </w:r>
          </w:p>
        </w:tc>
        <w:tc>
          <w:tcPr>
            <w:tcW w:w="1800" w:type="dxa"/>
            <w:vAlign w:val="bottom"/>
            <w:gridSpan w:val="2"/>
          </w:tcPr>
          <w:p>
            <w:pPr>
              <w:jc w:val="center"/>
              <w:ind w:left="41"/>
              <w:spacing w:after="0"/>
              <w:rPr>
                <w:sz w:val="20"/>
                <w:szCs w:val="20"/>
                <w:color w:val="auto"/>
              </w:rPr>
            </w:pPr>
            <w:r>
              <w:rPr>
                <w:rFonts w:ascii="Calibri" w:cs="Calibri" w:eastAsia="Calibri" w:hAnsi="Calibri"/>
                <w:sz w:val="20"/>
                <w:szCs w:val="20"/>
                <w:color w:val="auto"/>
              </w:rPr>
              <w:t>58.8%</w:t>
            </w:r>
          </w:p>
        </w:tc>
        <w:tc>
          <w:tcPr>
            <w:tcW w:w="1600" w:type="dxa"/>
            <w:vAlign w:val="bottom"/>
          </w:tcPr>
          <w:p>
            <w:pPr>
              <w:jc w:val="center"/>
              <w:spacing w:after="0"/>
              <w:rPr>
                <w:sz w:val="20"/>
                <w:szCs w:val="20"/>
                <w:color w:val="auto"/>
              </w:rPr>
            </w:pPr>
            <w:r>
              <w:rPr>
                <w:rFonts w:ascii="Calibri" w:cs="Calibri" w:eastAsia="Calibri" w:hAnsi="Calibri"/>
                <w:sz w:val="20"/>
                <w:szCs w:val="20"/>
                <w:color w:val="auto"/>
              </w:rPr>
              <w:t>76%</w:t>
            </w:r>
          </w:p>
        </w:tc>
        <w:tc>
          <w:tcPr>
            <w:tcW w:w="1680" w:type="dxa"/>
            <w:vAlign w:val="bottom"/>
            <w:gridSpan w:val="2"/>
          </w:tcPr>
          <w:p>
            <w:pPr>
              <w:jc w:val="center"/>
              <w:ind w:left="41"/>
              <w:spacing w:after="0"/>
              <w:rPr>
                <w:sz w:val="20"/>
                <w:szCs w:val="20"/>
                <w:color w:val="auto"/>
              </w:rPr>
            </w:pPr>
            <w:r>
              <w:rPr>
                <w:rFonts w:ascii="Calibri" w:cs="Calibri" w:eastAsia="Calibri" w:hAnsi="Calibri"/>
                <w:sz w:val="20"/>
                <w:szCs w:val="20"/>
                <w:color w:val="auto"/>
              </w:rPr>
              <w:t>62.1%</w:t>
            </w:r>
          </w:p>
        </w:tc>
        <w:tc>
          <w:tcPr>
            <w:tcW w:w="1660" w:type="dxa"/>
            <w:vAlign w:val="bottom"/>
          </w:tcPr>
          <w:p>
            <w:pPr>
              <w:jc w:val="center"/>
              <w:spacing w:after="0"/>
              <w:rPr>
                <w:sz w:val="20"/>
                <w:szCs w:val="20"/>
                <w:color w:val="auto"/>
              </w:rPr>
            </w:pPr>
            <w:r>
              <w:rPr>
                <w:rFonts w:ascii="Calibri" w:cs="Calibri" w:eastAsia="Calibri" w:hAnsi="Calibri"/>
                <w:sz w:val="20"/>
                <w:szCs w:val="20"/>
                <w:color w:val="auto"/>
                <w:w w:val="98"/>
              </w:rPr>
              <w:t>57%</w:t>
            </w:r>
          </w:p>
        </w:tc>
      </w:tr>
      <w:tr>
        <w:trPr>
          <w:trHeight w:val="370"/>
        </w:trPr>
        <w:tc>
          <w:tcPr>
            <w:tcW w:w="2100" w:type="dxa"/>
            <w:vAlign w:val="bottom"/>
          </w:tcPr>
          <w:p>
            <w:pPr>
              <w:ind w:left="40"/>
              <w:spacing w:after="0"/>
              <w:rPr>
                <w:sz w:val="20"/>
                <w:szCs w:val="20"/>
                <w:color w:val="auto"/>
              </w:rPr>
            </w:pPr>
            <w:r>
              <w:rPr>
                <w:rFonts w:ascii="Calibri" w:cs="Calibri" w:eastAsia="Calibri" w:hAnsi="Calibri"/>
                <w:sz w:val="20"/>
                <w:szCs w:val="20"/>
                <w:color w:val="auto"/>
              </w:rPr>
              <w:t>75th percentile</w:t>
            </w:r>
          </w:p>
        </w:tc>
        <w:tc>
          <w:tcPr>
            <w:tcW w:w="2440" w:type="dxa"/>
            <w:vAlign w:val="bottom"/>
          </w:tcPr>
          <w:p>
            <w:pPr>
              <w:jc w:val="center"/>
              <w:ind w:left="684"/>
              <w:spacing w:after="0"/>
              <w:rPr>
                <w:sz w:val="20"/>
                <w:szCs w:val="20"/>
                <w:color w:val="auto"/>
              </w:rPr>
            </w:pPr>
            <w:r>
              <w:rPr>
                <w:rFonts w:ascii="Calibri" w:cs="Calibri" w:eastAsia="Calibri" w:hAnsi="Calibri"/>
                <w:sz w:val="20"/>
                <w:szCs w:val="20"/>
                <w:color w:val="auto"/>
              </w:rPr>
              <w:t>59.6%</w:t>
            </w:r>
          </w:p>
        </w:tc>
        <w:tc>
          <w:tcPr>
            <w:tcW w:w="1640" w:type="dxa"/>
            <w:vAlign w:val="bottom"/>
          </w:tcPr>
          <w:p>
            <w:pPr>
              <w:jc w:val="center"/>
              <w:spacing w:after="0"/>
              <w:rPr>
                <w:sz w:val="20"/>
                <w:szCs w:val="20"/>
                <w:color w:val="auto"/>
              </w:rPr>
            </w:pPr>
            <w:r>
              <w:rPr>
                <w:rFonts w:ascii="Calibri" w:cs="Calibri" w:eastAsia="Calibri" w:hAnsi="Calibri"/>
                <w:sz w:val="20"/>
                <w:szCs w:val="20"/>
                <w:color w:val="auto"/>
                <w:w w:val="98"/>
              </w:rPr>
              <w:t>82%</w:t>
            </w:r>
          </w:p>
        </w:tc>
        <w:tc>
          <w:tcPr>
            <w:tcW w:w="1800" w:type="dxa"/>
            <w:vAlign w:val="bottom"/>
            <w:gridSpan w:val="2"/>
          </w:tcPr>
          <w:p>
            <w:pPr>
              <w:jc w:val="center"/>
              <w:ind w:left="41"/>
              <w:spacing w:after="0"/>
              <w:rPr>
                <w:sz w:val="20"/>
                <w:szCs w:val="20"/>
                <w:color w:val="auto"/>
              </w:rPr>
            </w:pPr>
            <w:r>
              <w:rPr>
                <w:rFonts w:ascii="Calibri" w:cs="Calibri" w:eastAsia="Calibri" w:hAnsi="Calibri"/>
                <w:sz w:val="20"/>
                <w:szCs w:val="20"/>
                <w:color w:val="auto"/>
              </w:rPr>
              <w:t>59.6%</w:t>
            </w:r>
          </w:p>
        </w:tc>
        <w:tc>
          <w:tcPr>
            <w:tcW w:w="1600" w:type="dxa"/>
            <w:vAlign w:val="bottom"/>
          </w:tcPr>
          <w:p>
            <w:pPr>
              <w:jc w:val="center"/>
              <w:spacing w:after="0"/>
              <w:rPr>
                <w:sz w:val="20"/>
                <w:szCs w:val="20"/>
                <w:color w:val="auto"/>
              </w:rPr>
            </w:pPr>
            <w:r>
              <w:rPr>
                <w:rFonts w:ascii="Calibri" w:cs="Calibri" w:eastAsia="Calibri" w:hAnsi="Calibri"/>
                <w:sz w:val="20"/>
                <w:szCs w:val="20"/>
                <w:color w:val="auto"/>
              </w:rPr>
              <w:t>78%</w:t>
            </w:r>
          </w:p>
        </w:tc>
        <w:tc>
          <w:tcPr>
            <w:tcW w:w="1680" w:type="dxa"/>
            <w:vAlign w:val="bottom"/>
            <w:gridSpan w:val="2"/>
          </w:tcPr>
          <w:p>
            <w:pPr>
              <w:jc w:val="center"/>
              <w:ind w:left="41"/>
              <w:spacing w:after="0"/>
              <w:rPr>
                <w:sz w:val="20"/>
                <w:szCs w:val="20"/>
                <w:color w:val="auto"/>
              </w:rPr>
            </w:pPr>
            <w:r>
              <w:rPr>
                <w:rFonts w:ascii="Calibri" w:cs="Calibri" w:eastAsia="Calibri" w:hAnsi="Calibri"/>
                <w:sz w:val="20"/>
                <w:szCs w:val="20"/>
                <w:color w:val="auto"/>
              </w:rPr>
              <w:t>63.3%</w:t>
            </w:r>
          </w:p>
        </w:tc>
        <w:tc>
          <w:tcPr>
            <w:tcW w:w="1660" w:type="dxa"/>
            <w:vAlign w:val="bottom"/>
          </w:tcPr>
          <w:p>
            <w:pPr>
              <w:jc w:val="center"/>
              <w:spacing w:after="0"/>
              <w:rPr>
                <w:sz w:val="20"/>
                <w:szCs w:val="20"/>
                <w:color w:val="auto"/>
              </w:rPr>
            </w:pPr>
            <w:r>
              <w:rPr>
                <w:rFonts w:ascii="Calibri" w:cs="Calibri" w:eastAsia="Calibri" w:hAnsi="Calibri"/>
                <w:sz w:val="20"/>
                <w:szCs w:val="20"/>
                <w:color w:val="auto"/>
                <w:w w:val="98"/>
              </w:rPr>
              <w:t>58%</w:t>
            </w:r>
          </w:p>
        </w:tc>
      </w:tr>
      <w:tr>
        <w:trPr>
          <w:trHeight w:val="343"/>
        </w:trPr>
        <w:tc>
          <w:tcPr>
            <w:tcW w:w="2100" w:type="dxa"/>
            <w:vAlign w:val="bottom"/>
          </w:tcPr>
          <w:p>
            <w:pPr>
              <w:ind w:left="40"/>
              <w:spacing w:after="0"/>
              <w:rPr>
                <w:sz w:val="20"/>
                <w:szCs w:val="20"/>
                <w:color w:val="auto"/>
              </w:rPr>
            </w:pPr>
            <w:r>
              <w:rPr>
                <w:rFonts w:ascii="Calibri" w:cs="Calibri" w:eastAsia="Calibri" w:hAnsi="Calibri"/>
                <w:sz w:val="20"/>
                <w:szCs w:val="20"/>
                <w:color w:val="auto"/>
              </w:rPr>
              <w:t>Maximum</w:t>
            </w:r>
          </w:p>
        </w:tc>
        <w:tc>
          <w:tcPr>
            <w:tcW w:w="2440" w:type="dxa"/>
            <w:vAlign w:val="bottom"/>
          </w:tcPr>
          <w:p>
            <w:pPr>
              <w:jc w:val="center"/>
              <w:ind w:left="684"/>
              <w:spacing w:after="0"/>
              <w:rPr>
                <w:sz w:val="20"/>
                <w:szCs w:val="20"/>
                <w:color w:val="auto"/>
              </w:rPr>
            </w:pPr>
            <w:r>
              <w:rPr>
                <w:rFonts w:ascii="Calibri" w:cs="Calibri" w:eastAsia="Calibri" w:hAnsi="Calibri"/>
                <w:sz w:val="20"/>
                <w:szCs w:val="20"/>
                <w:color w:val="auto"/>
              </w:rPr>
              <w:t>60.8%</w:t>
            </w:r>
          </w:p>
        </w:tc>
        <w:tc>
          <w:tcPr>
            <w:tcW w:w="1640" w:type="dxa"/>
            <w:vAlign w:val="bottom"/>
          </w:tcPr>
          <w:p>
            <w:pPr>
              <w:jc w:val="center"/>
              <w:spacing w:after="0"/>
              <w:rPr>
                <w:sz w:val="20"/>
                <w:szCs w:val="20"/>
                <w:color w:val="auto"/>
              </w:rPr>
            </w:pPr>
            <w:r>
              <w:rPr>
                <w:rFonts w:ascii="Calibri" w:cs="Calibri" w:eastAsia="Calibri" w:hAnsi="Calibri"/>
                <w:sz w:val="20"/>
                <w:szCs w:val="20"/>
                <w:color w:val="auto"/>
                <w:w w:val="98"/>
              </w:rPr>
              <w:t>89%</w:t>
            </w:r>
          </w:p>
        </w:tc>
        <w:tc>
          <w:tcPr>
            <w:tcW w:w="1800" w:type="dxa"/>
            <w:vAlign w:val="bottom"/>
            <w:gridSpan w:val="2"/>
          </w:tcPr>
          <w:p>
            <w:pPr>
              <w:jc w:val="center"/>
              <w:ind w:left="41"/>
              <w:spacing w:after="0"/>
              <w:rPr>
                <w:sz w:val="20"/>
                <w:szCs w:val="20"/>
                <w:color w:val="auto"/>
              </w:rPr>
            </w:pPr>
            <w:r>
              <w:rPr>
                <w:rFonts w:ascii="Calibri" w:cs="Calibri" w:eastAsia="Calibri" w:hAnsi="Calibri"/>
                <w:sz w:val="20"/>
                <w:szCs w:val="20"/>
                <w:color w:val="auto"/>
              </w:rPr>
              <w:t>60.8%</w:t>
            </w:r>
          </w:p>
        </w:tc>
        <w:tc>
          <w:tcPr>
            <w:tcW w:w="1600" w:type="dxa"/>
            <w:vAlign w:val="bottom"/>
          </w:tcPr>
          <w:p>
            <w:pPr>
              <w:jc w:val="center"/>
              <w:spacing w:after="0"/>
              <w:rPr>
                <w:sz w:val="20"/>
                <w:szCs w:val="20"/>
                <w:color w:val="auto"/>
              </w:rPr>
            </w:pPr>
            <w:r>
              <w:rPr>
                <w:rFonts w:ascii="Calibri" w:cs="Calibri" w:eastAsia="Calibri" w:hAnsi="Calibri"/>
                <w:sz w:val="20"/>
                <w:szCs w:val="20"/>
                <w:color w:val="auto"/>
              </w:rPr>
              <w:t>84%</w:t>
            </w:r>
          </w:p>
        </w:tc>
        <w:tc>
          <w:tcPr>
            <w:tcW w:w="1680" w:type="dxa"/>
            <w:vAlign w:val="bottom"/>
            <w:gridSpan w:val="2"/>
          </w:tcPr>
          <w:p>
            <w:pPr>
              <w:jc w:val="center"/>
              <w:ind w:left="41"/>
              <w:spacing w:after="0"/>
              <w:rPr>
                <w:sz w:val="20"/>
                <w:szCs w:val="20"/>
                <w:color w:val="auto"/>
              </w:rPr>
            </w:pPr>
            <w:r>
              <w:rPr>
                <w:rFonts w:ascii="Calibri" w:cs="Calibri" w:eastAsia="Calibri" w:hAnsi="Calibri"/>
                <w:sz w:val="20"/>
                <w:szCs w:val="20"/>
                <w:color w:val="auto"/>
              </w:rPr>
              <w:t>65.0%</w:t>
            </w:r>
          </w:p>
        </w:tc>
        <w:tc>
          <w:tcPr>
            <w:tcW w:w="1660" w:type="dxa"/>
            <w:vAlign w:val="bottom"/>
          </w:tcPr>
          <w:p>
            <w:pPr>
              <w:jc w:val="center"/>
              <w:spacing w:after="0"/>
              <w:rPr>
                <w:sz w:val="20"/>
                <w:szCs w:val="20"/>
                <w:color w:val="auto"/>
              </w:rPr>
            </w:pPr>
            <w:r>
              <w:rPr>
                <w:rFonts w:ascii="Calibri" w:cs="Calibri" w:eastAsia="Calibri" w:hAnsi="Calibri"/>
                <w:sz w:val="20"/>
                <w:szCs w:val="20"/>
                <w:color w:val="auto"/>
                <w:w w:val="98"/>
              </w:rPr>
              <w:t>68%</w:t>
            </w:r>
          </w:p>
        </w:tc>
      </w:tr>
    </w:tbl>
    <w:p>
      <w:pPr>
        <w:spacing w:after="0" w:line="200" w:lineRule="exact"/>
        <w:rPr>
          <w:sz w:val="20"/>
          <w:szCs w:val="20"/>
          <w:color w:val="auto"/>
        </w:rPr>
      </w:pPr>
    </w:p>
    <w:p>
      <w:pPr>
        <w:spacing w:after="0" w:line="251" w:lineRule="exact"/>
        <w:rPr>
          <w:sz w:val="20"/>
          <w:szCs w:val="20"/>
          <w:color w:val="auto"/>
        </w:rPr>
      </w:pPr>
    </w:p>
    <w:p>
      <w:pPr>
        <w:ind w:right="120"/>
        <w:spacing w:after="0" w:line="254" w:lineRule="auto"/>
        <w:rPr>
          <w:sz w:val="20"/>
          <w:szCs w:val="20"/>
          <w:color w:val="auto"/>
        </w:rPr>
      </w:pPr>
      <w:r>
        <w:rPr>
          <w:rFonts w:ascii="Calibri" w:cs="Calibri" w:eastAsia="Calibri" w:hAnsi="Calibri"/>
          <w:sz w:val="22"/>
          <w:szCs w:val="22"/>
          <w:color w:val="auto"/>
        </w:rPr>
        <w:t>Notes: This table reports the degree to which experts and crowds agree on which projects to fund, and the extent to which the disagreement is driven by projects funded by the crowd and not experts versus those funded by experts but not the crowd. We create three funding thresholds for experts (100%, 75% and 50%) so that a project is deemed funded by an expert only if they allocated more than that threshold for the given project. We then look at all 1,024 possible combinations of judges and for each combination, calculate the extent to which the experts would have agreed with the crowd's funding decision, given the different funding thresholds. Columns (1), (3) and (5) report the degree of agreement between experts and crowds and different percentiles of the distribution across the 1,024 combination of judges. For example, the average degree of agreement at the 75% funding threshold was 58.8%. Columns (2), (4) and (6) further report the extent to which the disagreement is driven by crowds funding the projects the experts would have rejected or vice-versa. They show that most of the disagreement is comprised of projects funded by the crowd but rejected by the experts. For example, 76% of the projects where experts and crowds did not agree at the 75% funding threshold were ones where the crowd funded the project but experts did not. Hence, only 24% of the disagreements in this example were due to projects funded by experts but rejected by the crowd.</w:t>
      </w:r>
    </w:p>
    <w:p>
      <w:pPr>
        <w:spacing w:after="0" w:line="200" w:lineRule="exact"/>
        <w:rPr>
          <w:sz w:val="20"/>
          <w:szCs w:val="20"/>
          <w:color w:val="auto"/>
        </w:rPr>
      </w:pPr>
    </w:p>
    <w:p>
      <w:pPr>
        <w:spacing w:after="0" w:line="247"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40</w:t>
      </w:r>
    </w:p>
    <w:p>
      <w:pPr>
        <w:sectPr>
          <w:pgSz w:w="15840" w:h="12240" w:orient="landscape"/>
          <w:cols w:equalWidth="0" w:num="1">
            <w:col w:w="12960"/>
          </w:cols>
          <w:pgMar w:left="1440" w:top="1440" w:right="1440" w:bottom="474" w:gutter="0" w:footer="0" w:header="0"/>
        </w:sectPr>
      </w:pPr>
    </w:p>
    <w:bookmarkStart w:id="41" w:name="page42"/>
    <w:bookmarkEnd w:id="41"/>
    <w:p>
      <w:pPr>
        <w:jc w:val="center"/>
        <w:spacing w:after="0"/>
        <w:rPr>
          <w:sz w:val="20"/>
          <w:szCs w:val="20"/>
          <w:color w:val="auto"/>
        </w:rPr>
      </w:pPr>
      <w:r>
        <w:rPr>
          <w:rFonts w:ascii="Calibri" w:cs="Calibri" w:eastAsia="Calibri" w:hAnsi="Calibri"/>
          <w:sz w:val="28"/>
          <w:szCs w:val="28"/>
          <w:b w:val="1"/>
          <w:bCs w:val="1"/>
          <w:color w:val="auto"/>
        </w:rPr>
        <w:t>Table 3b</w:t>
      </w:r>
    </w:p>
    <w:p>
      <w:pPr>
        <w:spacing w:after="0" w:line="11" w:lineRule="exact"/>
        <w:rPr>
          <w:sz w:val="20"/>
          <w:szCs w:val="20"/>
          <w:color w:val="auto"/>
        </w:rPr>
      </w:pPr>
    </w:p>
    <w:p>
      <w:pPr>
        <w:jc w:val="center"/>
        <w:spacing w:after="0"/>
        <w:rPr>
          <w:sz w:val="20"/>
          <w:szCs w:val="20"/>
          <w:color w:val="auto"/>
        </w:rPr>
      </w:pPr>
      <w:r>
        <w:rPr>
          <w:rFonts w:ascii="Calibri" w:cs="Calibri" w:eastAsia="Calibri" w:hAnsi="Calibri"/>
          <w:sz w:val="27"/>
          <w:szCs w:val="27"/>
          <w:b w:val="1"/>
          <w:bCs w:val="1"/>
          <w:color w:val="auto"/>
        </w:rPr>
        <w:t>Level of Agreement between Crowds and Experts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374650</wp:posOffset>
            </wp:positionV>
            <wp:extent cx="8227695" cy="4763"/>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extLst>
                    </a:blip>
                    <a:srcRect/>
                    <a:stretch>
                      <a:fillRect/>
                    </a:stretch>
                  </pic:blipFill>
                  <pic:spPr bwMode="auto">
                    <a:xfrm>
                      <a:off x="0" y="0"/>
                      <a:ext cx="8227695" cy="4763"/>
                    </a:xfrm>
                    <a:prstGeom prst="rect">
                      <a:avLst/>
                    </a:prstGeom>
                    <a:noFill/>
                  </pic:spPr>
                </pic:pic>
              </a:graphicData>
            </a:graphic>
          </wp:anchor>
        </w:drawing>
      </w:r>
    </w:p>
    <w:p>
      <w:pPr>
        <w:sectPr>
          <w:pgSz w:w="15840" w:h="12240" w:orient="landscape"/>
          <w:cols w:equalWidth="0" w:num="1">
            <w:col w:w="12960"/>
          </w:cols>
          <w:pgMar w:left="1440" w:top="1435" w:right="1440" w:bottom="47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3980" w:type="dxa"/>
            <w:vAlign w:val="bottom"/>
            <w:vMerge w:val="restart"/>
          </w:tcPr>
          <w:p>
            <w:pPr>
              <w:ind w:left="1320"/>
              <w:spacing w:after="0"/>
              <w:rPr>
                <w:sz w:val="20"/>
                <w:szCs w:val="20"/>
                <w:color w:val="auto"/>
              </w:rPr>
            </w:pPr>
            <w:r>
              <w:rPr>
                <w:rFonts w:ascii="Calibri" w:cs="Calibri" w:eastAsia="Calibri" w:hAnsi="Calibri"/>
                <w:sz w:val="20"/>
                <w:szCs w:val="20"/>
                <w:color w:val="auto"/>
              </w:rPr>
              <w:t>DEPENDENT VARIABLES</w:t>
            </w:r>
          </w:p>
        </w:tc>
        <w:tc>
          <w:tcPr>
            <w:tcW w:w="3300" w:type="dxa"/>
            <w:vAlign w:val="bottom"/>
            <w:gridSpan w:val="2"/>
          </w:tcPr>
          <w:p>
            <w:pPr>
              <w:jc w:val="center"/>
              <w:ind w:left="361"/>
              <w:spacing w:after="0"/>
              <w:rPr>
                <w:sz w:val="20"/>
                <w:szCs w:val="20"/>
                <w:color w:val="auto"/>
              </w:rPr>
            </w:pPr>
            <w:r>
              <w:rPr>
                <w:rFonts w:ascii="Calibri" w:cs="Calibri" w:eastAsia="Calibri" w:hAnsi="Calibri"/>
                <w:sz w:val="20"/>
                <w:szCs w:val="20"/>
                <w:color w:val="auto"/>
                <w:w w:val="96"/>
              </w:rPr>
              <w:t>Funding threshold is 100% of</w:t>
            </w:r>
          </w:p>
        </w:tc>
        <w:tc>
          <w:tcPr>
            <w:tcW w:w="2640" w:type="dxa"/>
            <w:vAlign w:val="bottom"/>
            <w:gridSpan w:val="2"/>
          </w:tcPr>
          <w:p>
            <w:pPr>
              <w:jc w:val="center"/>
              <w:ind w:left="1"/>
              <w:spacing w:after="0"/>
              <w:rPr>
                <w:sz w:val="20"/>
                <w:szCs w:val="20"/>
                <w:color w:val="auto"/>
              </w:rPr>
            </w:pPr>
            <w:r>
              <w:rPr>
                <w:rFonts w:ascii="Calibri" w:cs="Calibri" w:eastAsia="Calibri" w:hAnsi="Calibri"/>
                <w:sz w:val="20"/>
                <w:szCs w:val="20"/>
                <w:color w:val="auto"/>
                <w:w w:val="96"/>
              </w:rPr>
              <w:t>Funding threshold is 75% of</w:t>
            </w:r>
          </w:p>
        </w:tc>
        <w:tc>
          <w:tcPr>
            <w:tcW w:w="0" w:type="dxa"/>
            <w:vAlign w:val="bottom"/>
          </w:tcPr>
          <w:p>
            <w:pPr>
              <w:spacing w:after="0"/>
              <w:rPr>
                <w:sz w:val="1"/>
                <w:szCs w:val="1"/>
                <w:color w:val="auto"/>
              </w:rPr>
            </w:pPr>
          </w:p>
        </w:tc>
      </w:tr>
      <w:tr>
        <w:trPr>
          <w:trHeight w:val="112"/>
        </w:trPr>
        <w:tc>
          <w:tcPr>
            <w:tcW w:w="3980" w:type="dxa"/>
            <w:vAlign w:val="bottom"/>
            <w:vMerge w:val="continue"/>
          </w:tcPr>
          <w:p>
            <w:pPr>
              <w:spacing w:after="0"/>
              <w:rPr>
                <w:sz w:val="9"/>
                <w:szCs w:val="9"/>
                <w:color w:val="auto"/>
              </w:rPr>
            </w:pPr>
          </w:p>
        </w:tc>
        <w:tc>
          <w:tcPr>
            <w:tcW w:w="1640" w:type="dxa"/>
            <w:vAlign w:val="bottom"/>
          </w:tcPr>
          <w:p>
            <w:pPr>
              <w:spacing w:after="0"/>
              <w:rPr>
                <w:sz w:val="9"/>
                <w:szCs w:val="9"/>
                <w:color w:val="auto"/>
              </w:rPr>
            </w:pPr>
          </w:p>
        </w:tc>
        <w:tc>
          <w:tcPr>
            <w:tcW w:w="1660" w:type="dxa"/>
            <w:vAlign w:val="bottom"/>
            <w:vMerge w:val="restart"/>
          </w:tcPr>
          <w:p>
            <w:pPr>
              <w:jc w:val="center"/>
              <w:ind w:right="1101"/>
              <w:spacing w:after="0"/>
              <w:rPr>
                <w:sz w:val="20"/>
                <w:szCs w:val="20"/>
                <w:color w:val="auto"/>
              </w:rPr>
            </w:pPr>
            <w:r>
              <w:rPr>
                <w:rFonts w:ascii="Calibri" w:cs="Calibri" w:eastAsia="Calibri" w:hAnsi="Calibri"/>
                <w:sz w:val="20"/>
                <w:szCs w:val="20"/>
                <w:color w:val="auto"/>
                <w:w w:val="99"/>
              </w:rPr>
              <w:t>goal</w:t>
            </w:r>
          </w:p>
        </w:tc>
        <w:tc>
          <w:tcPr>
            <w:tcW w:w="1160" w:type="dxa"/>
            <w:vAlign w:val="bottom"/>
          </w:tcPr>
          <w:p>
            <w:pPr>
              <w:spacing w:after="0"/>
              <w:rPr>
                <w:sz w:val="9"/>
                <w:szCs w:val="9"/>
                <w:color w:val="auto"/>
              </w:rPr>
            </w:pPr>
          </w:p>
        </w:tc>
        <w:tc>
          <w:tcPr>
            <w:tcW w:w="1480" w:type="dxa"/>
            <w:vAlign w:val="bottom"/>
            <w:vMerge w:val="restart"/>
          </w:tcPr>
          <w:p>
            <w:pPr>
              <w:jc w:val="center"/>
              <w:ind w:right="961"/>
              <w:spacing w:after="0"/>
              <w:rPr>
                <w:sz w:val="20"/>
                <w:szCs w:val="20"/>
                <w:color w:val="auto"/>
              </w:rPr>
            </w:pPr>
            <w:r>
              <w:rPr>
                <w:rFonts w:ascii="Calibri" w:cs="Calibri" w:eastAsia="Calibri" w:hAnsi="Calibri"/>
                <w:sz w:val="20"/>
                <w:szCs w:val="20"/>
                <w:color w:val="auto"/>
                <w:w w:val="99"/>
              </w:rPr>
              <w:t>goal</w:t>
            </w:r>
          </w:p>
        </w:tc>
        <w:tc>
          <w:tcPr>
            <w:tcW w:w="0" w:type="dxa"/>
            <w:vAlign w:val="bottom"/>
          </w:tcPr>
          <w:p>
            <w:pPr>
              <w:spacing w:after="0"/>
              <w:rPr>
                <w:sz w:val="1"/>
                <w:szCs w:val="1"/>
                <w:color w:val="auto"/>
              </w:rPr>
            </w:pPr>
          </w:p>
        </w:tc>
      </w:tr>
      <w:tr>
        <w:trPr>
          <w:trHeight w:val="147"/>
        </w:trPr>
        <w:tc>
          <w:tcPr>
            <w:tcW w:w="3980" w:type="dxa"/>
            <w:vAlign w:val="bottom"/>
            <w:tcBorders>
              <w:bottom w:val="single" w:sz="8" w:color="auto"/>
            </w:tcBorders>
          </w:tcPr>
          <w:p>
            <w:pPr>
              <w:spacing w:after="0"/>
              <w:rPr>
                <w:sz w:val="12"/>
                <w:szCs w:val="12"/>
                <w:color w:val="auto"/>
              </w:rPr>
            </w:pPr>
          </w:p>
        </w:tc>
        <w:tc>
          <w:tcPr>
            <w:tcW w:w="1640" w:type="dxa"/>
            <w:vAlign w:val="bottom"/>
            <w:tcBorders>
              <w:bottom w:val="single" w:sz="8" w:color="auto"/>
            </w:tcBorders>
          </w:tcPr>
          <w:p>
            <w:pPr>
              <w:spacing w:after="0"/>
              <w:rPr>
                <w:sz w:val="12"/>
                <w:szCs w:val="12"/>
                <w:color w:val="auto"/>
              </w:rPr>
            </w:pPr>
          </w:p>
        </w:tc>
        <w:tc>
          <w:tcPr>
            <w:tcW w:w="1660" w:type="dxa"/>
            <w:vAlign w:val="bottom"/>
            <w:tcBorders>
              <w:bottom w:val="single" w:sz="8" w:color="auto"/>
            </w:tcBorders>
            <w:vMerge w:val="continue"/>
          </w:tcPr>
          <w:p>
            <w:pPr>
              <w:spacing w:after="0"/>
              <w:rPr>
                <w:sz w:val="12"/>
                <w:szCs w:val="12"/>
                <w:color w:val="auto"/>
              </w:rPr>
            </w:pPr>
          </w:p>
        </w:tc>
        <w:tc>
          <w:tcPr>
            <w:tcW w:w="1160" w:type="dxa"/>
            <w:vAlign w:val="bottom"/>
            <w:tcBorders>
              <w:bottom w:val="single" w:sz="8" w:color="auto"/>
            </w:tcBorders>
          </w:tcPr>
          <w:p>
            <w:pPr>
              <w:spacing w:after="0"/>
              <w:rPr>
                <w:sz w:val="12"/>
                <w:szCs w:val="12"/>
                <w:color w:val="auto"/>
              </w:rPr>
            </w:pPr>
          </w:p>
        </w:tc>
        <w:tc>
          <w:tcPr>
            <w:tcW w:w="1480" w:type="dxa"/>
            <w:vAlign w:val="bottom"/>
            <w:tcBorders>
              <w:bottom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36"/>
        </w:trPr>
        <w:tc>
          <w:tcPr>
            <w:tcW w:w="3980" w:type="dxa"/>
            <w:vAlign w:val="bottom"/>
            <w:tcBorders>
              <w:bottom w:val="single" w:sz="8" w:color="auto"/>
            </w:tcBorders>
          </w:tcPr>
          <w:p>
            <w:pPr>
              <w:spacing w:after="0"/>
              <w:rPr>
                <w:sz w:val="20"/>
                <w:szCs w:val="20"/>
                <w:color w:val="auto"/>
              </w:rPr>
            </w:pPr>
          </w:p>
        </w:tc>
        <w:tc>
          <w:tcPr>
            <w:tcW w:w="1640" w:type="dxa"/>
            <w:vAlign w:val="bottom"/>
            <w:tcBorders>
              <w:bottom w:val="single" w:sz="8" w:color="auto"/>
            </w:tcBorders>
          </w:tcPr>
          <w:p>
            <w:pPr>
              <w:jc w:val="center"/>
              <w:ind w:left="761"/>
              <w:spacing w:after="0" w:line="233" w:lineRule="exact"/>
              <w:rPr>
                <w:sz w:val="20"/>
                <w:szCs w:val="20"/>
                <w:color w:val="auto"/>
              </w:rPr>
            </w:pPr>
            <w:r>
              <w:rPr>
                <w:rFonts w:ascii="Calibri" w:cs="Calibri" w:eastAsia="Calibri" w:hAnsi="Calibri"/>
                <w:sz w:val="20"/>
                <w:szCs w:val="20"/>
                <w:color w:val="auto"/>
                <w:w w:val="98"/>
              </w:rPr>
              <w:t>(1)</w:t>
            </w:r>
          </w:p>
        </w:tc>
        <w:tc>
          <w:tcPr>
            <w:tcW w:w="1660" w:type="dxa"/>
            <w:vAlign w:val="bottom"/>
            <w:tcBorders>
              <w:bottom w:val="single" w:sz="8" w:color="auto"/>
            </w:tcBorders>
          </w:tcPr>
          <w:p>
            <w:pPr>
              <w:jc w:val="center"/>
              <w:ind w:left="141"/>
              <w:spacing w:after="0" w:line="233" w:lineRule="exact"/>
              <w:rPr>
                <w:sz w:val="20"/>
                <w:szCs w:val="20"/>
                <w:color w:val="auto"/>
              </w:rPr>
            </w:pPr>
            <w:r>
              <w:rPr>
                <w:rFonts w:ascii="Calibri" w:cs="Calibri" w:eastAsia="Calibri" w:hAnsi="Calibri"/>
                <w:sz w:val="20"/>
                <w:szCs w:val="20"/>
                <w:color w:val="auto"/>
                <w:w w:val="98"/>
              </w:rPr>
              <w:t>(2)</w:t>
            </w:r>
          </w:p>
        </w:tc>
        <w:tc>
          <w:tcPr>
            <w:tcW w:w="1160" w:type="dxa"/>
            <w:vAlign w:val="bottom"/>
            <w:tcBorders>
              <w:bottom w:val="single" w:sz="8" w:color="auto"/>
            </w:tcBorders>
          </w:tcPr>
          <w:p>
            <w:pPr>
              <w:jc w:val="center"/>
              <w:ind w:left="321"/>
              <w:spacing w:after="0" w:line="233" w:lineRule="exact"/>
              <w:rPr>
                <w:sz w:val="20"/>
                <w:szCs w:val="20"/>
                <w:color w:val="auto"/>
              </w:rPr>
            </w:pPr>
            <w:r>
              <w:rPr>
                <w:rFonts w:ascii="Calibri" w:cs="Calibri" w:eastAsia="Calibri" w:hAnsi="Calibri"/>
                <w:sz w:val="20"/>
                <w:szCs w:val="20"/>
                <w:color w:val="auto"/>
                <w:w w:val="98"/>
              </w:rPr>
              <w:t>(3)</w:t>
            </w:r>
          </w:p>
        </w:tc>
        <w:tc>
          <w:tcPr>
            <w:tcW w:w="1480" w:type="dxa"/>
            <w:vAlign w:val="bottom"/>
            <w:tcBorders>
              <w:bottom w:val="single" w:sz="8" w:color="auto"/>
            </w:tcBorders>
          </w:tcPr>
          <w:p>
            <w:pPr>
              <w:jc w:val="center"/>
              <w:ind w:left="201"/>
              <w:spacing w:after="0" w:line="233" w:lineRule="exact"/>
              <w:rPr>
                <w:sz w:val="20"/>
                <w:szCs w:val="20"/>
                <w:color w:val="auto"/>
              </w:rPr>
            </w:pPr>
            <w:r>
              <w:rPr>
                <w:rFonts w:ascii="Calibri" w:cs="Calibri" w:eastAsia="Calibri" w:hAnsi="Calibri"/>
                <w:sz w:val="20"/>
                <w:szCs w:val="20"/>
                <w:color w:val="auto"/>
                <w:w w:val="98"/>
              </w:rPr>
              <w:t>(4)</w:t>
            </w:r>
          </w:p>
        </w:tc>
        <w:tc>
          <w:tcPr>
            <w:tcW w:w="0" w:type="dxa"/>
            <w:vAlign w:val="bottom"/>
          </w:tcPr>
          <w:p>
            <w:pPr>
              <w:spacing w:after="0"/>
              <w:rPr>
                <w:sz w:val="1"/>
                <w:szCs w:val="1"/>
                <w:color w:val="auto"/>
              </w:rPr>
            </w:pPr>
          </w:p>
        </w:tc>
      </w:tr>
      <w:tr>
        <w:trPr>
          <w:trHeight w:val="234"/>
        </w:trPr>
        <w:tc>
          <w:tcPr>
            <w:tcW w:w="3980" w:type="dxa"/>
            <w:vAlign w:val="bottom"/>
          </w:tcPr>
          <w:p>
            <w:pPr>
              <w:ind w:left="40"/>
              <w:spacing w:after="0" w:line="233" w:lineRule="exact"/>
              <w:rPr>
                <w:sz w:val="20"/>
                <w:szCs w:val="20"/>
                <w:color w:val="auto"/>
              </w:rPr>
            </w:pPr>
            <w:r>
              <w:rPr>
                <w:rFonts w:ascii="Calibri" w:cs="Calibri" w:eastAsia="Calibri" w:hAnsi="Calibri"/>
                <w:sz w:val="20"/>
                <w:szCs w:val="20"/>
                <w:color w:val="auto"/>
              </w:rPr>
              <w:t>Reached or Exceeded goal on Kickstarter</w:t>
            </w:r>
          </w:p>
        </w:tc>
        <w:tc>
          <w:tcPr>
            <w:tcW w:w="1640" w:type="dxa"/>
            <w:vAlign w:val="bottom"/>
          </w:tcPr>
          <w:p>
            <w:pPr>
              <w:jc w:val="center"/>
              <w:ind w:left="761"/>
              <w:spacing w:after="0" w:line="233" w:lineRule="exact"/>
              <w:rPr>
                <w:sz w:val="20"/>
                <w:szCs w:val="20"/>
                <w:color w:val="auto"/>
              </w:rPr>
            </w:pPr>
            <w:r>
              <w:rPr>
                <w:rFonts w:ascii="Calibri" w:cs="Calibri" w:eastAsia="Calibri" w:hAnsi="Calibri"/>
                <w:sz w:val="20"/>
                <w:szCs w:val="20"/>
                <w:color w:val="auto"/>
              </w:rPr>
              <w:t>0.167**</w:t>
            </w:r>
          </w:p>
        </w:tc>
        <w:tc>
          <w:tcPr>
            <w:tcW w:w="1660" w:type="dxa"/>
            <w:vAlign w:val="bottom"/>
          </w:tcPr>
          <w:p>
            <w:pPr>
              <w:jc w:val="center"/>
              <w:ind w:left="121"/>
              <w:spacing w:after="0" w:line="233" w:lineRule="exact"/>
              <w:rPr>
                <w:sz w:val="20"/>
                <w:szCs w:val="20"/>
                <w:color w:val="auto"/>
              </w:rPr>
            </w:pPr>
            <w:r>
              <w:rPr>
                <w:rFonts w:ascii="Calibri" w:cs="Calibri" w:eastAsia="Calibri" w:hAnsi="Calibri"/>
                <w:sz w:val="20"/>
                <w:szCs w:val="20"/>
                <w:color w:val="auto"/>
                <w:w w:val="97"/>
              </w:rPr>
              <w:t>0.167**</w:t>
            </w:r>
          </w:p>
        </w:tc>
        <w:tc>
          <w:tcPr>
            <w:tcW w:w="1160" w:type="dxa"/>
            <w:vAlign w:val="bottom"/>
          </w:tcPr>
          <w:p>
            <w:pPr>
              <w:jc w:val="center"/>
              <w:ind w:left="301"/>
              <w:spacing w:after="0" w:line="233" w:lineRule="exact"/>
              <w:rPr>
                <w:sz w:val="20"/>
                <w:szCs w:val="20"/>
                <w:color w:val="auto"/>
              </w:rPr>
            </w:pPr>
            <w:r>
              <w:rPr>
                <w:rFonts w:ascii="Calibri" w:cs="Calibri" w:eastAsia="Calibri" w:hAnsi="Calibri"/>
                <w:sz w:val="20"/>
                <w:szCs w:val="20"/>
                <w:color w:val="auto"/>
                <w:w w:val="97"/>
              </w:rPr>
              <w:t>0.183**</w:t>
            </w:r>
          </w:p>
        </w:tc>
        <w:tc>
          <w:tcPr>
            <w:tcW w:w="1480" w:type="dxa"/>
            <w:vAlign w:val="bottom"/>
          </w:tcPr>
          <w:p>
            <w:pPr>
              <w:jc w:val="center"/>
              <w:ind w:left="201"/>
              <w:spacing w:after="0" w:line="233" w:lineRule="exact"/>
              <w:rPr>
                <w:sz w:val="20"/>
                <w:szCs w:val="20"/>
                <w:color w:val="auto"/>
              </w:rPr>
            </w:pPr>
            <w:r>
              <w:rPr>
                <w:rFonts w:ascii="Calibri" w:cs="Calibri" w:eastAsia="Calibri" w:hAnsi="Calibri"/>
                <w:sz w:val="20"/>
                <w:szCs w:val="20"/>
                <w:color w:val="auto"/>
              </w:rPr>
              <w:t>0.183**</w:t>
            </w:r>
          </w:p>
        </w:tc>
        <w:tc>
          <w:tcPr>
            <w:tcW w:w="0" w:type="dxa"/>
            <w:vAlign w:val="bottom"/>
          </w:tcPr>
          <w:p>
            <w:pPr>
              <w:spacing w:after="0"/>
              <w:rPr>
                <w:sz w:val="1"/>
                <w:szCs w:val="1"/>
                <w:color w:val="auto"/>
              </w:rPr>
            </w:pPr>
          </w:p>
        </w:tc>
      </w:tr>
      <w:tr>
        <w:trPr>
          <w:trHeight w:val="256"/>
        </w:trPr>
        <w:tc>
          <w:tcPr>
            <w:tcW w:w="3980" w:type="dxa"/>
            <w:vAlign w:val="bottom"/>
          </w:tcPr>
          <w:p>
            <w:pPr>
              <w:spacing w:after="0"/>
              <w:rPr>
                <w:sz w:val="22"/>
                <w:szCs w:val="22"/>
                <w:color w:val="auto"/>
              </w:rPr>
            </w:pPr>
          </w:p>
        </w:tc>
        <w:tc>
          <w:tcPr>
            <w:tcW w:w="1640" w:type="dxa"/>
            <w:vAlign w:val="bottom"/>
          </w:tcPr>
          <w:p>
            <w:pPr>
              <w:jc w:val="center"/>
              <w:ind w:left="761"/>
              <w:spacing w:after="0"/>
              <w:rPr>
                <w:sz w:val="20"/>
                <w:szCs w:val="20"/>
                <w:color w:val="auto"/>
              </w:rPr>
            </w:pPr>
            <w:r>
              <w:rPr>
                <w:rFonts w:ascii="Calibri" w:cs="Calibri" w:eastAsia="Calibri" w:hAnsi="Calibri"/>
                <w:sz w:val="20"/>
                <w:szCs w:val="20"/>
                <w:color w:val="auto"/>
              </w:rPr>
              <w:t>(0.073)</w:t>
            </w:r>
          </w:p>
        </w:tc>
        <w:tc>
          <w:tcPr>
            <w:tcW w:w="1660" w:type="dxa"/>
            <w:vAlign w:val="bottom"/>
          </w:tcPr>
          <w:p>
            <w:pPr>
              <w:jc w:val="center"/>
              <w:ind w:left="121"/>
              <w:spacing w:after="0"/>
              <w:rPr>
                <w:sz w:val="20"/>
                <w:szCs w:val="20"/>
                <w:color w:val="auto"/>
              </w:rPr>
            </w:pPr>
            <w:r>
              <w:rPr>
                <w:rFonts w:ascii="Calibri" w:cs="Calibri" w:eastAsia="Calibri" w:hAnsi="Calibri"/>
                <w:sz w:val="20"/>
                <w:szCs w:val="20"/>
                <w:color w:val="auto"/>
                <w:w w:val="96"/>
              </w:rPr>
              <w:t>(0.077)</w:t>
            </w:r>
          </w:p>
        </w:tc>
        <w:tc>
          <w:tcPr>
            <w:tcW w:w="1160" w:type="dxa"/>
            <w:vAlign w:val="bottom"/>
          </w:tcPr>
          <w:p>
            <w:pPr>
              <w:jc w:val="center"/>
              <w:ind w:left="301"/>
              <w:spacing w:after="0"/>
              <w:rPr>
                <w:sz w:val="20"/>
                <w:szCs w:val="20"/>
                <w:color w:val="auto"/>
              </w:rPr>
            </w:pPr>
            <w:r>
              <w:rPr>
                <w:rFonts w:ascii="Calibri" w:cs="Calibri" w:eastAsia="Calibri" w:hAnsi="Calibri"/>
                <w:sz w:val="20"/>
                <w:szCs w:val="20"/>
                <w:color w:val="auto"/>
                <w:w w:val="96"/>
              </w:rPr>
              <w:t>(0.073)</w:t>
            </w:r>
          </w:p>
        </w:tc>
        <w:tc>
          <w:tcPr>
            <w:tcW w:w="1480" w:type="dxa"/>
            <w:vAlign w:val="bottom"/>
          </w:tcPr>
          <w:p>
            <w:pPr>
              <w:jc w:val="center"/>
              <w:ind w:left="201"/>
              <w:spacing w:after="0"/>
              <w:rPr>
                <w:sz w:val="20"/>
                <w:szCs w:val="20"/>
                <w:color w:val="auto"/>
              </w:rPr>
            </w:pPr>
            <w:r>
              <w:rPr>
                <w:rFonts w:ascii="Calibri" w:cs="Calibri" w:eastAsia="Calibri" w:hAnsi="Calibri"/>
                <w:sz w:val="20"/>
                <w:szCs w:val="20"/>
                <w:color w:val="auto"/>
              </w:rPr>
              <w:t>(0.077)</w:t>
            </w:r>
          </w:p>
        </w:tc>
        <w:tc>
          <w:tcPr>
            <w:tcW w:w="0" w:type="dxa"/>
            <w:vAlign w:val="bottom"/>
          </w:tcPr>
          <w:p>
            <w:pPr>
              <w:spacing w:after="0"/>
              <w:rPr>
                <w:sz w:val="1"/>
                <w:szCs w:val="1"/>
                <w:color w:val="auto"/>
              </w:rPr>
            </w:pPr>
          </w:p>
        </w:tc>
      </w:tr>
      <w:tr>
        <w:trPr>
          <w:trHeight w:val="256"/>
        </w:trPr>
        <w:tc>
          <w:tcPr>
            <w:tcW w:w="3980" w:type="dxa"/>
            <w:vAlign w:val="bottom"/>
          </w:tcPr>
          <w:p>
            <w:pPr>
              <w:ind w:left="40"/>
              <w:spacing w:after="0"/>
              <w:rPr>
                <w:sz w:val="20"/>
                <w:szCs w:val="20"/>
                <w:color w:val="auto"/>
              </w:rPr>
            </w:pPr>
            <w:r>
              <w:rPr>
                <w:rFonts w:ascii="Calibri" w:cs="Calibri" w:eastAsia="Calibri" w:hAnsi="Calibri"/>
                <w:sz w:val="20"/>
                <w:szCs w:val="20"/>
                <w:color w:val="auto"/>
              </w:rPr>
              <w:t>Constant</w:t>
            </w:r>
          </w:p>
        </w:tc>
        <w:tc>
          <w:tcPr>
            <w:tcW w:w="1640" w:type="dxa"/>
            <w:vAlign w:val="bottom"/>
          </w:tcPr>
          <w:p>
            <w:pPr>
              <w:jc w:val="center"/>
              <w:ind w:left="761"/>
              <w:spacing w:after="0"/>
              <w:rPr>
                <w:sz w:val="20"/>
                <w:szCs w:val="20"/>
                <w:color w:val="auto"/>
              </w:rPr>
            </w:pPr>
            <w:r>
              <w:rPr>
                <w:rFonts w:ascii="Calibri" w:cs="Calibri" w:eastAsia="Calibri" w:hAnsi="Calibri"/>
                <w:sz w:val="20"/>
                <w:szCs w:val="20"/>
                <w:color w:val="auto"/>
              </w:rPr>
              <w:t>0.108</w:t>
            </w:r>
          </w:p>
        </w:tc>
        <w:tc>
          <w:tcPr>
            <w:tcW w:w="1660" w:type="dxa"/>
            <w:vAlign w:val="bottom"/>
          </w:tcPr>
          <w:p>
            <w:pPr>
              <w:jc w:val="center"/>
              <w:ind w:left="141"/>
              <w:spacing w:after="0"/>
              <w:rPr>
                <w:sz w:val="20"/>
                <w:szCs w:val="20"/>
                <w:color w:val="auto"/>
              </w:rPr>
            </w:pPr>
            <w:r>
              <w:rPr>
                <w:rFonts w:ascii="Calibri" w:cs="Calibri" w:eastAsia="Calibri" w:hAnsi="Calibri"/>
                <w:sz w:val="20"/>
                <w:szCs w:val="20"/>
                <w:color w:val="auto"/>
                <w:w w:val="97"/>
              </w:rPr>
              <w:t>0.167***</w:t>
            </w:r>
          </w:p>
        </w:tc>
        <w:tc>
          <w:tcPr>
            <w:tcW w:w="1160" w:type="dxa"/>
            <w:vAlign w:val="bottom"/>
          </w:tcPr>
          <w:p>
            <w:pPr>
              <w:jc w:val="center"/>
              <w:ind w:left="301"/>
              <w:spacing w:after="0"/>
              <w:rPr>
                <w:sz w:val="20"/>
                <w:szCs w:val="20"/>
                <w:color w:val="auto"/>
              </w:rPr>
            </w:pPr>
            <w:r>
              <w:rPr>
                <w:rFonts w:ascii="Calibri" w:cs="Calibri" w:eastAsia="Calibri" w:hAnsi="Calibri"/>
                <w:sz w:val="20"/>
                <w:szCs w:val="20"/>
                <w:color w:val="auto"/>
                <w:w w:val="96"/>
              </w:rPr>
              <w:t>0.138</w:t>
            </w:r>
          </w:p>
        </w:tc>
        <w:tc>
          <w:tcPr>
            <w:tcW w:w="1480" w:type="dxa"/>
            <w:vAlign w:val="bottom"/>
          </w:tcPr>
          <w:p>
            <w:pPr>
              <w:jc w:val="center"/>
              <w:ind w:left="201"/>
              <w:spacing w:after="0"/>
              <w:rPr>
                <w:sz w:val="20"/>
                <w:szCs w:val="20"/>
                <w:color w:val="auto"/>
              </w:rPr>
            </w:pPr>
            <w:r>
              <w:rPr>
                <w:rFonts w:ascii="Calibri" w:cs="Calibri" w:eastAsia="Calibri" w:hAnsi="Calibri"/>
                <w:sz w:val="20"/>
                <w:szCs w:val="20"/>
                <w:color w:val="auto"/>
                <w:w w:val="97"/>
              </w:rPr>
              <w:t>0.183***</w:t>
            </w:r>
          </w:p>
        </w:tc>
        <w:tc>
          <w:tcPr>
            <w:tcW w:w="0" w:type="dxa"/>
            <w:vAlign w:val="bottom"/>
          </w:tcPr>
          <w:p>
            <w:pPr>
              <w:spacing w:after="0"/>
              <w:rPr>
                <w:sz w:val="1"/>
                <w:szCs w:val="1"/>
                <w:color w:val="auto"/>
              </w:rPr>
            </w:pPr>
          </w:p>
        </w:tc>
      </w:tr>
      <w:tr>
        <w:trPr>
          <w:trHeight w:val="256"/>
        </w:trPr>
        <w:tc>
          <w:tcPr>
            <w:tcW w:w="3980" w:type="dxa"/>
            <w:vAlign w:val="bottom"/>
          </w:tcPr>
          <w:p>
            <w:pPr>
              <w:spacing w:after="0"/>
              <w:rPr>
                <w:sz w:val="22"/>
                <w:szCs w:val="22"/>
                <w:color w:val="auto"/>
              </w:rPr>
            </w:pPr>
          </w:p>
        </w:tc>
        <w:tc>
          <w:tcPr>
            <w:tcW w:w="1640" w:type="dxa"/>
            <w:vAlign w:val="bottom"/>
          </w:tcPr>
          <w:p>
            <w:pPr>
              <w:jc w:val="center"/>
              <w:ind w:left="761"/>
              <w:spacing w:after="0"/>
              <w:rPr>
                <w:sz w:val="20"/>
                <w:szCs w:val="20"/>
                <w:color w:val="auto"/>
              </w:rPr>
            </w:pPr>
            <w:r>
              <w:rPr>
                <w:rFonts w:ascii="Calibri" w:cs="Calibri" w:eastAsia="Calibri" w:hAnsi="Calibri"/>
                <w:sz w:val="20"/>
                <w:szCs w:val="20"/>
                <w:color w:val="auto"/>
              </w:rPr>
              <w:t>(0.077)</w:t>
            </w:r>
          </w:p>
        </w:tc>
        <w:tc>
          <w:tcPr>
            <w:tcW w:w="1660" w:type="dxa"/>
            <w:vAlign w:val="bottom"/>
          </w:tcPr>
          <w:p>
            <w:pPr>
              <w:jc w:val="center"/>
              <w:ind w:left="121"/>
              <w:spacing w:after="0"/>
              <w:rPr>
                <w:sz w:val="20"/>
                <w:szCs w:val="20"/>
                <w:color w:val="auto"/>
              </w:rPr>
            </w:pPr>
            <w:r>
              <w:rPr>
                <w:rFonts w:ascii="Calibri" w:cs="Calibri" w:eastAsia="Calibri" w:hAnsi="Calibri"/>
                <w:sz w:val="20"/>
                <w:szCs w:val="20"/>
                <w:color w:val="auto"/>
                <w:w w:val="96"/>
              </w:rPr>
              <w:t>(0.039)</w:t>
            </w:r>
          </w:p>
        </w:tc>
        <w:tc>
          <w:tcPr>
            <w:tcW w:w="1160" w:type="dxa"/>
            <w:vAlign w:val="bottom"/>
          </w:tcPr>
          <w:p>
            <w:pPr>
              <w:jc w:val="center"/>
              <w:ind w:left="301"/>
              <w:spacing w:after="0"/>
              <w:rPr>
                <w:sz w:val="20"/>
                <w:szCs w:val="20"/>
                <w:color w:val="auto"/>
              </w:rPr>
            </w:pPr>
            <w:r>
              <w:rPr>
                <w:rFonts w:ascii="Calibri" w:cs="Calibri" w:eastAsia="Calibri" w:hAnsi="Calibri"/>
                <w:sz w:val="20"/>
                <w:szCs w:val="20"/>
                <w:color w:val="auto"/>
                <w:w w:val="96"/>
              </w:rPr>
              <w:t>(0.095)</w:t>
            </w:r>
          </w:p>
        </w:tc>
        <w:tc>
          <w:tcPr>
            <w:tcW w:w="1480" w:type="dxa"/>
            <w:vAlign w:val="bottom"/>
          </w:tcPr>
          <w:p>
            <w:pPr>
              <w:jc w:val="center"/>
              <w:ind w:left="201"/>
              <w:spacing w:after="0"/>
              <w:rPr>
                <w:sz w:val="20"/>
                <w:szCs w:val="20"/>
                <w:color w:val="auto"/>
              </w:rPr>
            </w:pPr>
            <w:r>
              <w:rPr>
                <w:rFonts w:ascii="Calibri" w:cs="Calibri" w:eastAsia="Calibri" w:hAnsi="Calibri"/>
                <w:sz w:val="20"/>
                <w:szCs w:val="20"/>
                <w:color w:val="auto"/>
              </w:rPr>
              <w:t>(0.039)</w:t>
            </w:r>
          </w:p>
        </w:tc>
        <w:tc>
          <w:tcPr>
            <w:tcW w:w="0" w:type="dxa"/>
            <w:vAlign w:val="bottom"/>
          </w:tcPr>
          <w:p>
            <w:pPr>
              <w:spacing w:after="0"/>
              <w:rPr>
                <w:sz w:val="1"/>
                <w:szCs w:val="1"/>
                <w:color w:val="auto"/>
              </w:rPr>
            </w:pPr>
          </w:p>
        </w:tc>
      </w:tr>
      <w:tr>
        <w:trPr>
          <w:trHeight w:val="96"/>
        </w:trPr>
        <w:tc>
          <w:tcPr>
            <w:tcW w:w="3980" w:type="dxa"/>
            <w:vAlign w:val="bottom"/>
            <w:tcBorders>
              <w:bottom w:val="single" w:sz="8" w:color="auto"/>
            </w:tcBorders>
          </w:tcPr>
          <w:p>
            <w:pPr>
              <w:spacing w:after="0"/>
              <w:rPr>
                <w:sz w:val="8"/>
                <w:szCs w:val="8"/>
                <w:color w:val="auto"/>
              </w:rPr>
            </w:pPr>
          </w:p>
        </w:tc>
        <w:tc>
          <w:tcPr>
            <w:tcW w:w="1640" w:type="dxa"/>
            <w:vAlign w:val="bottom"/>
            <w:tcBorders>
              <w:bottom w:val="single" w:sz="8" w:color="auto"/>
            </w:tcBorders>
          </w:tcPr>
          <w:p>
            <w:pPr>
              <w:spacing w:after="0"/>
              <w:rPr>
                <w:sz w:val="8"/>
                <w:szCs w:val="8"/>
                <w:color w:val="auto"/>
              </w:rPr>
            </w:pPr>
          </w:p>
        </w:tc>
        <w:tc>
          <w:tcPr>
            <w:tcW w:w="1660" w:type="dxa"/>
            <w:vAlign w:val="bottom"/>
            <w:tcBorders>
              <w:bottom w:val="single" w:sz="8" w:color="auto"/>
            </w:tcBorders>
          </w:tcPr>
          <w:p>
            <w:pPr>
              <w:spacing w:after="0"/>
              <w:rPr>
                <w:sz w:val="8"/>
                <w:szCs w:val="8"/>
                <w:color w:val="auto"/>
              </w:rPr>
            </w:pPr>
          </w:p>
        </w:tc>
        <w:tc>
          <w:tcPr>
            <w:tcW w:w="1160" w:type="dxa"/>
            <w:vAlign w:val="bottom"/>
            <w:tcBorders>
              <w:bottom w:val="single" w:sz="8" w:color="auto"/>
            </w:tcBorders>
          </w:tcPr>
          <w:p>
            <w:pPr>
              <w:spacing w:after="0"/>
              <w:rPr>
                <w:sz w:val="8"/>
                <w:szCs w:val="8"/>
                <w:color w:val="auto"/>
              </w:rPr>
            </w:pPr>
          </w:p>
        </w:tc>
        <w:tc>
          <w:tcPr>
            <w:tcW w:w="1480" w:type="dxa"/>
            <w:vAlign w:val="bottom"/>
            <w:tcBorders>
              <w:bottom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31"/>
        </w:trPr>
        <w:tc>
          <w:tcPr>
            <w:tcW w:w="3980" w:type="dxa"/>
            <w:vAlign w:val="bottom"/>
          </w:tcPr>
          <w:p>
            <w:pPr>
              <w:ind w:left="40"/>
              <w:spacing w:after="0" w:line="230" w:lineRule="exact"/>
              <w:rPr>
                <w:sz w:val="20"/>
                <w:szCs w:val="20"/>
                <w:color w:val="auto"/>
              </w:rPr>
            </w:pPr>
            <w:r>
              <w:rPr>
                <w:rFonts w:ascii="Calibri" w:cs="Calibri" w:eastAsia="Calibri" w:hAnsi="Calibri"/>
                <w:sz w:val="20"/>
                <w:szCs w:val="20"/>
                <w:color w:val="auto"/>
              </w:rPr>
              <w:t>Controls</w:t>
            </w:r>
          </w:p>
        </w:tc>
        <w:tc>
          <w:tcPr>
            <w:tcW w:w="1640" w:type="dxa"/>
            <w:vAlign w:val="bottom"/>
          </w:tcPr>
          <w:p>
            <w:pPr>
              <w:ind w:left="1120"/>
              <w:spacing w:after="0" w:line="230" w:lineRule="exact"/>
              <w:rPr>
                <w:sz w:val="20"/>
                <w:szCs w:val="20"/>
                <w:color w:val="auto"/>
              </w:rPr>
            </w:pPr>
            <w:r>
              <w:rPr>
                <w:rFonts w:ascii="Calibri" w:cs="Calibri" w:eastAsia="Calibri" w:hAnsi="Calibri"/>
                <w:sz w:val="20"/>
                <w:szCs w:val="20"/>
                <w:color w:val="auto"/>
              </w:rPr>
              <w:t>Yes</w:t>
            </w:r>
          </w:p>
        </w:tc>
        <w:tc>
          <w:tcPr>
            <w:tcW w:w="1660" w:type="dxa"/>
            <w:vAlign w:val="bottom"/>
          </w:tcPr>
          <w:p>
            <w:pPr>
              <w:ind w:left="820"/>
              <w:spacing w:after="0" w:line="230" w:lineRule="exact"/>
              <w:rPr>
                <w:sz w:val="20"/>
                <w:szCs w:val="20"/>
                <w:color w:val="auto"/>
              </w:rPr>
            </w:pPr>
            <w:r>
              <w:rPr>
                <w:rFonts w:ascii="Calibri" w:cs="Calibri" w:eastAsia="Calibri" w:hAnsi="Calibri"/>
                <w:sz w:val="20"/>
                <w:szCs w:val="20"/>
                <w:color w:val="auto"/>
              </w:rPr>
              <w:t>Yes</w:t>
            </w:r>
          </w:p>
        </w:tc>
        <w:tc>
          <w:tcPr>
            <w:tcW w:w="1160" w:type="dxa"/>
            <w:vAlign w:val="bottom"/>
          </w:tcPr>
          <w:p>
            <w:pPr>
              <w:ind w:left="640"/>
              <w:spacing w:after="0" w:line="230" w:lineRule="exact"/>
              <w:rPr>
                <w:sz w:val="20"/>
                <w:szCs w:val="20"/>
                <w:color w:val="auto"/>
              </w:rPr>
            </w:pPr>
            <w:r>
              <w:rPr>
                <w:rFonts w:ascii="Calibri" w:cs="Calibri" w:eastAsia="Calibri" w:hAnsi="Calibri"/>
                <w:sz w:val="20"/>
                <w:szCs w:val="20"/>
                <w:color w:val="auto"/>
              </w:rPr>
              <w:t>Yes</w:t>
            </w:r>
          </w:p>
        </w:tc>
        <w:tc>
          <w:tcPr>
            <w:tcW w:w="1480" w:type="dxa"/>
            <w:vAlign w:val="bottom"/>
          </w:tcPr>
          <w:p>
            <w:pPr>
              <w:ind w:left="760"/>
              <w:spacing w:after="0" w:line="230" w:lineRule="exact"/>
              <w:rPr>
                <w:sz w:val="20"/>
                <w:szCs w:val="20"/>
                <w:color w:val="auto"/>
              </w:rPr>
            </w:pPr>
            <w:r>
              <w:rPr>
                <w:rFonts w:ascii="Calibri" w:cs="Calibri" w:eastAsia="Calibri" w:hAnsi="Calibri"/>
                <w:sz w:val="20"/>
                <w:szCs w:val="20"/>
                <w:color w:val="auto"/>
              </w:rPr>
              <w:t>Yes</w:t>
            </w:r>
          </w:p>
        </w:tc>
        <w:tc>
          <w:tcPr>
            <w:tcW w:w="0" w:type="dxa"/>
            <w:vAlign w:val="bottom"/>
          </w:tcPr>
          <w:p>
            <w:pPr>
              <w:spacing w:after="0"/>
              <w:rPr>
                <w:sz w:val="1"/>
                <w:szCs w:val="1"/>
                <w:color w:val="auto"/>
              </w:rPr>
            </w:pPr>
          </w:p>
        </w:tc>
      </w:tr>
      <w:tr>
        <w:trPr>
          <w:trHeight w:val="256"/>
        </w:trPr>
        <w:tc>
          <w:tcPr>
            <w:tcW w:w="3980" w:type="dxa"/>
            <w:vAlign w:val="bottom"/>
          </w:tcPr>
          <w:p>
            <w:pPr>
              <w:ind w:left="40"/>
              <w:spacing w:after="0"/>
              <w:rPr>
                <w:sz w:val="20"/>
                <w:szCs w:val="20"/>
                <w:color w:val="auto"/>
              </w:rPr>
            </w:pPr>
            <w:r>
              <w:rPr>
                <w:rFonts w:ascii="Calibri" w:cs="Calibri" w:eastAsia="Calibri" w:hAnsi="Calibri"/>
                <w:sz w:val="20"/>
                <w:szCs w:val="20"/>
                <w:color w:val="auto"/>
              </w:rPr>
              <w:t>Judge fixed effects</w:t>
            </w:r>
          </w:p>
        </w:tc>
        <w:tc>
          <w:tcPr>
            <w:tcW w:w="1640" w:type="dxa"/>
            <w:vAlign w:val="bottom"/>
          </w:tcPr>
          <w:p>
            <w:pPr>
              <w:ind w:left="1140"/>
              <w:spacing w:after="0"/>
              <w:rPr>
                <w:sz w:val="20"/>
                <w:szCs w:val="20"/>
                <w:color w:val="auto"/>
              </w:rPr>
            </w:pPr>
            <w:r>
              <w:rPr>
                <w:rFonts w:ascii="Calibri" w:cs="Calibri" w:eastAsia="Calibri" w:hAnsi="Calibri"/>
                <w:sz w:val="20"/>
                <w:szCs w:val="20"/>
                <w:color w:val="auto"/>
              </w:rPr>
              <w:t>No</w:t>
            </w:r>
          </w:p>
        </w:tc>
        <w:tc>
          <w:tcPr>
            <w:tcW w:w="1660" w:type="dxa"/>
            <w:vAlign w:val="bottom"/>
          </w:tcPr>
          <w:p>
            <w:pPr>
              <w:ind w:left="820"/>
              <w:spacing w:after="0"/>
              <w:rPr>
                <w:sz w:val="20"/>
                <w:szCs w:val="20"/>
                <w:color w:val="auto"/>
              </w:rPr>
            </w:pPr>
            <w:r>
              <w:rPr>
                <w:rFonts w:ascii="Calibri" w:cs="Calibri" w:eastAsia="Calibri" w:hAnsi="Calibri"/>
                <w:sz w:val="20"/>
                <w:szCs w:val="20"/>
                <w:color w:val="auto"/>
              </w:rPr>
              <w:t>Yes</w:t>
            </w:r>
          </w:p>
        </w:tc>
        <w:tc>
          <w:tcPr>
            <w:tcW w:w="1160" w:type="dxa"/>
            <w:vAlign w:val="bottom"/>
          </w:tcPr>
          <w:p>
            <w:pPr>
              <w:ind w:left="660"/>
              <w:spacing w:after="0"/>
              <w:rPr>
                <w:sz w:val="20"/>
                <w:szCs w:val="20"/>
                <w:color w:val="auto"/>
              </w:rPr>
            </w:pPr>
            <w:r>
              <w:rPr>
                <w:rFonts w:ascii="Calibri" w:cs="Calibri" w:eastAsia="Calibri" w:hAnsi="Calibri"/>
                <w:sz w:val="20"/>
                <w:szCs w:val="20"/>
                <w:color w:val="auto"/>
              </w:rPr>
              <w:t>No</w:t>
            </w:r>
          </w:p>
        </w:tc>
        <w:tc>
          <w:tcPr>
            <w:tcW w:w="1480" w:type="dxa"/>
            <w:vAlign w:val="bottom"/>
          </w:tcPr>
          <w:p>
            <w:pPr>
              <w:ind w:left="760"/>
              <w:spacing w:after="0"/>
              <w:rPr>
                <w:sz w:val="20"/>
                <w:szCs w:val="20"/>
                <w:color w:val="auto"/>
              </w:rPr>
            </w:pPr>
            <w:r>
              <w:rPr>
                <w:rFonts w:ascii="Calibri" w:cs="Calibri" w:eastAsia="Calibri" w:hAnsi="Calibri"/>
                <w:sz w:val="20"/>
                <w:szCs w:val="20"/>
                <w:color w:val="auto"/>
              </w:rPr>
              <w:t>Yes</w:t>
            </w:r>
          </w:p>
        </w:tc>
        <w:tc>
          <w:tcPr>
            <w:tcW w:w="0" w:type="dxa"/>
            <w:vAlign w:val="bottom"/>
          </w:tcPr>
          <w:p>
            <w:pPr>
              <w:spacing w:after="0"/>
              <w:rPr>
                <w:sz w:val="1"/>
                <w:szCs w:val="1"/>
                <w:color w:val="auto"/>
              </w:rPr>
            </w:pPr>
          </w:p>
        </w:tc>
      </w:tr>
      <w:tr>
        <w:trPr>
          <w:trHeight w:val="256"/>
        </w:trPr>
        <w:tc>
          <w:tcPr>
            <w:tcW w:w="3980" w:type="dxa"/>
            <w:vAlign w:val="bottom"/>
          </w:tcPr>
          <w:p>
            <w:pPr>
              <w:ind w:left="40"/>
              <w:spacing w:after="0"/>
              <w:rPr>
                <w:sz w:val="20"/>
                <w:szCs w:val="20"/>
                <w:color w:val="auto"/>
              </w:rPr>
            </w:pPr>
            <w:r>
              <w:rPr>
                <w:rFonts w:ascii="Calibri" w:cs="Calibri" w:eastAsia="Calibri" w:hAnsi="Calibri"/>
                <w:sz w:val="20"/>
                <w:szCs w:val="20"/>
                <w:color w:val="auto"/>
              </w:rPr>
              <w:t>Number of observations</w:t>
            </w:r>
          </w:p>
        </w:tc>
        <w:tc>
          <w:tcPr>
            <w:tcW w:w="1640" w:type="dxa"/>
            <w:vAlign w:val="bottom"/>
          </w:tcPr>
          <w:p>
            <w:pPr>
              <w:jc w:val="center"/>
              <w:ind w:left="761"/>
              <w:spacing w:after="0"/>
              <w:rPr>
                <w:sz w:val="20"/>
                <w:szCs w:val="20"/>
                <w:color w:val="auto"/>
              </w:rPr>
            </w:pPr>
            <w:r>
              <w:rPr>
                <w:rFonts w:ascii="Calibri" w:cs="Calibri" w:eastAsia="Calibri" w:hAnsi="Calibri"/>
                <w:sz w:val="20"/>
                <w:szCs w:val="20"/>
                <w:color w:val="auto"/>
                <w:w w:val="98"/>
              </w:rPr>
              <w:t>120</w:t>
            </w:r>
          </w:p>
        </w:tc>
        <w:tc>
          <w:tcPr>
            <w:tcW w:w="1660" w:type="dxa"/>
            <w:vAlign w:val="bottom"/>
          </w:tcPr>
          <w:p>
            <w:pPr>
              <w:jc w:val="center"/>
              <w:ind w:left="121"/>
              <w:spacing w:after="0"/>
              <w:rPr>
                <w:sz w:val="20"/>
                <w:szCs w:val="20"/>
                <w:color w:val="auto"/>
              </w:rPr>
            </w:pPr>
            <w:r>
              <w:rPr>
                <w:rFonts w:ascii="Calibri" w:cs="Calibri" w:eastAsia="Calibri" w:hAnsi="Calibri"/>
                <w:sz w:val="20"/>
                <w:szCs w:val="20"/>
                <w:color w:val="auto"/>
              </w:rPr>
              <w:t>120</w:t>
            </w:r>
          </w:p>
        </w:tc>
        <w:tc>
          <w:tcPr>
            <w:tcW w:w="1160" w:type="dxa"/>
            <w:vAlign w:val="bottom"/>
          </w:tcPr>
          <w:p>
            <w:pPr>
              <w:jc w:val="center"/>
              <w:ind w:left="321"/>
              <w:spacing w:after="0"/>
              <w:rPr>
                <w:sz w:val="20"/>
                <w:szCs w:val="20"/>
                <w:color w:val="auto"/>
              </w:rPr>
            </w:pPr>
            <w:r>
              <w:rPr>
                <w:rFonts w:ascii="Calibri" w:cs="Calibri" w:eastAsia="Calibri" w:hAnsi="Calibri"/>
                <w:sz w:val="20"/>
                <w:szCs w:val="20"/>
                <w:color w:val="auto"/>
                <w:w w:val="98"/>
              </w:rPr>
              <w:t>120</w:t>
            </w:r>
          </w:p>
        </w:tc>
        <w:tc>
          <w:tcPr>
            <w:tcW w:w="1480" w:type="dxa"/>
            <w:vAlign w:val="bottom"/>
          </w:tcPr>
          <w:p>
            <w:pPr>
              <w:jc w:val="center"/>
              <w:ind w:left="201"/>
              <w:spacing w:after="0"/>
              <w:rPr>
                <w:sz w:val="20"/>
                <w:szCs w:val="20"/>
                <w:color w:val="auto"/>
              </w:rPr>
            </w:pPr>
            <w:r>
              <w:rPr>
                <w:rFonts w:ascii="Calibri" w:cs="Calibri" w:eastAsia="Calibri" w:hAnsi="Calibri"/>
                <w:sz w:val="20"/>
                <w:szCs w:val="20"/>
                <w:color w:val="auto"/>
                <w:w w:val="98"/>
              </w:rPr>
              <w:t>120</w:t>
            </w:r>
          </w:p>
        </w:tc>
        <w:tc>
          <w:tcPr>
            <w:tcW w:w="0" w:type="dxa"/>
            <w:vAlign w:val="bottom"/>
          </w:tcPr>
          <w:p>
            <w:pPr>
              <w:spacing w:after="0"/>
              <w:rPr>
                <w:sz w:val="1"/>
                <w:szCs w:val="1"/>
                <w:color w:val="auto"/>
              </w:rPr>
            </w:pPr>
          </w:p>
        </w:tc>
      </w:tr>
      <w:tr>
        <w:trPr>
          <w:trHeight w:val="256"/>
        </w:trPr>
        <w:tc>
          <w:tcPr>
            <w:tcW w:w="3980" w:type="dxa"/>
            <w:vAlign w:val="bottom"/>
          </w:tcPr>
          <w:p>
            <w:pPr>
              <w:ind w:left="40"/>
              <w:spacing w:after="0"/>
              <w:rPr>
                <w:sz w:val="20"/>
                <w:szCs w:val="20"/>
                <w:color w:val="auto"/>
              </w:rPr>
            </w:pPr>
            <w:r>
              <w:rPr>
                <w:rFonts w:ascii="Calibri" w:cs="Calibri" w:eastAsia="Calibri" w:hAnsi="Calibri"/>
                <w:sz w:val="20"/>
                <w:szCs w:val="20"/>
                <w:color w:val="auto"/>
              </w:rPr>
              <w:t>R-squared</w:t>
            </w:r>
          </w:p>
        </w:tc>
        <w:tc>
          <w:tcPr>
            <w:tcW w:w="1640" w:type="dxa"/>
            <w:vAlign w:val="bottom"/>
          </w:tcPr>
          <w:p>
            <w:pPr>
              <w:jc w:val="center"/>
              <w:ind w:left="761"/>
              <w:spacing w:after="0"/>
              <w:rPr>
                <w:sz w:val="20"/>
                <w:szCs w:val="20"/>
                <w:color w:val="auto"/>
              </w:rPr>
            </w:pPr>
            <w:r>
              <w:rPr>
                <w:rFonts w:ascii="Calibri" w:cs="Calibri" w:eastAsia="Calibri" w:hAnsi="Calibri"/>
                <w:sz w:val="20"/>
                <w:szCs w:val="20"/>
                <w:color w:val="auto"/>
              </w:rPr>
              <w:t>0.1</w:t>
            </w:r>
          </w:p>
        </w:tc>
        <w:tc>
          <w:tcPr>
            <w:tcW w:w="1660" w:type="dxa"/>
            <w:vAlign w:val="bottom"/>
          </w:tcPr>
          <w:p>
            <w:pPr>
              <w:jc w:val="center"/>
              <w:ind w:left="121"/>
              <w:spacing w:after="0"/>
              <w:rPr>
                <w:sz w:val="20"/>
                <w:szCs w:val="20"/>
                <w:color w:val="auto"/>
              </w:rPr>
            </w:pPr>
            <w:r>
              <w:rPr>
                <w:rFonts w:ascii="Calibri" w:cs="Calibri" w:eastAsia="Calibri" w:hAnsi="Calibri"/>
                <w:sz w:val="20"/>
                <w:szCs w:val="20"/>
                <w:color w:val="auto"/>
              </w:rPr>
              <w:t>0.19</w:t>
            </w:r>
          </w:p>
        </w:tc>
        <w:tc>
          <w:tcPr>
            <w:tcW w:w="1160" w:type="dxa"/>
            <w:vAlign w:val="bottom"/>
          </w:tcPr>
          <w:p>
            <w:pPr>
              <w:jc w:val="center"/>
              <w:ind w:left="301"/>
              <w:spacing w:after="0"/>
              <w:rPr>
                <w:sz w:val="20"/>
                <w:szCs w:val="20"/>
                <w:color w:val="auto"/>
              </w:rPr>
            </w:pPr>
            <w:r>
              <w:rPr>
                <w:rFonts w:ascii="Calibri" w:cs="Calibri" w:eastAsia="Calibri" w:hAnsi="Calibri"/>
                <w:sz w:val="20"/>
                <w:szCs w:val="20"/>
                <w:color w:val="auto"/>
              </w:rPr>
              <w:t>0.13</w:t>
            </w:r>
          </w:p>
        </w:tc>
        <w:tc>
          <w:tcPr>
            <w:tcW w:w="1480" w:type="dxa"/>
            <w:vAlign w:val="bottom"/>
          </w:tcPr>
          <w:p>
            <w:pPr>
              <w:jc w:val="center"/>
              <w:ind w:left="201"/>
              <w:spacing w:after="0"/>
              <w:rPr>
                <w:sz w:val="20"/>
                <w:szCs w:val="20"/>
                <w:color w:val="auto"/>
              </w:rPr>
            </w:pPr>
            <w:r>
              <w:rPr>
                <w:rFonts w:ascii="Calibri" w:cs="Calibri" w:eastAsia="Calibri" w:hAnsi="Calibri"/>
                <w:sz w:val="20"/>
                <w:szCs w:val="20"/>
                <w:color w:val="auto"/>
                <w:w w:val="95"/>
              </w:rPr>
              <w:t>0.29</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3810</wp:posOffset>
            </wp:positionV>
            <wp:extent cx="8227695" cy="4763"/>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extLst>
                    </a:blip>
                    <a:srcRect/>
                    <a:stretch>
                      <a:fillRect/>
                    </a:stretch>
                  </pic:blipFill>
                  <pic:spPr bwMode="auto">
                    <a:xfrm>
                      <a:off x="0" y="0"/>
                      <a:ext cx="8227695" cy="4763"/>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spacing w:after="0"/>
        <w:rPr>
          <w:sz w:val="20"/>
          <w:szCs w:val="20"/>
          <w:color w:val="auto"/>
        </w:rPr>
      </w:pPr>
      <w:r>
        <w:rPr>
          <w:rFonts w:ascii="Calibri" w:cs="Calibri" w:eastAsia="Calibri" w:hAnsi="Calibri"/>
          <w:sz w:val="19"/>
          <w:szCs w:val="19"/>
          <w:color w:val="auto"/>
        </w:rPr>
        <w:t>Funding threshold is 50% of goal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-80645</wp:posOffset>
            </wp:positionH>
            <wp:positionV relativeFrom="paragraph">
              <wp:posOffset>3175</wp:posOffset>
            </wp:positionV>
            <wp:extent cx="1794510" cy="4763"/>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extLst>
                    </a:blip>
                    <a:srcRect/>
                    <a:stretch>
                      <a:fillRect/>
                    </a:stretch>
                  </pic:blipFill>
                  <pic:spPr bwMode="auto">
                    <a:xfrm>
                      <a:off x="0" y="0"/>
                      <a:ext cx="1794510" cy="4763"/>
                    </a:xfrm>
                    <a:prstGeom prst="rect">
                      <a:avLst/>
                    </a:prstGeom>
                    <a:noFill/>
                  </pic:spPr>
                </pic:pic>
              </a:graphicData>
            </a:graphic>
          </wp:anchor>
        </w:drawing>
      </w:r>
    </w:p>
    <w:p>
      <w:pPr>
        <w:ind w:left="1900" w:hanging="1419"/>
        <w:spacing w:after="0"/>
        <w:tabs>
          <w:tab w:leader="none" w:pos="1900" w:val="left"/>
        </w:tabs>
        <w:numPr>
          <w:ilvl w:val="0"/>
          <w:numId w:val="17"/>
        </w:numPr>
        <w:rPr>
          <w:rFonts w:ascii="Calibri" w:cs="Calibri" w:eastAsia="Calibri" w:hAnsi="Calibri"/>
          <w:sz w:val="20"/>
          <w:szCs w:val="20"/>
          <w:color w:val="auto"/>
        </w:rPr>
      </w:pPr>
      <w:r>
        <w:rPr>
          <w:rFonts w:ascii="Calibri" w:cs="Calibri" w:eastAsia="Calibri" w:hAnsi="Calibri"/>
          <w:sz w:val="20"/>
          <w:szCs w:val="20"/>
          <w:color w:val="auto"/>
        </w:rPr>
        <w:t>(6)</w:t>
      </w:r>
    </w:p>
    <w:p>
      <w:pPr>
        <w:spacing w:after="0" w:line="12" w:lineRule="exact"/>
        <w:rPr>
          <w:rFonts w:ascii="Calibri" w:cs="Calibri" w:eastAsia="Calibri" w:hAnsi="Calibri"/>
          <w:sz w:val="20"/>
          <w:szCs w:val="20"/>
          <w:color w:val="auto"/>
        </w:rPr>
      </w:pPr>
    </w:p>
    <w:p>
      <w:pPr>
        <w:ind w:left="220"/>
        <w:spacing w:after="0"/>
        <w:rPr>
          <w:rFonts w:ascii="Calibri" w:cs="Calibri" w:eastAsia="Calibri" w:hAnsi="Calibri"/>
          <w:sz w:val="20"/>
          <w:szCs w:val="20"/>
          <w:color w:val="auto"/>
        </w:rPr>
      </w:pPr>
      <w:r>
        <w:rPr>
          <w:rFonts w:ascii="Calibri" w:cs="Calibri" w:eastAsia="Calibri" w:hAnsi="Calibri"/>
          <w:sz w:val="20"/>
          <w:szCs w:val="20"/>
          <w:color w:val="auto"/>
        </w:rPr>
        <w:t>0.250***</w:t>
      </w:r>
      <w:r>
        <w:rPr>
          <w:rFonts w:ascii="Calibri" w:cs="Calibri" w:eastAsia="Calibri" w:hAnsi="Calibri"/>
          <w:sz w:val="19"/>
          <w:szCs w:val="19"/>
          <w:color w:val="auto"/>
        </w:rPr>
        <w:t>0.250**</w:t>
      </w:r>
    </w:p>
    <w:p>
      <w:pPr>
        <w:spacing w:after="0" w:line="12" w:lineRule="exact"/>
        <w:rPr>
          <w:rFonts w:ascii="Calibri" w:cs="Calibri" w:eastAsia="Calibri" w:hAnsi="Calibri"/>
          <w:sz w:val="20"/>
          <w:szCs w:val="20"/>
          <w:color w:val="auto"/>
        </w:rPr>
      </w:pPr>
    </w:p>
    <w:p>
      <w:pPr>
        <w:ind w:left="300"/>
        <w:spacing w:after="0"/>
        <w:rPr>
          <w:rFonts w:ascii="Calibri" w:cs="Calibri" w:eastAsia="Calibri" w:hAnsi="Calibri"/>
          <w:sz w:val="20"/>
          <w:szCs w:val="20"/>
          <w:color w:val="auto"/>
        </w:rPr>
      </w:pPr>
      <w:r>
        <w:rPr>
          <w:rFonts w:ascii="Calibri" w:cs="Calibri" w:eastAsia="Calibri" w:hAnsi="Calibri"/>
          <w:sz w:val="20"/>
          <w:szCs w:val="20"/>
          <w:color w:val="auto"/>
        </w:rPr>
        <w:t>(0.083)</w:t>
      </w:r>
      <w:r>
        <w:rPr>
          <w:rFonts w:ascii="Calibri" w:cs="Calibri" w:eastAsia="Calibri" w:hAnsi="Calibri"/>
          <w:sz w:val="19"/>
          <w:szCs w:val="19"/>
          <w:color w:val="auto"/>
        </w:rPr>
        <w:t>(0.087)</w:t>
      </w:r>
    </w:p>
    <w:p>
      <w:pPr>
        <w:spacing w:after="0" w:line="12" w:lineRule="exact"/>
        <w:rPr>
          <w:rFonts w:ascii="Calibri" w:cs="Calibri" w:eastAsia="Calibri" w:hAnsi="Calibri"/>
          <w:sz w:val="20"/>
          <w:szCs w:val="20"/>
          <w:color w:val="auto"/>
        </w:rPr>
      </w:pPr>
    </w:p>
    <w:p>
      <w:pPr>
        <w:ind w:left="320"/>
        <w:spacing w:after="0"/>
        <w:rPr>
          <w:rFonts w:ascii="Calibri" w:cs="Calibri" w:eastAsia="Calibri" w:hAnsi="Calibri"/>
          <w:sz w:val="20"/>
          <w:szCs w:val="20"/>
          <w:color w:val="auto"/>
        </w:rPr>
      </w:pPr>
      <w:r>
        <w:rPr>
          <w:rFonts w:ascii="Calibri" w:cs="Calibri" w:eastAsia="Calibri" w:hAnsi="Calibri"/>
          <w:sz w:val="20"/>
          <w:szCs w:val="20"/>
          <w:color w:val="auto"/>
        </w:rPr>
        <w:t>0.218*0.317***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-80645</wp:posOffset>
            </wp:positionH>
            <wp:positionV relativeFrom="paragraph">
              <wp:posOffset>-484505</wp:posOffset>
            </wp:positionV>
            <wp:extent cx="1794510" cy="4763"/>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extLst>
                    </a:blip>
                    <a:srcRect/>
                    <a:stretch>
                      <a:fillRect/>
                    </a:stretch>
                  </pic:blipFill>
                  <pic:spPr bwMode="auto">
                    <a:xfrm>
                      <a:off x="0" y="0"/>
                      <a:ext cx="1794510" cy="4763"/>
                    </a:xfrm>
                    <a:prstGeom prst="rect">
                      <a:avLst/>
                    </a:prstGeom>
                    <a:noFill/>
                  </pic:spPr>
                </pic:pic>
              </a:graphicData>
            </a:graphic>
          </wp:anchor>
        </w:drawing>
      </w:r>
    </w:p>
    <w:p>
      <w:pPr>
        <w:ind w:left="300"/>
        <w:spacing w:after="0"/>
        <w:tabs>
          <w:tab w:leader="none" w:pos="1700" w:val="left"/>
        </w:tabs>
        <w:rPr>
          <w:sz w:val="20"/>
          <w:szCs w:val="20"/>
          <w:color w:val="auto"/>
        </w:rPr>
      </w:pPr>
      <w:r>
        <w:rPr>
          <w:rFonts w:ascii="Calibri" w:cs="Calibri" w:eastAsia="Calibri" w:hAnsi="Calibri"/>
          <w:sz w:val="20"/>
          <w:szCs w:val="20"/>
          <w:color w:val="auto"/>
        </w:rPr>
        <w:t>(0.110)</w:t>
      </w:r>
      <w:r>
        <w:rPr>
          <w:sz w:val="20"/>
          <w:szCs w:val="20"/>
          <w:color w:val="auto"/>
        </w:rPr>
        <w:tab/>
      </w:r>
      <w:r>
        <w:rPr>
          <w:rFonts w:ascii="Calibri" w:cs="Calibri" w:eastAsia="Calibri" w:hAnsi="Calibri"/>
          <w:sz w:val="19"/>
          <w:szCs w:val="19"/>
          <w:color w:val="auto"/>
        </w:rPr>
        <w:t>(0.044)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-80645</wp:posOffset>
            </wp:positionH>
            <wp:positionV relativeFrom="paragraph">
              <wp:posOffset>60960</wp:posOffset>
            </wp:positionV>
            <wp:extent cx="1794510" cy="4763"/>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extLst>
                    </a:blip>
                    <a:srcRect/>
                    <a:stretch>
                      <a:fillRect/>
                    </a:stretch>
                  </pic:blipFill>
                  <pic:spPr bwMode="auto">
                    <a:xfrm>
                      <a:off x="0" y="0"/>
                      <a:ext cx="1794510" cy="4763"/>
                    </a:xfrm>
                    <a:prstGeom prst="rect">
                      <a:avLst/>
                    </a:prstGeom>
                    <a:noFill/>
                  </pic:spPr>
                </pic:pic>
              </a:graphicData>
            </a:graphic>
          </wp:anchor>
        </w:drawing>
      </w:r>
    </w:p>
    <w:p>
      <w:pPr>
        <w:spacing w:after="0" w:line="83" w:lineRule="exact"/>
        <w:rPr>
          <w:sz w:val="20"/>
          <w:szCs w:val="20"/>
          <w:color w:val="auto"/>
        </w:rPr>
      </w:pPr>
    </w:p>
    <w:p>
      <w:pPr>
        <w:ind w:left="460"/>
        <w:spacing w:after="0"/>
        <w:tabs>
          <w:tab w:leader="none" w:pos="1840" w:val="left"/>
        </w:tabs>
        <w:rPr>
          <w:sz w:val="20"/>
          <w:szCs w:val="20"/>
          <w:color w:val="auto"/>
        </w:rPr>
      </w:pPr>
      <w:r>
        <w:rPr>
          <w:rFonts w:ascii="Calibri" w:cs="Calibri" w:eastAsia="Calibri" w:hAnsi="Calibri"/>
          <w:sz w:val="20"/>
          <w:szCs w:val="20"/>
          <w:color w:val="auto"/>
        </w:rPr>
        <w:t>Yes</w:t>
      </w:r>
      <w:r>
        <w:rPr>
          <w:sz w:val="20"/>
          <w:szCs w:val="20"/>
          <w:color w:val="auto"/>
        </w:rPr>
        <w:tab/>
      </w:r>
      <w:r>
        <w:rPr>
          <w:rFonts w:ascii="Calibri" w:cs="Calibri" w:eastAsia="Calibri" w:hAnsi="Calibri"/>
          <w:sz w:val="20"/>
          <w:szCs w:val="20"/>
          <w:color w:val="auto"/>
        </w:rPr>
        <w:t>Yes</w:t>
      </w:r>
    </w:p>
    <w:p>
      <w:pPr>
        <w:spacing w:after="0" w:line="12" w:lineRule="exact"/>
        <w:rPr>
          <w:sz w:val="20"/>
          <w:szCs w:val="20"/>
          <w:color w:val="auto"/>
        </w:rPr>
      </w:pPr>
    </w:p>
    <w:p>
      <w:pPr>
        <w:ind w:left="480"/>
        <w:spacing w:after="0"/>
        <w:tabs>
          <w:tab w:leader="none" w:pos="1840" w:val="left"/>
        </w:tabs>
        <w:rPr>
          <w:sz w:val="20"/>
          <w:szCs w:val="20"/>
          <w:color w:val="auto"/>
        </w:rPr>
      </w:pPr>
      <w:r>
        <w:rPr>
          <w:rFonts w:ascii="Calibri" w:cs="Calibri" w:eastAsia="Calibri" w:hAnsi="Calibri"/>
          <w:sz w:val="20"/>
          <w:szCs w:val="20"/>
          <w:color w:val="auto"/>
        </w:rPr>
        <w:t>No</w:t>
      </w:r>
      <w:r>
        <w:rPr>
          <w:sz w:val="20"/>
          <w:szCs w:val="20"/>
          <w:color w:val="auto"/>
        </w:rPr>
        <w:tab/>
      </w:r>
      <w:r>
        <w:rPr>
          <w:rFonts w:ascii="Calibri" w:cs="Calibri" w:eastAsia="Calibri" w:hAnsi="Calibri"/>
          <w:sz w:val="20"/>
          <w:szCs w:val="20"/>
          <w:color w:val="auto"/>
        </w:rPr>
        <w:t>Yes</w:t>
      </w:r>
    </w:p>
    <w:p>
      <w:pPr>
        <w:spacing w:after="0" w:line="12" w:lineRule="exact"/>
        <w:rPr>
          <w:sz w:val="20"/>
          <w:szCs w:val="20"/>
          <w:color w:val="auto"/>
        </w:rPr>
      </w:pPr>
    </w:p>
    <w:p>
      <w:pPr>
        <w:ind w:left="1840" w:hanging="1402"/>
        <w:spacing w:after="0"/>
        <w:tabs>
          <w:tab w:leader="none" w:pos="1840" w:val="left"/>
        </w:tabs>
        <w:numPr>
          <w:ilvl w:val="0"/>
          <w:numId w:val="18"/>
        </w:numPr>
        <w:rPr>
          <w:rFonts w:ascii="Calibri" w:cs="Calibri" w:eastAsia="Calibri" w:hAnsi="Calibri"/>
          <w:sz w:val="20"/>
          <w:szCs w:val="20"/>
          <w:color w:val="auto"/>
        </w:rPr>
      </w:pPr>
      <w:r>
        <w:rPr>
          <w:rFonts w:ascii="Calibri" w:cs="Calibri" w:eastAsia="Calibri" w:hAnsi="Calibri"/>
          <w:sz w:val="20"/>
          <w:szCs w:val="20"/>
          <w:color w:val="auto"/>
        </w:rPr>
        <w:t>120</w:t>
      </w:r>
    </w:p>
    <w:p>
      <w:pPr>
        <w:spacing w:after="0" w:line="12" w:lineRule="exact"/>
        <w:rPr>
          <w:rFonts w:ascii="Calibri" w:cs="Calibri" w:eastAsia="Calibri" w:hAnsi="Calibri"/>
          <w:sz w:val="20"/>
          <w:szCs w:val="20"/>
          <w:color w:val="auto"/>
        </w:rPr>
      </w:pPr>
    </w:p>
    <w:p>
      <w:pPr>
        <w:ind w:left="420"/>
        <w:spacing w:after="0"/>
        <w:rPr>
          <w:rFonts w:ascii="Calibri" w:cs="Calibri" w:eastAsia="Calibri" w:hAnsi="Calibri"/>
          <w:sz w:val="20"/>
          <w:szCs w:val="20"/>
          <w:color w:val="auto"/>
        </w:rPr>
      </w:pPr>
      <w:r>
        <w:rPr>
          <w:rFonts w:ascii="Calibri" w:cs="Calibri" w:eastAsia="Calibri" w:hAnsi="Calibri"/>
          <w:sz w:val="20"/>
          <w:szCs w:val="20"/>
          <w:color w:val="auto"/>
        </w:rPr>
        <w:t>0.120.27</w:t>
      </w:r>
    </w:p>
    <w:p>
      <w:pPr>
        <w:spacing w:after="0" w:line="200" w:lineRule="exact"/>
        <w:rPr>
          <w:sz w:val="20"/>
          <w:szCs w:val="20"/>
          <w:color w:val="auto"/>
        </w:rPr>
      </w:pPr>
    </w:p>
    <w:p>
      <w:pPr>
        <w:sectPr>
          <w:pgSz w:w="15840" w:h="12240" w:orient="landscape"/>
          <w:cols w:equalWidth="0" w:num="2">
            <w:col w:w="9920" w:space="340"/>
            <w:col w:w="2700"/>
          </w:cols>
          <w:pgMar w:left="1440" w:top="1435" w:right="1440" w:bottom="474" w:gutter="0" w:footer="0" w:header="0"/>
          <w:type w:val="continuous"/>
        </w:sectPr>
      </w:pPr>
    </w:p>
    <w:p>
      <w:pPr>
        <w:spacing w:after="0" w:line="38" w:lineRule="exact"/>
        <w:rPr>
          <w:sz w:val="20"/>
          <w:szCs w:val="20"/>
          <w:color w:val="auto"/>
        </w:rPr>
      </w:pPr>
    </w:p>
    <w:p>
      <w:pPr>
        <w:spacing w:after="0" w:line="250" w:lineRule="auto"/>
        <w:rPr>
          <w:sz w:val="20"/>
          <w:szCs w:val="20"/>
          <w:color w:val="auto"/>
        </w:rPr>
      </w:pPr>
      <w:r>
        <w:rPr>
          <w:rFonts w:ascii="Calibri" w:cs="Calibri" w:eastAsia="Calibri" w:hAnsi="Calibri"/>
          <w:sz w:val="22"/>
          <w:szCs w:val="22"/>
          <w:color w:val="auto"/>
        </w:rPr>
        <w:t>Notes: This table reports the results of OLS regressions, where the dependent variable is an indicator variable that takes the value of 1 if the crowds and experts agree on the funding decision. Columns 1-2 run specifications where the expert is deemed to have funded the project when the funding threshold is 100%, columns 3-4 refer to the funding threshold of 75% and columns 5-6 refer to the funding threshold of 50%. The key coefficient of interest is an indicator variables for whether the project either reached or exceeded its goal on Kickstarter. These coefficients are estimated relative to the category of projects that did not reach their goal on Kickstarter. We report robust standard errors that are clustered by judge. *, ** and *** refer to significance at 10%, 5% and 1% respectively.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41</w:t>
      </w:r>
    </w:p>
    <w:p>
      <w:pPr>
        <w:sectPr>
          <w:pgSz w:w="15840" w:h="12240" w:orient="landscape"/>
          <w:cols w:equalWidth="0" w:num="1">
            <w:col w:w="12960"/>
          </w:cols>
          <w:pgMar w:left="1440" w:top="1435" w:right="1440" w:bottom="474" w:gutter="0" w:footer="0" w:header="0"/>
          <w:type w:val="continuous"/>
        </w:sectPr>
      </w:pPr>
    </w:p>
    <w:bookmarkStart w:id="42" w:name="page43"/>
    <w:bookmarkEnd w:id="42"/>
    <w:p>
      <w:pPr>
        <w:spacing w:after="0" w:line="19" w:lineRule="exact"/>
        <w:rPr>
          <w:sz w:val="20"/>
          <w:szCs w:val="20"/>
          <w:color w:val="auto"/>
        </w:rPr>
      </w:pPr>
    </w:p>
    <w:p>
      <w:pPr>
        <w:jc w:val="center"/>
        <w:spacing w:after="0"/>
        <w:rPr>
          <w:sz w:val="20"/>
          <w:szCs w:val="20"/>
          <w:color w:val="auto"/>
        </w:rPr>
      </w:pPr>
      <w:r>
        <w:rPr>
          <w:rFonts w:ascii="Calibri" w:cs="Calibri" w:eastAsia="Calibri" w:hAnsi="Calibri"/>
          <w:sz w:val="28"/>
          <w:szCs w:val="28"/>
          <w:b w:val="1"/>
          <w:bCs w:val="1"/>
          <w:color w:val="auto"/>
        </w:rPr>
        <w:t>Table 4</w:t>
      </w:r>
    </w:p>
    <w:p>
      <w:pPr>
        <w:spacing w:after="0" w:line="25" w:lineRule="exact"/>
        <w:rPr>
          <w:sz w:val="20"/>
          <w:szCs w:val="20"/>
          <w:color w:val="auto"/>
        </w:rPr>
      </w:pPr>
    </w:p>
    <w:p>
      <w:pPr>
        <w:jc w:val="center"/>
        <w:spacing w:after="0"/>
        <w:rPr>
          <w:sz w:val="20"/>
          <w:szCs w:val="20"/>
          <w:color w:val="auto"/>
        </w:rPr>
      </w:pPr>
      <w:r>
        <w:rPr>
          <w:rFonts w:ascii="Calibri" w:cs="Calibri" w:eastAsia="Calibri" w:hAnsi="Calibri"/>
          <w:sz w:val="28"/>
          <w:szCs w:val="28"/>
          <w:b w:val="1"/>
          <w:bCs w:val="1"/>
          <w:color w:val="auto"/>
        </w:rPr>
        <w:t>Differences in the characteristics of projects funded by judges and crowds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270510</wp:posOffset>
            </wp:positionV>
            <wp:extent cx="8228330" cy="4763"/>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extLst>
                    </a:blip>
                    <a:srcRect/>
                    <a:stretch>
                      <a:fillRect/>
                    </a:stretch>
                  </pic:blipFill>
                  <pic:spPr bwMode="auto">
                    <a:xfrm>
                      <a:off x="0" y="0"/>
                      <a:ext cx="8228330" cy="4763"/>
                    </a:xfrm>
                    <a:prstGeom prst="rect">
                      <a:avLst/>
                    </a:prstGeom>
                    <a:noFill/>
                  </pic:spPr>
                </pic:pic>
              </a:graphicData>
            </a:graphic>
          </wp:anchor>
        </w:drawing>
      </w:r>
    </w:p>
    <w:p>
      <w:pPr>
        <w:spacing w:after="0" w:line="200" w:lineRule="exact"/>
        <w:rPr>
          <w:sz w:val="20"/>
          <w:szCs w:val="20"/>
          <w:color w:val="auto"/>
        </w:rPr>
      </w:pPr>
    </w:p>
    <w:p>
      <w:pPr>
        <w:spacing w:after="0" w:line="234"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3340" w:type="dxa"/>
            <w:vAlign w:val="bottom"/>
          </w:tcPr>
          <w:p>
            <w:pPr>
              <w:spacing w:after="0"/>
              <w:rPr>
                <w:sz w:val="22"/>
                <w:szCs w:val="22"/>
                <w:color w:val="auto"/>
              </w:rPr>
            </w:pPr>
          </w:p>
        </w:tc>
        <w:tc>
          <w:tcPr>
            <w:tcW w:w="1320" w:type="dxa"/>
            <w:vAlign w:val="bottom"/>
          </w:tcPr>
          <w:p>
            <w:pPr>
              <w:spacing w:after="0"/>
              <w:rPr>
                <w:sz w:val="22"/>
                <w:szCs w:val="22"/>
                <w:color w:val="auto"/>
              </w:rPr>
            </w:pPr>
          </w:p>
        </w:tc>
        <w:tc>
          <w:tcPr>
            <w:tcW w:w="1260" w:type="dxa"/>
            <w:vAlign w:val="bottom"/>
          </w:tcPr>
          <w:p>
            <w:pPr>
              <w:jc w:val="center"/>
              <w:ind w:left="40"/>
              <w:spacing w:after="0"/>
              <w:rPr>
                <w:sz w:val="20"/>
                <w:szCs w:val="20"/>
                <w:color w:val="auto"/>
              </w:rPr>
            </w:pPr>
            <w:r>
              <w:rPr>
                <w:rFonts w:ascii="Calibri" w:cs="Calibri" w:eastAsia="Calibri" w:hAnsi="Calibri"/>
                <w:sz w:val="16"/>
                <w:szCs w:val="16"/>
                <w:color w:val="auto"/>
              </w:rPr>
              <w:t>Average</w:t>
            </w:r>
          </w:p>
        </w:tc>
        <w:tc>
          <w:tcPr>
            <w:tcW w:w="1040" w:type="dxa"/>
            <w:vAlign w:val="bottom"/>
          </w:tcPr>
          <w:p>
            <w:pPr>
              <w:spacing w:after="0"/>
              <w:rPr>
                <w:sz w:val="22"/>
                <w:szCs w:val="22"/>
                <w:color w:val="auto"/>
              </w:rPr>
            </w:pPr>
          </w:p>
        </w:tc>
        <w:tc>
          <w:tcPr>
            <w:tcW w:w="940" w:type="dxa"/>
            <w:vAlign w:val="bottom"/>
          </w:tcPr>
          <w:p>
            <w:pPr>
              <w:jc w:val="center"/>
              <w:spacing w:after="0"/>
              <w:rPr>
                <w:sz w:val="20"/>
                <w:szCs w:val="20"/>
                <w:color w:val="auto"/>
              </w:rPr>
            </w:pPr>
            <w:r>
              <w:rPr>
                <w:rFonts w:ascii="Calibri" w:cs="Calibri" w:eastAsia="Calibri" w:hAnsi="Calibri"/>
                <w:sz w:val="16"/>
                <w:szCs w:val="16"/>
                <w:color w:val="auto"/>
                <w:w w:val="99"/>
              </w:rPr>
              <w:t>Number of</w:t>
            </w:r>
          </w:p>
        </w:tc>
        <w:tc>
          <w:tcPr>
            <w:tcW w:w="1020" w:type="dxa"/>
            <w:vAlign w:val="bottom"/>
          </w:tcPr>
          <w:p>
            <w:pPr>
              <w:jc w:val="center"/>
              <w:spacing w:after="0"/>
              <w:rPr>
                <w:sz w:val="20"/>
                <w:szCs w:val="20"/>
                <w:color w:val="auto"/>
              </w:rPr>
            </w:pPr>
            <w:r>
              <w:rPr>
                <w:rFonts w:ascii="Calibri" w:cs="Calibri" w:eastAsia="Calibri" w:hAnsi="Calibri"/>
                <w:sz w:val="16"/>
                <w:szCs w:val="16"/>
                <w:color w:val="auto"/>
                <w:w w:val="99"/>
              </w:rPr>
              <w:t>Number of</w:t>
            </w:r>
          </w:p>
        </w:tc>
        <w:tc>
          <w:tcPr>
            <w:tcW w:w="1040" w:type="dxa"/>
            <w:vAlign w:val="bottom"/>
          </w:tcPr>
          <w:p>
            <w:pPr>
              <w:jc w:val="center"/>
              <w:spacing w:after="0"/>
              <w:rPr>
                <w:sz w:val="20"/>
                <w:szCs w:val="20"/>
                <w:color w:val="auto"/>
              </w:rPr>
            </w:pPr>
            <w:r>
              <w:rPr>
                <w:rFonts w:ascii="Calibri" w:cs="Calibri" w:eastAsia="Calibri" w:hAnsi="Calibri"/>
                <w:sz w:val="16"/>
                <w:szCs w:val="16"/>
                <w:color w:val="auto"/>
                <w:w w:val="96"/>
              </w:rPr>
              <w:t>Number of</w:t>
            </w:r>
          </w:p>
        </w:tc>
        <w:tc>
          <w:tcPr>
            <w:tcW w:w="980" w:type="dxa"/>
            <w:vAlign w:val="bottom"/>
          </w:tcPr>
          <w:p>
            <w:pPr>
              <w:jc w:val="center"/>
              <w:spacing w:after="0"/>
              <w:rPr>
                <w:sz w:val="20"/>
                <w:szCs w:val="20"/>
                <w:color w:val="auto"/>
              </w:rPr>
            </w:pPr>
            <w:r>
              <w:rPr>
                <w:rFonts w:ascii="Calibri" w:cs="Calibri" w:eastAsia="Calibri" w:hAnsi="Calibri"/>
                <w:sz w:val="16"/>
                <w:szCs w:val="16"/>
                <w:color w:val="auto"/>
              </w:rPr>
              <w:t>Formal</w:t>
            </w:r>
          </w:p>
        </w:tc>
        <w:tc>
          <w:tcPr>
            <w:tcW w:w="1080" w:type="dxa"/>
            <w:vAlign w:val="bottom"/>
          </w:tcPr>
          <w:p>
            <w:pPr>
              <w:jc w:val="center"/>
              <w:spacing w:after="0"/>
              <w:rPr>
                <w:sz w:val="20"/>
                <w:szCs w:val="20"/>
                <w:color w:val="auto"/>
              </w:rPr>
            </w:pPr>
            <w:r>
              <w:rPr>
                <w:rFonts w:ascii="Calibri" w:cs="Calibri" w:eastAsia="Calibri" w:hAnsi="Calibri"/>
                <w:sz w:val="16"/>
                <w:szCs w:val="16"/>
                <w:color w:val="auto"/>
                <w:w w:val="99"/>
              </w:rPr>
              <w:t>Log number of</w:t>
            </w:r>
          </w:p>
        </w:tc>
        <w:tc>
          <w:tcPr>
            <w:tcW w:w="940" w:type="dxa"/>
            <w:vAlign w:val="bottom"/>
          </w:tcPr>
          <w:p>
            <w:pPr>
              <w:jc w:val="center"/>
              <w:spacing w:after="0"/>
              <w:rPr>
                <w:sz w:val="20"/>
                <w:szCs w:val="20"/>
                <w:color w:val="auto"/>
              </w:rPr>
            </w:pPr>
            <w:r>
              <w:rPr>
                <w:rFonts w:ascii="Calibri" w:cs="Calibri" w:eastAsia="Calibri" w:hAnsi="Calibri"/>
                <w:sz w:val="16"/>
                <w:szCs w:val="16"/>
                <w:color w:val="auto"/>
                <w:w w:val="99"/>
              </w:rPr>
              <w:t>Located in NY</w:t>
            </w:r>
          </w:p>
        </w:tc>
      </w:tr>
      <w:tr>
        <w:trPr>
          <w:trHeight w:val="206"/>
        </w:trPr>
        <w:tc>
          <w:tcPr>
            <w:tcW w:w="3340" w:type="dxa"/>
            <w:vAlign w:val="bottom"/>
          </w:tcPr>
          <w:p>
            <w:pPr>
              <w:ind w:left="980"/>
              <w:spacing w:after="0" w:line="158" w:lineRule="exact"/>
              <w:rPr>
                <w:sz w:val="20"/>
                <w:szCs w:val="20"/>
                <w:color w:val="auto"/>
              </w:rPr>
            </w:pPr>
            <w:r>
              <w:rPr>
                <w:rFonts w:ascii="Calibri" w:cs="Calibri" w:eastAsia="Calibri" w:hAnsi="Calibri"/>
                <w:sz w:val="16"/>
                <w:szCs w:val="16"/>
                <w:color w:val="auto"/>
              </w:rPr>
              <w:t>DEPENDENT VARIABLES</w:t>
            </w:r>
          </w:p>
        </w:tc>
        <w:tc>
          <w:tcPr>
            <w:tcW w:w="1320" w:type="dxa"/>
            <w:vAlign w:val="bottom"/>
          </w:tcPr>
          <w:p>
            <w:pPr>
              <w:jc w:val="center"/>
              <w:ind w:left="140"/>
              <w:spacing w:after="0" w:line="158" w:lineRule="exact"/>
              <w:rPr>
                <w:sz w:val="20"/>
                <w:szCs w:val="20"/>
                <w:color w:val="auto"/>
              </w:rPr>
            </w:pPr>
            <w:r>
              <w:rPr>
                <w:rFonts w:ascii="Calibri" w:cs="Calibri" w:eastAsia="Calibri" w:hAnsi="Calibri"/>
                <w:sz w:val="16"/>
                <w:szCs w:val="16"/>
                <w:color w:val="auto"/>
                <w:w w:val="99"/>
              </w:rPr>
              <w:t>Log of goal</w:t>
            </w:r>
          </w:p>
        </w:tc>
        <w:tc>
          <w:tcPr>
            <w:tcW w:w="1260" w:type="dxa"/>
            <w:vAlign w:val="bottom"/>
          </w:tcPr>
          <w:p>
            <w:pPr>
              <w:jc w:val="center"/>
              <w:ind w:left="40"/>
              <w:spacing w:after="0"/>
              <w:rPr>
                <w:sz w:val="20"/>
                <w:szCs w:val="20"/>
                <w:color w:val="auto"/>
              </w:rPr>
            </w:pPr>
            <w:r>
              <w:rPr>
                <w:rFonts w:ascii="Calibri" w:cs="Calibri" w:eastAsia="Calibri" w:hAnsi="Calibri"/>
                <w:sz w:val="16"/>
                <w:szCs w:val="16"/>
                <w:color w:val="auto"/>
                <w:w w:val="96"/>
              </w:rPr>
              <w:t>investment size</w:t>
            </w:r>
          </w:p>
        </w:tc>
        <w:tc>
          <w:tcPr>
            <w:tcW w:w="1040" w:type="dxa"/>
            <w:vAlign w:val="bottom"/>
          </w:tcPr>
          <w:p>
            <w:pPr>
              <w:jc w:val="center"/>
              <w:spacing w:after="0" w:line="158" w:lineRule="exact"/>
              <w:rPr>
                <w:sz w:val="20"/>
                <w:szCs w:val="20"/>
                <w:color w:val="auto"/>
              </w:rPr>
            </w:pPr>
            <w:r>
              <w:rPr>
                <w:rFonts w:ascii="Calibri" w:cs="Calibri" w:eastAsia="Calibri" w:hAnsi="Calibri"/>
                <w:sz w:val="16"/>
                <w:szCs w:val="16"/>
                <w:color w:val="auto"/>
                <w:w w:val="97"/>
              </w:rPr>
              <w:t>Reward levels</w:t>
            </w:r>
          </w:p>
        </w:tc>
        <w:tc>
          <w:tcPr>
            <w:tcW w:w="940" w:type="dxa"/>
            <w:vAlign w:val="bottom"/>
          </w:tcPr>
          <w:p>
            <w:pPr>
              <w:jc w:val="center"/>
              <w:spacing w:after="0"/>
              <w:rPr>
                <w:sz w:val="20"/>
                <w:szCs w:val="20"/>
                <w:color w:val="auto"/>
              </w:rPr>
            </w:pPr>
            <w:r>
              <w:rPr>
                <w:rFonts w:ascii="Calibri" w:cs="Calibri" w:eastAsia="Calibri" w:hAnsi="Calibri"/>
                <w:sz w:val="16"/>
                <w:szCs w:val="16"/>
                <w:color w:val="auto"/>
                <w:w w:val="99"/>
              </w:rPr>
              <w:t>updates</w:t>
            </w:r>
          </w:p>
        </w:tc>
        <w:tc>
          <w:tcPr>
            <w:tcW w:w="1020" w:type="dxa"/>
            <w:vAlign w:val="bottom"/>
          </w:tcPr>
          <w:p>
            <w:pPr>
              <w:jc w:val="center"/>
              <w:spacing w:after="0"/>
              <w:rPr>
                <w:sz w:val="20"/>
                <w:szCs w:val="20"/>
                <w:color w:val="auto"/>
              </w:rPr>
            </w:pPr>
            <w:r>
              <w:rPr>
                <w:rFonts w:ascii="Calibri" w:cs="Calibri" w:eastAsia="Calibri" w:hAnsi="Calibri"/>
                <w:sz w:val="16"/>
                <w:szCs w:val="16"/>
                <w:color w:val="auto"/>
                <w:w w:val="95"/>
              </w:rPr>
              <w:t>pictures</w:t>
            </w:r>
          </w:p>
        </w:tc>
        <w:tc>
          <w:tcPr>
            <w:tcW w:w="1040" w:type="dxa"/>
            <w:vAlign w:val="bottom"/>
          </w:tcPr>
          <w:p>
            <w:pPr>
              <w:jc w:val="center"/>
              <w:spacing w:after="0"/>
              <w:rPr>
                <w:sz w:val="20"/>
                <w:szCs w:val="20"/>
                <w:color w:val="auto"/>
              </w:rPr>
            </w:pPr>
            <w:r>
              <w:rPr>
                <w:rFonts w:ascii="Calibri" w:cs="Calibri" w:eastAsia="Calibri" w:hAnsi="Calibri"/>
                <w:sz w:val="16"/>
                <w:szCs w:val="16"/>
                <w:color w:val="auto"/>
                <w:w w:val="95"/>
              </w:rPr>
              <w:t>videos</w:t>
            </w:r>
          </w:p>
        </w:tc>
        <w:tc>
          <w:tcPr>
            <w:tcW w:w="980" w:type="dxa"/>
            <w:vAlign w:val="bottom"/>
          </w:tcPr>
          <w:p>
            <w:pPr>
              <w:jc w:val="center"/>
              <w:spacing w:after="0"/>
              <w:rPr>
                <w:sz w:val="20"/>
                <w:szCs w:val="20"/>
                <w:color w:val="auto"/>
              </w:rPr>
            </w:pPr>
            <w:r>
              <w:rPr>
                <w:rFonts w:ascii="Calibri" w:cs="Calibri" w:eastAsia="Calibri" w:hAnsi="Calibri"/>
                <w:sz w:val="16"/>
                <w:szCs w:val="16"/>
                <w:color w:val="auto"/>
                <w:w w:val="96"/>
              </w:rPr>
              <w:t>Language</w:t>
            </w:r>
          </w:p>
        </w:tc>
        <w:tc>
          <w:tcPr>
            <w:tcW w:w="1080" w:type="dxa"/>
            <w:vAlign w:val="bottom"/>
          </w:tcPr>
          <w:p>
            <w:pPr>
              <w:jc w:val="center"/>
              <w:spacing w:after="0" w:line="158" w:lineRule="exact"/>
              <w:rPr>
                <w:sz w:val="20"/>
                <w:szCs w:val="20"/>
                <w:color w:val="auto"/>
              </w:rPr>
            </w:pPr>
            <w:r>
              <w:rPr>
                <w:rFonts w:ascii="Calibri" w:cs="Calibri" w:eastAsia="Calibri" w:hAnsi="Calibri"/>
                <w:sz w:val="16"/>
                <w:szCs w:val="16"/>
                <w:color w:val="auto"/>
                <w:w w:val="99"/>
              </w:rPr>
              <w:t>Facebook</w:t>
            </w:r>
          </w:p>
        </w:tc>
        <w:tc>
          <w:tcPr>
            <w:tcW w:w="940" w:type="dxa"/>
            <w:vAlign w:val="bottom"/>
          </w:tcPr>
          <w:p>
            <w:pPr>
              <w:jc w:val="center"/>
              <w:spacing w:after="0"/>
              <w:rPr>
                <w:sz w:val="20"/>
                <w:szCs w:val="20"/>
                <w:color w:val="auto"/>
              </w:rPr>
            </w:pPr>
            <w:r>
              <w:rPr>
                <w:rFonts w:ascii="Calibri" w:cs="Calibri" w:eastAsia="Calibri" w:hAnsi="Calibri"/>
                <w:sz w:val="16"/>
                <w:szCs w:val="16"/>
                <w:color w:val="auto"/>
              </w:rPr>
              <w:t>or CA</w:t>
            </w:r>
          </w:p>
        </w:tc>
      </w:tr>
      <w:tr>
        <w:trPr>
          <w:trHeight w:val="165"/>
        </w:trPr>
        <w:tc>
          <w:tcPr>
            <w:tcW w:w="3340" w:type="dxa"/>
            <w:vAlign w:val="bottom"/>
            <w:tcBorders>
              <w:bottom w:val="single" w:sz="8" w:color="auto"/>
            </w:tcBorders>
          </w:tcPr>
          <w:p>
            <w:pPr>
              <w:spacing w:after="0"/>
              <w:rPr>
                <w:sz w:val="14"/>
                <w:szCs w:val="14"/>
                <w:color w:val="auto"/>
              </w:rPr>
            </w:pPr>
          </w:p>
        </w:tc>
        <w:tc>
          <w:tcPr>
            <w:tcW w:w="1320" w:type="dxa"/>
            <w:vAlign w:val="bottom"/>
            <w:tcBorders>
              <w:bottom w:val="single" w:sz="8" w:color="auto"/>
            </w:tcBorders>
          </w:tcPr>
          <w:p>
            <w:pPr>
              <w:spacing w:after="0"/>
              <w:rPr>
                <w:sz w:val="14"/>
                <w:szCs w:val="14"/>
                <w:color w:val="auto"/>
              </w:rPr>
            </w:pPr>
          </w:p>
        </w:tc>
        <w:tc>
          <w:tcPr>
            <w:tcW w:w="1260" w:type="dxa"/>
            <w:vAlign w:val="bottom"/>
            <w:tcBorders>
              <w:bottom w:val="single" w:sz="8" w:color="auto"/>
            </w:tcBorders>
          </w:tcPr>
          <w:p>
            <w:pPr>
              <w:spacing w:after="0"/>
              <w:rPr>
                <w:sz w:val="14"/>
                <w:szCs w:val="14"/>
                <w:color w:val="auto"/>
              </w:rPr>
            </w:pPr>
          </w:p>
        </w:tc>
        <w:tc>
          <w:tcPr>
            <w:tcW w:w="1040" w:type="dxa"/>
            <w:vAlign w:val="bottom"/>
            <w:tcBorders>
              <w:bottom w:val="single" w:sz="8" w:color="auto"/>
            </w:tcBorders>
          </w:tcPr>
          <w:p>
            <w:pPr>
              <w:spacing w:after="0"/>
              <w:rPr>
                <w:sz w:val="14"/>
                <w:szCs w:val="14"/>
                <w:color w:val="auto"/>
              </w:rPr>
            </w:pPr>
          </w:p>
        </w:tc>
        <w:tc>
          <w:tcPr>
            <w:tcW w:w="940" w:type="dxa"/>
            <w:vAlign w:val="bottom"/>
            <w:tcBorders>
              <w:bottom w:val="single" w:sz="8" w:color="auto"/>
            </w:tcBorders>
          </w:tcPr>
          <w:p>
            <w:pPr>
              <w:spacing w:after="0"/>
              <w:rPr>
                <w:sz w:val="14"/>
                <w:szCs w:val="14"/>
                <w:color w:val="auto"/>
              </w:rPr>
            </w:pPr>
          </w:p>
        </w:tc>
        <w:tc>
          <w:tcPr>
            <w:tcW w:w="1020" w:type="dxa"/>
            <w:vAlign w:val="bottom"/>
            <w:tcBorders>
              <w:bottom w:val="single" w:sz="8" w:color="auto"/>
            </w:tcBorders>
          </w:tcPr>
          <w:p>
            <w:pPr>
              <w:spacing w:after="0"/>
              <w:rPr>
                <w:sz w:val="14"/>
                <w:szCs w:val="14"/>
                <w:color w:val="auto"/>
              </w:rPr>
            </w:pPr>
          </w:p>
        </w:tc>
        <w:tc>
          <w:tcPr>
            <w:tcW w:w="1040" w:type="dxa"/>
            <w:vAlign w:val="bottom"/>
            <w:tcBorders>
              <w:bottom w:val="single" w:sz="8" w:color="auto"/>
            </w:tcBorders>
          </w:tcPr>
          <w:p>
            <w:pPr>
              <w:spacing w:after="0"/>
              <w:rPr>
                <w:sz w:val="14"/>
                <w:szCs w:val="14"/>
                <w:color w:val="auto"/>
              </w:rPr>
            </w:pPr>
          </w:p>
        </w:tc>
        <w:tc>
          <w:tcPr>
            <w:tcW w:w="980" w:type="dxa"/>
            <w:vAlign w:val="bottom"/>
            <w:tcBorders>
              <w:bottom w:val="single" w:sz="8" w:color="auto"/>
            </w:tcBorders>
          </w:tcPr>
          <w:p>
            <w:pPr>
              <w:spacing w:after="0"/>
              <w:rPr>
                <w:sz w:val="14"/>
                <w:szCs w:val="14"/>
                <w:color w:val="auto"/>
              </w:rPr>
            </w:pPr>
          </w:p>
        </w:tc>
        <w:tc>
          <w:tcPr>
            <w:tcW w:w="1080" w:type="dxa"/>
            <w:vAlign w:val="bottom"/>
            <w:tcBorders>
              <w:bottom w:val="single" w:sz="8" w:color="auto"/>
            </w:tcBorders>
          </w:tcPr>
          <w:p>
            <w:pPr>
              <w:jc w:val="center"/>
              <w:spacing w:after="0" w:line="158" w:lineRule="exact"/>
              <w:rPr>
                <w:sz w:val="20"/>
                <w:szCs w:val="20"/>
                <w:color w:val="auto"/>
              </w:rPr>
            </w:pPr>
            <w:r>
              <w:rPr>
                <w:rFonts w:ascii="Calibri" w:cs="Calibri" w:eastAsia="Calibri" w:hAnsi="Calibri"/>
                <w:sz w:val="16"/>
                <w:szCs w:val="16"/>
                <w:color w:val="auto"/>
                <w:w w:val="97"/>
              </w:rPr>
              <w:t>friends</w:t>
            </w:r>
          </w:p>
        </w:tc>
        <w:tc>
          <w:tcPr>
            <w:tcW w:w="940" w:type="dxa"/>
            <w:vAlign w:val="bottom"/>
            <w:tcBorders>
              <w:bottom w:val="single" w:sz="8" w:color="auto"/>
            </w:tcBorders>
          </w:tcPr>
          <w:p>
            <w:pPr>
              <w:spacing w:after="0"/>
              <w:rPr>
                <w:sz w:val="14"/>
                <w:szCs w:val="14"/>
                <w:color w:val="auto"/>
              </w:rPr>
            </w:pPr>
          </w:p>
        </w:tc>
      </w:tr>
      <w:tr>
        <w:trPr>
          <w:trHeight w:val="191"/>
        </w:trPr>
        <w:tc>
          <w:tcPr>
            <w:tcW w:w="3340" w:type="dxa"/>
            <w:vAlign w:val="bottom"/>
            <w:tcBorders>
              <w:bottom w:val="single" w:sz="8" w:color="auto"/>
            </w:tcBorders>
          </w:tcPr>
          <w:p>
            <w:pPr>
              <w:spacing w:after="0"/>
              <w:rPr>
                <w:sz w:val="16"/>
                <w:szCs w:val="16"/>
                <w:color w:val="auto"/>
              </w:rPr>
            </w:pPr>
          </w:p>
        </w:tc>
        <w:tc>
          <w:tcPr>
            <w:tcW w:w="1320" w:type="dxa"/>
            <w:vAlign w:val="bottom"/>
            <w:tcBorders>
              <w:bottom w:val="single" w:sz="8" w:color="auto"/>
            </w:tcBorders>
          </w:tcPr>
          <w:p>
            <w:pPr>
              <w:jc w:val="center"/>
              <w:ind w:left="140"/>
              <w:spacing w:after="0" w:line="189" w:lineRule="exact"/>
              <w:rPr>
                <w:sz w:val="20"/>
                <w:szCs w:val="20"/>
                <w:color w:val="auto"/>
              </w:rPr>
            </w:pPr>
            <w:r>
              <w:rPr>
                <w:rFonts w:ascii="Calibri" w:cs="Calibri" w:eastAsia="Calibri" w:hAnsi="Calibri"/>
                <w:sz w:val="16"/>
                <w:szCs w:val="16"/>
                <w:color w:val="auto"/>
              </w:rPr>
              <w:t>(1)</w:t>
            </w:r>
          </w:p>
        </w:tc>
        <w:tc>
          <w:tcPr>
            <w:tcW w:w="1260" w:type="dxa"/>
            <w:vAlign w:val="bottom"/>
            <w:tcBorders>
              <w:bottom w:val="single" w:sz="8" w:color="auto"/>
            </w:tcBorders>
          </w:tcPr>
          <w:p>
            <w:pPr>
              <w:jc w:val="center"/>
              <w:ind w:left="40"/>
              <w:spacing w:after="0" w:line="189" w:lineRule="exact"/>
              <w:rPr>
                <w:sz w:val="20"/>
                <w:szCs w:val="20"/>
                <w:color w:val="auto"/>
              </w:rPr>
            </w:pPr>
            <w:r>
              <w:rPr>
                <w:rFonts w:ascii="Calibri" w:cs="Calibri" w:eastAsia="Calibri" w:hAnsi="Calibri"/>
                <w:sz w:val="16"/>
                <w:szCs w:val="16"/>
                <w:color w:val="auto"/>
              </w:rPr>
              <w:t>(2)</w:t>
            </w:r>
          </w:p>
        </w:tc>
        <w:tc>
          <w:tcPr>
            <w:tcW w:w="1040" w:type="dxa"/>
            <w:vAlign w:val="bottom"/>
            <w:tcBorders>
              <w:bottom w:val="single" w:sz="8" w:color="auto"/>
            </w:tcBorders>
          </w:tcPr>
          <w:p>
            <w:pPr>
              <w:jc w:val="center"/>
              <w:spacing w:after="0" w:line="189" w:lineRule="exact"/>
              <w:rPr>
                <w:sz w:val="20"/>
                <w:szCs w:val="20"/>
                <w:color w:val="auto"/>
              </w:rPr>
            </w:pPr>
            <w:r>
              <w:rPr>
                <w:rFonts w:ascii="Calibri" w:cs="Calibri" w:eastAsia="Calibri" w:hAnsi="Calibri"/>
                <w:sz w:val="16"/>
                <w:szCs w:val="16"/>
                <w:color w:val="auto"/>
              </w:rPr>
              <w:t>(3)</w:t>
            </w:r>
          </w:p>
        </w:tc>
        <w:tc>
          <w:tcPr>
            <w:tcW w:w="940" w:type="dxa"/>
            <w:vAlign w:val="bottom"/>
            <w:tcBorders>
              <w:bottom w:val="single" w:sz="8" w:color="auto"/>
            </w:tcBorders>
          </w:tcPr>
          <w:p>
            <w:pPr>
              <w:jc w:val="center"/>
              <w:spacing w:after="0" w:line="189" w:lineRule="exact"/>
              <w:rPr>
                <w:sz w:val="20"/>
                <w:szCs w:val="20"/>
                <w:color w:val="auto"/>
              </w:rPr>
            </w:pPr>
            <w:r>
              <w:rPr>
                <w:rFonts w:ascii="Calibri" w:cs="Calibri" w:eastAsia="Calibri" w:hAnsi="Calibri"/>
                <w:sz w:val="16"/>
                <w:szCs w:val="16"/>
                <w:color w:val="auto"/>
              </w:rPr>
              <w:t>(4)</w:t>
            </w:r>
          </w:p>
        </w:tc>
        <w:tc>
          <w:tcPr>
            <w:tcW w:w="1020" w:type="dxa"/>
            <w:vAlign w:val="bottom"/>
            <w:tcBorders>
              <w:bottom w:val="single" w:sz="8" w:color="auto"/>
            </w:tcBorders>
          </w:tcPr>
          <w:p>
            <w:pPr>
              <w:jc w:val="center"/>
              <w:spacing w:after="0" w:line="189" w:lineRule="exact"/>
              <w:rPr>
                <w:sz w:val="20"/>
                <w:szCs w:val="20"/>
                <w:color w:val="auto"/>
              </w:rPr>
            </w:pPr>
            <w:r>
              <w:rPr>
                <w:rFonts w:ascii="Calibri" w:cs="Calibri" w:eastAsia="Calibri" w:hAnsi="Calibri"/>
                <w:sz w:val="16"/>
                <w:szCs w:val="16"/>
                <w:color w:val="auto"/>
              </w:rPr>
              <w:t>(5)</w:t>
            </w:r>
          </w:p>
        </w:tc>
        <w:tc>
          <w:tcPr>
            <w:tcW w:w="1040" w:type="dxa"/>
            <w:vAlign w:val="bottom"/>
            <w:tcBorders>
              <w:bottom w:val="single" w:sz="8" w:color="auto"/>
            </w:tcBorders>
          </w:tcPr>
          <w:p>
            <w:pPr>
              <w:jc w:val="center"/>
              <w:spacing w:after="0" w:line="189" w:lineRule="exact"/>
              <w:rPr>
                <w:sz w:val="20"/>
                <w:szCs w:val="20"/>
                <w:color w:val="auto"/>
              </w:rPr>
            </w:pPr>
            <w:r>
              <w:rPr>
                <w:rFonts w:ascii="Calibri" w:cs="Calibri" w:eastAsia="Calibri" w:hAnsi="Calibri"/>
                <w:sz w:val="16"/>
                <w:szCs w:val="16"/>
                <w:color w:val="auto"/>
              </w:rPr>
              <w:t>(6)</w:t>
            </w:r>
          </w:p>
        </w:tc>
        <w:tc>
          <w:tcPr>
            <w:tcW w:w="980" w:type="dxa"/>
            <w:vAlign w:val="bottom"/>
            <w:tcBorders>
              <w:bottom w:val="single" w:sz="8" w:color="auto"/>
            </w:tcBorders>
          </w:tcPr>
          <w:p>
            <w:pPr>
              <w:jc w:val="center"/>
              <w:spacing w:after="0" w:line="189" w:lineRule="exact"/>
              <w:rPr>
                <w:sz w:val="20"/>
                <w:szCs w:val="20"/>
                <w:color w:val="auto"/>
              </w:rPr>
            </w:pPr>
            <w:r>
              <w:rPr>
                <w:rFonts w:ascii="Calibri" w:cs="Calibri" w:eastAsia="Calibri" w:hAnsi="Calibri"/>
                <w:sz w:val="16"/>
                <w:szCs w:val="16"/>
                <w:color w:val="auto"/>
                <w:w w:val="89"/>
              </w:rPr>
              <w:t>(7)</w:t>
            </w:r>
          </w:p>
        </w:tc>
        <w:tc>
          <w:tcPr>
            <w:tcW w:w="1080" w:type="dxa"/>
            <w:vAlign w:val="bottom"/>
            <w:tcBorders>
              <w:bottom w:val="single" w:sz="8" w:color="auto"/>
            </w:tcBorders>
          </w:tcPr>
          <w:p>
            <w:pPr>
              <w:jc w:val="center"/>
              <w:spacing w:after="0" w:line="189" w:lineRule="exact"/>
              <w:rPr>
                <w:sz w:val="20"/>
                <w:szCs w:val="20"/>
                <w:color w:val="auto"/>
              </w:rPr>
            </w:pPr>
            <w:r>
              <w:rPr>
                <w:rFonts w:ascii="Calibri" w:cs="Calibri" w:eastAsia="Calibri" w:hAnsi="Calibri"/>
                <w:sz w:val="16"/>
                <w:szCs w:val="16"/>
                <w:color w:val="auto"/>
              </w:rPr>
              <w:t>(8)</w:t>
            </w:r>
          </w:p>
        </w:tc>
        <w:tc>
          <w:tcPr>
            <w:tcW w:w="940" w:type="dxa"/>
            <w:vAlign w:val="bottom"/>
            <w:tcBorders>
              <w:bottom w:val="single" w:sz="8" w:color="auto"/>
            </w:tcBorders>
          </w:tcPr>
          <w:p>
            <w:pPr>
              <w:jc w:val="center"/>
              <w:spacing w:after="0" w:line="189" w:lineRule="exact"/>
              <w:rPr>
                <w:sz w:val="20"/>
                <w:szCs w:val="20"/>
                <w:color w:val="auto"/>
              </w:rPr>
            </w:pPr>
            <w:r>
              <w:rPr>
                <w:rFonts w:ascii="Calibri" w:cs="Calibri" w:eastAsia="Calibri" w:hAnsi="Calibri"/>
                <w:sz w:val="16"/>
                <w:szCs w:val="16"/>
                <w:color w:val="auto"/>
              </w:rPr>
              <w:t>(9)</w:t>
            </w:r>
          </w:p>
        </w:tc>
      </w:tr>
      <w:tr>
        <w:trPr>
          <w:trHeight w:val="184"/>
        </w:trPr>
        <w:tc>
          <w:tcPr>
            <w:tcW w:w="3340" w:type="dxa"/>
            <w:vAlign w:val="bottom"/>
          </w:tcPr>
          <w:p>
            <w:pPr>
              <w:ind w:left="20"/>
              <w:spacing w:after="0" w:line="184" w:lineRule="exact"/>
              <w:rPr>
                <w:sz w:val="20"/>
                <w:szCs w:val="20"/>
                <w:color w:val="auto"/>
              </w:rPr>
            </w:pPr>
            <w:r>
              <w:rPr>
                <w:rFonts w:ascii="Calibri" w:cs="Calibri" w:eastAsia="Calibri" w:hAnsi="Calibri"/>
                <w:sz w:val="16"/>
                <w:szCs w:val="16"/>
                <w:color w:val="auto"/>
              </w:rPr>
              <w:t>(a) Funded by both</w:t>
            </w:r>
          </w:p>
        </w:tc>
        <w:tc>
          <w:tcPr>
            <w:tcW w:w="1320" w:type="dxa"/>
            <w:vAlign w:val="bottom"/>
          </w:tcPr>
          <w:p>
            <w:pPr>
              <w:jc w:val="center"/>
              <w:ind w:left="160"/>
              <w:spacing w:after="0" w:line="184" w:lineRule="exact"/>
              <w:rPr>
                <w:sz w:val="20"/>
                <w:szCs w:val="20"/>
                <w:color w:val="auto"/>
              </w:rPr>
            </w:pPr>
            <w:r>
              <w:rPr>
                <w:rFonts w:ascii="Calibri" w:cs="Calibri" w:eastAsia="Calibri" w:hAnsi="Calibri"/>
                <w:sz w:val="16"/>
                <w:szCs w:val="16"/>
                <w:color w:val="auto"/>
                <w:w w:val="96"/>
              </w:rPr>
              <w:t>-0.185</w:t>
            </w:r>
          </w:p>
        </w:tc>
        <w:tc>
          <w:tcPr>
            <w:tcW w:w="1260" w:type="dxa"/>
            <w:vAlign w:val="bottom"/>
          </w:tcPr>
          <w:p>
            <w:pPr>
              <w:jc w:val="center"/>
              <w:ind w:left="60"/>
              <w:spacing w:after="0" w:line="184" w:lineRule="exact"/>
              <w:rPr>
                <w:sz w:val="20"/>
                <w:szCs w:val="20"/>
                <w:color w:val="auto"/>
              </w:rPr>
            </w:pPr>
            <w:r>
              <w:rPr>
                <w:rFonts w:ascii="Calibri" w:cs="Calibri" w:eastAsia="Calibri" w:hAnsi="Calibri"/>
                <w:sz w:val="16"/>
                <w:szCs w:val="16"/>
                <w:color w:val="auto"/>
                <w:w w:val="98"/>
              </w:rPr>
              <w:t>24.911*</w:t>
            </w:r>
          </w:p>
        </w:tc>
        <w:tc>
          <w:tcPr>
            <w:tcW w:w="1040" w:type="dxa"/>
            <w:vAlign w:val="bottom"/>
          </w:tcPr>
          <w:p>
            <w:pPr>
              <w:jc w:val="center"/>
              <w:spacing w:after="0" w:line="184" w:lineRule="exact"/>
              <w:rPr>
                <w:sz w:val="20"/>
                <w:szCs w:val="20"/>
                <w:color w:val="auto"/>
              </w:rPr>
            </w:pPr>
            <w:r>
              <w:rPr>
                <w:rFonts w:ascii="Calibri" w:cs="Calibri" w:eastAsia="Calibri" w:hAnsi="Calibri"/>
                <w:sz w:val="16"/>
                <w:szCs w:val="16"/>
                <w:color w:val="auto"/>
                <w:w w:val="98"/>
              </w:rPr>
              <w:t>1.358</w:t>
            </w:r>
          </w:p>
        </w:tc>
        <w:tc>
          <w:tcPr>
            <w:tcW w:w="940" w:type="dxa"/>
            <w:vAlign w:val="bottom"/>
          </w:tcPr>
          <w:p>
            <w:pPr>
              <w:jc w:val="center"/>
              <w:spacing w:after="0" w:line="184" w:lineRule="exact"/>
              <w:rPr>
                <w:sz w:val="20"/>
                <w:szCs w:val="20"/>
                <w:color w:val="auto"/>
              </w:rPr>
            </w:pPr>
            <w:r>
              <w:rPr>
                <w:rFonts w:ascii="Calibri" w:cs="Calibri" w:eastAsia="Calibri" w:hAnsi="Calibri"/>
                <w:sz w:val="16"/>
                <w:szCs w:val="16"/>
                <w:color w:val="auto"/>
                <w:w w:val="99"/>
              </w:rPr>
              <w:t>5.003***</w:t>
            </w:r>
          </w:p>
        </w:tc>
        <w:tc>
          <w:tcPr>
            <w:tcW w:w="1020" w:type="dxa"/>
            <w:vAlign w:val="bottom"/>
          </w:tcPr>
          <w:p>
            <w:pPr>
              <w:jc w:val="center"/>
              <w:spacing w:after="0" w:line="184" w:lineRule="exact"/>
              <w:rPr>
                <w:sz w:val="20"/>
                <w:szCs w:val="20"/>
                <w:color w:val="auto"/>
              </w:rPr>
            </w:pPr>
            <w:r>
              <w:rPr>
                <w:rFonts w:ascii="Calibri" w:cs="Calibri" w:eastAsia="Calibri" w:hAnsi="Calibri"/>
                <w:sz w:val="16"/>
                <w:szCs w:val="16"/>
                <w:color w:val="auto"/>
              </w:rPr>
              <w:t>-0.002</w:t>
            </w:r>
          </w:p>
        </w:tc>
        <w:tc>
          <w:tcPr>
            <w:tcW w:w="1040" w:type="dxa"/>
            <w:vAlign w:val="bottom"/>
          </w:tcPr>
          <w:p>
            <w:pPr>
              <w:jc w:val="center"/>
              <w:spacing w:after="0" w:line="184" w:lineRule="exact"/>
              <w:rPr>
                <w:sz w:val="20"/>
                <w:szCs w:val="20"/>
                <w:color w:val="auto"/>
              </w:rPr>
            </w:pPr>
            <w:r>
              <w:rPr>
                <w:rFonts w:ascii="Calibri" w:cs="Calibri" w:eastAsia="Calibri" w:hAnsi="Calibri"/>
                <w:sz w:val="16"/>
                <w:szCs w:val="16"/>
                <w:color w:val="auto"/>
                <w:w w:val="96"/>
              </w:rPr>
              <w:t>-0.032</w:t>
            </w:r>
          </w:p>
        </w:tc>
        <w:tc>
          <w:tcPr>
            <w:tcW w:w="980" w:type="dxa"/>
            <w:vAlign w:val="bottom"/>
          </w:tcPr>
          <w:p>
            <w:pPr>
              <w:jc w:val="center"/>
              <w:spacing w:after="0" w:line="184" w:lineRule="exact"/>
              <w:rPr>
                <w:sz w:val="20"/>
                <w:szCs w:val="20"/>
                <w:color w:val="auto"/>
              </w:rPr>
            </w:pPr>
            <w:r>
              <w:rPr>
                <w:rFonts w:ascii="Calibri" w:cs="Calibri" w:eastAsia="Calibri" w:hAnsi="Calibri"/>
                <w:sz w:val="16"/>
                <w:szCs w:val="16"/>
                <w:color w:val="auto"/>
                <w:w w:val="96"/>
              </w:rPr>
              <w:t>-0.654</w:t>
            </w:r>
          </w:p>
        </w:tc>
        <w:tc>
          <w:tcPr>
            <w:tcW w:w="1080" w:type="dxa"/>
            <w:vAlign w:val="bottom"/>
          </w:tcPr>
          <w:p>
            <w:pPr>
              <w:jc w:val="center"/>
              <w:spacing w:after="0" w:line="184" w:lineRule="exact"/>
              <w:rPr>
                <w:sz w:val="20"/>
                <w:szCs w:val="20"/>
                <w:color w:val="auto"/>
              </w:rPr>
            </w:pPr>
            <w:r>
              <w:rPr>
                <w:rFonts w:ascii="Calibri" w:cs="Calibri" w:eastAsia="Calibri" w:hAnsi="Calibri"/>
                <w:sz w:val="16"/>
                <w:szCs w:val="16"/>
                <w:color w:val="auto"/>
                <w:w w:val="98"/>
              </w:rPr>
              <w:t>0.735</w:t>
            </w:r>
          </w:p>
        </w:tc>
        <w:tc>
          <w:tcPr>
            <w:tcW w:w="940" w:type="dxa"/>
            <w:vAlign w:val="bottom"/>
          </w:tcPr>
          <w:p>
            <w:pPr>
              <w:jc w:val="center"/>
              <w:spacing w:after="0" w:line="184" w:lineRule="exact"/>
              <w:rPr>
                <w:sz w:val="20"/>
                <w:szCs w:val="20"/>
                <w:color w:val="auto"/>
              </w:rPr>
            </w:pPr>
            <w:r>
              <w:rPr>
                <w:rFonts w:ascii="Calibri" w:cs="Calibri" w:eastAsia="Calibri" w:hAnsi="Calibri"/>
                <w:sz w:val="16"/>
                <w:szCs w:val="16"/>
                <w:color w:val="auto"/>
              </w:rPr>
              <w:t>-0.103</w:t>
            </w:r>
          </w:p>
        </w:tc>
      </w:tr>
      <w:tr>
        <w:trPr>
          <w:trHeight w:val="206"/>
        </w:trPr>
        <w:tc>
          <w:tcPr>
            <w:tcW w:w="3340" w:type="dxa"/>
            <w:vAlign w:val="bottom"/>
          </w:tcPr>
          <w:p>
            <w:pPr>
              <w:spacing w:after="0"/>
              <w:rPr>
                <w:sz w:val="17"/>
                <w:szCs w:val="17"/>
                <w:color w:val="auto"/>
              </w:rPr>
            </w:pPr>
          </w:p>
        </w:tc>
        <w:tc>
          <w:tcPr>
            <w:tcW w:w="1320" w:type="dxa"/>
            <w:vAlign w:val="bottom"/>
          </w:tcPr>
          <w:p>
            <w:pPr>
              <w:jc w:val="center"/>
              <w:ind w:left="140"/>
              <w:spacing w:after="0"/>
              <w:rPr>
                <w:sz w:val="20"/>
                <w:szCs w:val="20"/>
                <w:color w:val="auto"/>
              </w:rPr>
            </w:pPr>
            <w:r>
              <w:rPr>
                <w:rFonts w:ascii="Calibri" w:cs="Calibri" w:eastAsia="Calibri" w:hAnsi="Calibri"/>
                <w:sz w:val="16"/>
                <w:szCs w:val="16"/>
                <w:color w:val="auto"/>
                <w:w w:val="99"/>
              </w:rPr>
              <w:t>(0.148)</w:t>
            </w:r>
          </w:p>
        </w:tc>
        <w:tc>
          <w:tcPr>
            <w:tcW w:w="1260" w:type="dxa"/>
            <w:vAlign w:val="bottom"/>
          </w:tcPr>
          <w:p>
            <w:pPr>
              <w:jc w:val="center"/>
              <w:ind w:left="40"/>
              <w:spacing w:after="0"/>
              <w:rPr>
                <w:sz w:val="20"/>
                <w:szCs w:val="20"/>
                <w:color w:val="auto"/>
              </w:rPr>
            </w:pPr>
            <w:r>
              <w:rPr>
                <w:rFonts w:ascii="Calibri" w:cs="Calibri" w:eastAsia="Calibri" w:hAnsi="Calibri"/>
                <w:sz w:val="16"/>
                <w:szCs w:val="16"/>
                <w:color w:val="auto"/>
                <w:w w:val="99"/>
              </w:rPr>
              <w:t>(13.649)</w:t>
            </w:r>
          </w:p>
        </w:tc>
        <w:tc>
          <w:tcPr>
            <w:tcW w:w="1040" w:type="dxa"/>
            <w:vAlign w:val="bottom"/>
          </w:tcPr>
          <w:p>
            <w:pPr>
              <w:jc w:val="center"/>
              <w:spacing w:after="0"/>
              <w:rPr>
                <w:sz w:val="20"/>
                <w:szCs w:val="20"/>
                <w:color w:val="auto"/>
              </w:rPr>
            </w:pPr>
            <w:r>
              <w:rPr>
                <w:rFonts w:ascii="Calibri" w:cs="Calibri" w:eastAsia="Calibri" w:hAnsi="Calibri"/>
                <w:sz w:val="16"/>
                <w:szCs w:val="16"/>
                <w:color w:val="auto"/>
                <w:w w:val="99"/>
              </w:rPr>
              <w:t>(1.116)</w:t>
            </w:r>
          </w:p>
        </w:tc>
        <w:tc>
          <w:tcPr>
            <w:tcW w:w="940" w:type="dxa"/>
            <w:vAlign w:val="bottom"/>
          </w:tcPr>
          <w:p>
            <w:pPr>
              <w:jc w:val="center"/>
              <w:spacing w:after="0"/>
              <w:rPr>
                <w:sz w:val="20"/>
                <w:szCs w:val="20"/>
                <w:color w:val="auto"/>
              </w:rPr>
            </w:pPr>
            <w:r>
              <w:rPr>
                <w:rFonts w:ascii="Calibri" w:cs="Calibri" w:eastAsia="Calibri" w:hAnsi="Calibri"/>
                <w:sz w:val="16"/>
                <w:szCs w:val="16"/>
                <w:color w:val="auto"/>
                <w:w w:val="99"/>
              </w:rPr>
              <w:t>(1.853)</w:t>
            </w:r>
          </w:p>
        </w:tc>
        <w:tc>
          <w:tcPr>
            <w:tcW w:w="1020" w:type="dxa"/>
            <w:vAlign w:val="bottom"/>
          </w:tcPr>
          <w:p>
            <w:pPr>
              <w:jc w:val="center"/>
              <w:spacing w:after="0"/>
              <w:rPr>
                <w:sz w:val="20"/>
                <w:szCs w:val="20"/>
                <w:color w:val="auto"/>
              </w:rPr>
            </w:pPr>
            <w:r>
              <w:rPr>
                <w:rFonts w:ascii="Calibri" w:cs="Calibri" w:eastAsia="Calibri" w:hAnsi="Calibri"/>
                <w:sz w:val="16"/>
                <w:szCs w:val="16"/>
                <w:color w:val="auto"/>
                <w:w w:val="99"/>
              </w:rPr>
              <w:t>(0.101)</w:t>
            </w:r>
          </w:p>
        </w:tc>
        <w:tc>
          <w:tcPr>
            <w:tcW w:w="1040" w:type="dxa"/>
            <w:vAlign w:val="bottom"/>
          </w:tcPr>
          <w:p>
            <w:pPr>
              <w:jc w:val="center"/>
              <w:spacing w:after="0"/>
              <w:rPr>
                <w:sz w:val="20"/>
                <w:szCs w:val="20"/>
                <w:color w:val="auto"/>
              </w:rPr>
            </w:pPr>
            <w:r>
              <w:rPr>
                <w:rFonts w:ascii="Calibri" w:cs="Calibri" w:eastAsia="Calibri" w:hAnsi="Calibri"/>
                <w:sz w:val="16"/>
                <w:szCs w:val="16"/>
                <w:color w:val="auto"/>
                <w:w w:val="99"/>
              </w:rPr>
              <w:t>(0.078)</w:t>
            </w:r>
          </w:p>
        </w:tc>
        <w:tc>
          <w:tcPr>
            <w:tcW w:w="980" w:type="dxa"/>
            <w:vAlign w:val="bottom"/>
          </w:tcPr>
          <w:p>
            <w:pPr>
              <w:jc w:val="center"/>
              <w:spacing w:after="0"/>
              <w:rPr>
                <w:sz w:val="20"/>
                <w:szCs w:val="20"/>
                <w:color w:val="auto"/>
              </w:rPr>
            </w:pPr>
            <w:r>
              <w:rPr>
                <w:rFonts w:ascii="Calibri" w:cs="Calibri" w:eastAsia="Calibri" w:hAnsi="Calibri"/>
                <w:sz w:val="16"/>
                <w:szCs w:val="16"/>
                <w:color w:val="auto"/>
                <w:w w:val="99"/>
              </w:rPr>
              <w:t>(1.133)</w:t>
            </w:r>
          </w:p>
        </w:tc>
        <w:tc>
          <w:tcPr>
            <w:tcW w:w="1080" w:type="dxa"/>
            <w:vAlign w:val="bottom"/>
          </w:tcPr>
          <w:p>
            <w:pPr>
              <w:jc w:val="center"/>
              <w:spacing w:after="0"/>
              <w:rPr>
                <w:sz w:val="20"/>
                <w:szCs w:val="20"/>
                <w:color w:val="auto"/>
              </w:rPr>
            </w:pPr>
            <w:r>
              <w:rPr>
                <w:rFonts w:ascii="Calibri" w:cs="Calibri" w:eastAsia="Calibri" w:hAnsi="Calibri"/>
                <w:sz w:val="16"/>
                <w:szCs w:val="16"/>
                <w:color w:val="auto"/>
                <w:w w:val="99"/>
              </w:rPr>
              <w:t>(0.874)</w:t>
            </w:r>
          </w:p>
        </w:tc>
        <w:tc>
          <w:tcPr>
            <w:tcW w:w="940" w:type="dxa"/>
            <w:vAlign w:val="bottom"/>
          </w:tcPr>
          <w:p>
            <w:pPr>
              <w:jc w:val="center"/>
              <w:spacing w:after="0"/>
              <w:rPr>
                <w:sz w:val="20"/>
                <w:szCs w:val="20"/>
                <w:color w:val="auto"/>
              </w:rPr>
            </w:pPr>
            <w:r>
              <w:rPr>
                <w:rFonts w:ascii="Calibri" w:cs="Calibri" w:eastAsia="Calibri" w:hAnsi="Calibri"/>
                <w:sz w:val="16"/>
                <w:szCs w:val="16"/>
                <w:color w:val="auto"/>
                <w:w w:val="99"/>
              </w:rPr>
              <w:t>(0.126)</w:t>
            </w:r>
          </w:p>
        </w:tc>
      </w:tr>
      <w:tr>
        <w:trPr>
          <w:trHeight w:val="207"/>
        </w:trPr>
        <w:tc>
          <w:tcPr>
            <w:tcW w:w="3340" w:type="dxa"/>
            <w:vAlign w:val="bottom"/>
          </w:tcPr>
          <w:p>
            <w:pPr>
              <w:ind w:left="20"/>
              <w:spacing w:after="0"/>
              <w:rPr>
                <w:sz w:val="20"/>
                <w:szCs w:val="20"/>
                <w:color w:val="auto"/>
              </w:rPr>
            </w:pPr>
            <w:r>
              <w:rPr>
                <w:rFonts w:ascii="Calibri" w:cs="Calibri" w:eastAsia="Calibri" w:hAnsi="Calibri"/>
                <w:sz w:val="16"/>
                <w:szCs w:val="16"/>
                <w:color w:val="auto"/>
              </w:rPr>
              <w:t>(b) Only experts</w:t>
            </w:r>
          </w:p>
        </w:tc>
        <w:tc>
          <w:tcPr>
            <w:tcW w:w="1320" w:type="dxa"/>
            <w:vAlign w:val="bottom"/>
          </w:tcPr>
          <w:p>
            <w:pPr>
              <w:jc w:val="center"/>
              <w:ind w:left="160"/>
              <w:spacing w:after="0"/>
              <w:rPr>
                <w:sz w:val="20"/>
                <w:szCs w:val="20"/>
                <w:color w:val="auto"/>
              </w:rPr>
            </w:pPr>
            <w:r>
              <w:rPr>
                <w:rFonts w:ascii="Calibri" w:cs="Calibri" w:eastAsia="Calibri" w:hAnsi="Calibri"/>
                <w:sz w:val="16"/>
                <w:szCs w:val="16"/>
                <w:color w:val="auto"/>
                <w:w w:val="97"/>
              </w:rPr>
              <w:t>-0.410*</w:t>
            </w:r>
          </w:p>
        </w:tc>
        <w:tc>
          <w:tcPr>
            <w:tcW w:w="1260" w:type="dxa"/>
            <w:vAlign w:val="bottom"/>
          </w:tcPr>
          <w:p>
            <w:pPr>
              <w:jc w:val="center"/>
              <w:ind w:left="40"/>
              <w:spacing w:after="0"/>
              <w:rPr>
                <w:sz w:val="20"/>
                <w:szCs w:val="20"/>
                <w:color w:val="auto"/>
              </w:rPr>
            </w:pPr>
            <w:r>
              <w:rPr>
                <w:rFonts w:ascii="Calibri" w:cs="Calibri" w:eastAsia="Calibri" w:hAnsi="Calibri"/>
                <w:sz w:val="16"/>
                <w:szCs w:val="16"/>
                <w:color w:val="auto"/>
              </w:rPr>
              <w:t>-12.623</w:t>
            </w:r>
          </w:p>
        </w:tc>
        <w:tc>
          <w:tcPr>
            <w:tcW w:w="1040" w:type="dxa"/>
            <w:vAlign w:val="bottom"/>
          </w:tcPr>
          <w:p>
            <w:pPr>
              <w:jc w:val="center"/>
              <w:spacing w:after="0"/>
              <w:rPr>
                <w:sz w:val="20"/>
                <w:szCs w:val="20"/>
                <w:color w:val="auto"/>
              </w:rPr>
            </w:pPr>
            <w:r>
              <w:rPr>
                <w:rFonts w:ascii="Calibri" w:cs="Calibri" w:eastAsia="Calibri" w:hAnsi="Calibri"/>
                <w:sz w:val="16"/>
                <w:szCs w:val="16"/>
                <w:color w:val="auto"/>
              </w:rPr>
              <w:t>-1.096*</w:t>
            </w:r>
          </w:p>
        </w:tc>
        <w:tc>
          <w:tcPr>
            <w:tcW w:w="940" w:type="dxa"/>
            <w:vAlign w:val="bottom"/>
          </w:tcPr>
          <w:p>
            <w:pPr>
              <w:jc w:val="center"/>
              <w:spacing w:after="0"/>
              <w:rPr>
                <w:sz w:val="20"/>
                <w:szCs w:val="20"/>
                <w:color w:val="auto"/>
              </w:rPr>
            </w:pPr>
            <w:r>
              <w:rPr>
                <w:rFonts w:ascii="Calibri" w:cs="Calibri" w:eastAsia="Calibri" w:hAnsi="Calibri"/>
                <w:sz w:val="16"/>
                <w:szCs w:val="16"/>
                <w:color w:val="auto"/>
              </w:rPr>
              <w:t>-0.588</w:t>
            </w:r>
          </w:p>
        </w:tc>
        <w:tc>
          <w:tcPr>
            <w:tcW w:w="1020" w:type="dxa"/>
            <w:vAlign w:val="bottom"/>
          </w:tcPr>
          <w:p>
            <w:pPr>
              <w:jc w:val="center"/>
              <w:spacing w:after="0"/>
              <w:rPr>
                <w:sz w:val="20"/>
                <w:szCs w:val="20"/>
                <w:color w:val="auto"/>
              </w:rPr>
            </w:pPr>
            <w:r>
              <w:rPr>
                <w:rFonts w:ascii="Calibri" w:cs="Calibri" w:eastAsia="Calibri" w:hAnsi="Calibri"/>
                <w:sz w:val="16"/>
                <w:szCs w:val="16"/>
                <w:color w:val="auto"/>
              </w:rPr>
              <w:t>-0.184***</w:t>
            </w:r>
          </w:p>
        </w:tc>
        <w:tc>
          <w:tcPr>
            <w:tcW w:w="1040" w:type="dxa"/>
            <w:vAlign w:val="bottom"/>
          </w:tcPr>
          <w:p>
            <w:pPr>
              <w:jc w:val="center"/>
              <w:spacing w:after="0"/>
              <w:rPr>
                <w:sz w:val="20"/>
                <w:szCs w:val="20"/>
                <w:color w:val="auto"/>
              </w:rPr>
            </w:pPr>
            <w:r>
              <w:rPr>
                <w:rFonts w:ascii="Calibri" w:cs="Calibri" w:eastAsia="Calibri" w:hAnsi="Calibri"/>
                <w:sz w:val="16"/>
                <w:szCs w:val="16"/>
                <w:color w:val="auto"/>
                <w:w w:val="97"/>
              </w:rPr>
              <w:t>-0.122**</w:t>
            </w:r>
          </w:p>
        </w:tc>
        <w:tc>
          <w:tcPr>
            <w:tcW w:w="980" w:type="dxa"/>
            <w:vAlign w:val="bottom"/>
          </w:tcPr>
          <w:p>
            <w:pPr>
              <w:jc w:val="center"/>
              <w:spacing w:after="0"/>
              <w:rPr>
                <w:sz w:val="20"/>
                <w:szCs w:val="20"/>
                <w:color w:val="auto"/>
              </w:rPr>
            </w:pPr>
            <w:r>
              <w:rPr>
                <w:rFonts w:ascii="Calibri" w:cs="Calibri" w:eastAsia="Calibri" w:hAnsi="Calibri"/>
                <w:sz w:val="16"/>
                <w:szCs w:val="16"/>
                <w:color w:val="auto"/>
                <w:w w:val="98"/>
              </w:rPr>
              <w:t>2.636</w:t>
            </w:r>
          </w:p>
        </w:tc>
        <w:tc>
          <w:tcPr>
            <w:tcW w:w="1080" w:type="dxa"/>
            <w:vAlign w:val="bottom"/>
          </w:tcPr>
          <w:p>
            <w:pPr>
              <w:jc w:val="center"/>
              <w:spacing w:after="0"/>
              <w:rPr>
                <w:sz w:val="20"/>
                <w:szCs w:val="20"/>
                <w:color w:val="auto"/>
              </w:rPr>
            </w:pPr>
            <w:r>
              <w:rPr>
                <w:rFonts w:ascii="Calibri" w:cs="Calibri" w:eastAsia="Calibri" w:hAnsi="Calibri"/>
                <w:sz w:val="16"/>
                <w:szCs w:val="16"/>
                <w:color w:val="auto"/>
              </w:rPr>
              <w:t>-0.047</w:t>
            </w:r>
          </w:p>
        </w:tc>
        <w:tc>
          <w:tcPr>
            <w:tcW w:w="940" w:type="dxa"/>
            <w:vAlign w:val="bottom"/>
          </w:tcPr>
          <w:p>
            <w:pPr>
              <w:jc w:val="center"/>
              <w:spacing w:after="0"/>
              <w:rPr>
                <w:sz w:val="20"/>
                <w:szCs w:val="20"/>
                <w:color w:val="auto"/>
              </w:rPr>
            </w:pPr>
            <w:r>
              <w:rPr>
                <w:rFonts w:ascii="Calibri" w:cs="Calibri" w:eastAsia="Calibri" w:hAnsi="Calibri"/>
                <w:sz w:val="16"/>
                <w:szCs w:val="16"/>
                <w:color w:val="auto"/>
              </w:rPr>
              <w:t>-0.148</w:t>
            </w:r>
          </w:p>
        </w:tc>
      </w:tr>
      <w:tr>
        <w:trPr>
          <w:trHeight w:val="206"/>
        </w:trPr>
        <w:tc>
          <w:tcPr>
            <w:tcW w:w="3340" w:type="dxa"/>
            <w:vAlign w:val="bottom"/>
          </w:tcPr>
          <w:p>
            <w:pPr>
              <w:spacing w:after="0"/>
              <w:rPr>
                <w:sz w:val="17"/>
                <w:szCs w:val="17"/>
                <w:color w:val="auto"/>
              </w:rPr>
            </w:pPr>
          </w:p>
        </w:tc>
        <w:tc>
          <w:tcPr>
            <w:tcW w:w="1320" w:type="dxa"/>
            <w:vAlign w:val="bottom"/>
          </w:tcPr>
          <w:p>
            <w:pPr>
              <w:jc w:val="center"/>
              <w:ind w:left="140"/>
              <w:spacing w:after="0"/>
              <w:rPr>
                <w:sz w:val="20"/>
                <w:szCs w:val="20"/>
                <w:color w:val="auto"/>
              </w:rPr>
            </w:pPr>
            <w:r>
              <w:rPr>
                <w:rFonts w:ascii="Calibri" w:cs="Calibri" w:eastAsia="Calibri" w:hAnsi="Calibri"/>
                <w:sz w:val="16"/>
                <w:szCs w:val="16"/>
                <w:color w:val="auto"/>
                <w:w w:val="99"/>
              </w:rPr>
              <w:t>(0.220)</w:t>
            </w:r>
          </w:p>
        </w:tc>
        <w:tc>
          <w:tcPr>
            <w:tcW w:w="1260" w:type="dxa"/>
            <w:vAlign w:val="bottom"/>
          </w:tcPr>
          <w:p>
            <w:pPr>
              <w:jc w:val="center"/>
              <w:ind w:left="40"/>
              <w:spacing w:after="0"/>
              <w:rPr>
                <w:sz w:val="20"/>
                <w:szCs w:val="20"/>
                <w:color w:val="auto"/>
              </w:rPr>
            </w:pPr>
            <w:r>
              <w:rPr>
                <w:rFonts w:ascii="Calibri" w:cs="Calibri" w:eastAsia="Calibri" w:hAnsi="Calibri"/>
                <w:sz w:val="16"/>
                <w:szCs w:val="16"/>
                <w:color w:val="auto"/>
                <w:w w:val="99"/>
              </w:rPr>
              <w:t>(13.870)</w:t>
            </w:r>
          </w:p>
        </w:tc>
        <w:tc>
          <w:tcPr>
            <w:tcW w:w="1040" w:type="dxa"/>
            <w:vAlign w:val="bottom"/>
          </w:tcPr>
          <w:p>
            <w:pPr>
              <w:jc w:val="center"/>
              <w:spacing w:after="0"/>
              <w:rPr>
                <w:sz w:val="20"/>
                <w:szCs w:val="20"/>
                <w:color w:val="auto"/>
              </w:rPr>
            </w:pPr>
            <w:r>
              <w:rPr>
                <w:rFonts w:ascii="Calibri" w:cs="Calibri" w:eastAsia="Calibri" w:hAnsi="Calibri"/>
                <w:sz w:val="16"/>
                <w:szCs w:val="16"/>
                <w:color w:val="auto"/>
                <w:w w:val="99"/>
              </w:rPr>
              <w:t>(0.573)</w:t>
            </w:r>
          </w:p>
        </w:tc>
        <w:tc>
          <w:tcPr>
            <w:tcW w:w="940" w:type="dxa"/>
            <w:vAlign w:val="bottom"/>
          </w:tcPr>
          <w:p>
            <w:pPr>
              <w:jc w:val="center"/>
              <w:spacing w:after="0"/>
              <w:rPr>
                <w:sz w:val="20"/>
                <w:szCs w:val="20"/>
                <w:color w:val="auto"/>
              </w:rPr>
            </w:pPr>
            <w:r>
              <w:rPr>
                <w:rFonts w:ascii="Calibri" w:cs="Calibri" w:eastAsia="Calibri" w:hAnsi="Calibri"/>
                <w:sz w:val="16"/>
                <w:szCs w:val="16"/>
                <w:color w:val="auto"/>
                <w:w w:val="99"/>
              </w:rPr>
              <w:t>(0.780)</w:t>
            </w:r>
          </w:p>
        </w:tc>
        <w:tc>
          <w:tcPr>
            <w:tcW w:w="1020" w:type="dxa"/>
            <w:vAlign w:val="bottom"/>
          </w:tcPr>
          <w:p>
            <w:pPr>
              <w:jc w:val="center"/>
              <w:spacing w:after="0"/>
              <w:rPr>
                <w:sz w:val="20"/>
                <w:szCs w:val="20"/>
                <w:color w:val="auto"/>
              </w:rPr>
            </w:pPr>
            <w:r>
              <w:rPr>
                <w:rFonts w:ascii="Calibri" w:cs="Calibri" w:eastAsia="Calibri" w:hAnsi="Calibri"/>
                <w:sz w:val="16"/>
                <w:szCs w:val="16"/>
                <w:color w:val="auto"/>
                <w:w w:val="99"/>
              </w:rPr>
              <w:t>(0.056)</w:t>
            </w:r>
          </w:p>
        </w:tc>
        <w:tc>
          <w:tcPr>
            <w:tcW w:w="1040" w:type="dxa"/>
            <w:vAlign w:val="bottom"/>
          </w:tcPr>
          <w:p>
            <w:pPr>
              <w:jc w:val="center"/>
              <w:spacing w:after="0"/>
              <w:rPr>
                <w:sz w:val="20"/>
                <w:szCs w:val="20"/>
                <w:color w:val="auto"/>
              </w:rPr>
            </w:pPr>
            <w:r>
              <w:rPr>
                <w:rFonts w:ascii="Calibri" w:cs="Calibri" w:eastAsia="Calibri" w:hAnsi="Calibri"/>
                <w:sz w:val="16"/>
                <w:szCs w:val="16"/>
                <w:color w:val="auto"/>
                <w:w w:val="99"/>
              </w:rPr>
              <w:t>(0.048)</w:t>
            </w:r>
          </w:p>
        </w:tc>
        <w:tc>
          <w:tcPr>
            <w:tcW w:w="980" w:type="dxa"/>
            <w:vAlign w:val="bottom"/>
          </w:tcPr>
          <w:p>
            <w:pPr>
              <w:jc w:val="center"/>
              <w:spacing w:after="0"/>
              <w:rPr>
                <w:sz w:val="20"/>
                <w:szCs w:val="20"/>
                <w:color w:val="auto"/>
              </w:rPr>
            </w:pPr>
            <w:r>
              <w:rPr>
                <w:rFonts w:ascii="Calibri" w:cs="Calibri" w:eastAsia="Calibri" w:hAnsi="Calibri"/>
                <w:sz w:val="16"/>
                <w:szCs w:val="16"/>
                <w:color w:val="auto"/>
                <w:w w:val="99"/>
              </w:rPr>
              <w:t>(1.737)</w:t>
            </w:r>
          </w:p>
        </w:tc>
        <w:tc>
          <w:tcPr>
            <w:tcW w:w="1080" w:type="dxa"/>
            <w:vAlign w:val="bottom"/>
          </w:tcPr>
          <w:p>
            <w:pPr>
              <w:jc w:val="center"/>
              <w:spacing w:after="0"/>
              <w:rPr>
                <w:sz w:val="20"/>
                <w:szCs w:val="20"/>
                <w:color w:val="auto"/>
              </w:rPr>
            </w:pPr>
            <w:r>
              <w:rPr>
                <w:rFonts w:ascii="Calibri" w:cs="Calibri" w:eastAsia="Calibri" w:hAnsi="Calibri"/>
                <w:sz w:val="16"/>
                <w:szCs w:val="16"/>
                <w:color w:val="auto"/>
                <w:w w:val="99"/>
              </w:rPr>
              <w:t>(1.096)</w:t>
            </w:r>
          </w:p>
        </w:tc>
        <w:tc>
          <w:tcPr>
            <w:tcW w:w="940" w:type="dxa"/>
            <w:vAlign w:val="bottom"/>
          </w:tcPr>
          <w:p>
            <w:pPr>
              <w:jc w:val="center"/>
              <w:spacing w:after="0"/>
              <w:rPr>
                <w:sz w:val="20"/>
                <w:szCs w:val="20"/>
                <w:color w:val="auto"/>
              </w:rPr>
            </w:pPr>
            <w:r>
              <w:rPr>
                <w:rFonts w:ascii="Calibri" w:cs="Calibri" w:eastAsia="Calibri" w:hAnsi="Calibri"/>
                <w:sz w:val="16"/>
                <w:szCs w:val="16"/>
                <w:color w:val="auto"/>
                <w:w w:val="99"/>
              </w:rPr>
              <w:t>(0.167)</w:t>
            </w:r>
          </w:p>
        </w:tc>
      </w:tr>
      <w:tr>
        <w:trPr>
          <w:trHeight w:val="206"/>
        </w:trPr>
        <w:tc>
          <w:tcPr>
            <w:tcW w:w="3340" w:type="dxa"/>
            <w:vAlign w:val="bottom"/>
          </w:tcPr>
          <w:p>
            <w:pPr>
              <w:ind w:left="20"/>
              <w:spacing w:after="0"/>
              <w:rPr>
                <w:sz w:val="20"/>
                <w:szCs w:val="20"/>
                <w:color w:val="auto"/>
              </w:rPr>
            </w:pPr>
            <w:r>
              <w:rPr>
                <w:rFonts w:ascii="Calibri" w:cs="Calibri" w:eastAsia="Calibri" w:hAnsi="Calibri"/>
                <w:sz w:val="16"/>
                <w:szCs w:val="16"/>
                <w:color w:val="auto"/>
              </w:rPr>
              <w:t>(c) Only crowd</w:t>
            </w:r>
          </w:p>
        </w:tc>
        <w:tc>
          <w:tcPr>
            <w:tcW w:w="1320" w:type="dxa"/>
            <w:vAlign w:val="bottom"/>
          </w:tcPr>
          <w:p>
            <w:pPr>
              <w:jc w:val="center"/>
              <w:ind w:left="160"/>
              <w:spacing w:after="0"/>
              <w:rPr>
                <w:sz w:val="20"/>
                <w:szCs w:val="20"/>
                <w:color w:val="auto"/>
              </w:rPr>
            </w:pPr>
            <w:r>
              <w:rPr>
                <w:rFonts w:ascii="Calibri" w:cs="Calibri" w:eastAsia="Calibri" w:hAnsi="Calibri"/>
                <w:sz w:val="16"/>
                <w:szCs w:val="16"/>
                <w:color w:val="auto"/>
                <w:w w:val="97"/>
              </w:rPr>
              <w:t>-0.239**</w:t>
            </w:r>
          </w:p>
        </w:tc>
        <w:tc>
          <w:tcPr>
            <w:tcW w:w="1260" w:type="dxa"/>
            <w:vAlign w:val="bottom"/>
          </w:tcPr>
          <w:p>
            <w:pPr>
              <w:jc w:val="center"/>
              <w:ind w:left="60"/>
              <w:spacing w:after="0"/>
              <w:rPr>
                <w:sz w:val="20"/>
                <w:szCs w:val="20"/>
                <w:color w:val="auto"/>
              </w:rPr>
            </w:pPr>
            <w:r>
              <w:rPr>
                <w:rFonts w:ascii="Calibri" w:cs="Calibri" w:eastAsia="Calibri" w:hAnsi="Calibri"/>
                <w:sz w:val="16"/>
                <w:szCs w:val="16"/>
                <w:color w:val="auto"/>
                <w:w w:val="99"/>
              </w:rPr>
              <w:t>49.755***</w:t>
            </w:r>
          </w:p>
        </w:tc>
        <w:tc>
          <w:tcPr>
            <w:tcW w:w="1040" w:type="dxa"/>
            <w:vAlign w:val="bottom"/>
          </w:tcPr>
          <w:p>
            <w:pPr>
              <w:jc w:val="center"/>
              <w:spacing w:after="0"/>
              <w:rPr>
                <w:sz w:val="20"/>
                <w:szCs w:val="20"/>
                <w:color w:val="auto"/>
              </w:rPr>
            </w:pPr>
            <w:r>
              <w:rPr>
                <w:rFonts w:ascii="Calibri" w:cs="Calibri" w:eastAsia="Calibri" w:hAnsi="Calibri"/>
                <w:sz w:val="16"/>
                <w:szCs w:val="16"/>
                <w:color w:val="auto"/>
                <w:w w:val="99"/>
              </w:rPr>
              <w:t>1.738**</w:t>
            </w:r>
          </w:p>
        </w:tc>
        <w:tc>
          <w:tcPr>
            <w:tcW w:w="940" w:type="dxa"/>
            <w:vAlign w:val="bottom"/>
          </w:tcPr>
          <w:p>
            <w:pPr>
              <w:jc w:val="center"/>
              <w:spacing w:after="0"/>
              <w:rPr>
                <w:sz w:val="20"/>
                <w:szCs w:val="20"/>
                <w:color w:val="auto"/>
              </w:rPr>
            </w:pPr>
            <w:r>
              <w:rPr>
                <w:rFonts w:ascii="Calibri" w:cs="Calibri" w:eastAsia="Calibri" w:hAnsi="Calibri"/>
                <w:sz w:val="16"/>
                <w:szCs w:val="16"/>
                <w:color w:val="auto"/>
                <w:w w:val="99"/>
              </w:rPr>
              <w:t>3.065***</w:t>
            </w:r>
          </w:p>
        </w:tc>
        <w:tc>
          <w:tcPr>
            <w:tcW w:w="1020" w:type="dxa"/>
            <w:vAlign w:val="bottom"/>
          </w:tcPr>
          <w:p>
            <w:pPr>
              <w:jc w:val="center"/>
              <w:spacing w:after="0"/>
              <w:rPr>
                <w:sz w:val="20"/>
                <w:szCs w:val="20"/>
                <w:color w:val="auto"/>
              </w:rPr>
            </w:pPr>
            <w:r>
              <w:rPr>
                <w:rFonts w:ascii="Calibri" w:cs="Calibri" w:eastAsia="Calibri" w:hAnsi="Calibri"/>
                <w:sz w:val="16"/>
                <w:szCs w:val="16"/>
                <w:color w:val="auto"/>
              </w:rPr>
              <w:t>0.053</w:t>
            </w:r>
          </w:p>
        </w:tc>
        <w:tc>
          <w:tcPr>
            <w:tcW w:w="1040" w:type="dxa"/>
            <w:vAlign w:val="bottom"/>
          </w:tcPr>
          <w:p>
            <w:pPr>
              <w:jc w:val="center"/>
              <w:spacing w:after="0"/>
              <w:rPr>
                <w:sz w:val="20"/>
                <w:szCs w:val="20"/>
                <w:color w:val="auto"/>
              </w:rPr>
            </w:pPr>
            <w:r>
              <w:rPr>
                <w:rFonts w:ascii="Calibri" w:cs="Calibri" w:eastAsia="Calibri" w:hAnsi="Calibri"/>
                <w:sz w:val="16"/>
                <w:szCs w:val="16"/>
                <w:color w:val="auto"/>
                <w:w w:val="98"/>
              </w:rPr>
              <w:t>0.062</w:t>
            </w:r>
          </w:p>
        </w:tc>
        <w:tc>
          <w:tcPr>
            <w:tcW w:w="980" w:type="dxa"/>
            <w:vAlign w:val="bottom"/>
          </w:tcPr>
          <w:p>
            <w:pPr>
              <w:jc w:val="center"/>
              <w:spacing w:after="0"/>
              <w:rPr>
                <w:sz w:val="20"/>
                <w:szCs w:val="20"/>
                <w:color w:val="auto"/>
              </w:rPr>
            </w:pPr>
            <w:r>
              <w:rPr>
                <w:rFonts w:ascii="Calibri" w:cs="Calibri" w:eastAsia="Calibri" w:hAnsi="Calibri"/>
                <w:sz w:val="16"/>
                <w:szCs w:val="16"/>
                <w:color w:val="auto"/>
                <w:w w:val="96"/>
              </w:rPr>
              <w:t>-0.330</w:t>
            </w:r>
          </w:p>
        </w:tc>
        <w:tc>
          <w:tcPr>
            <w:tcW w:w="1080" w:type="dxa"/>
            <w:vAlign w:val="bottom"/>
          </w:tcPr>
          <w:p>
            <w:pPr>
              <w:jc w:val="center"/>
              <w:spacing w:after="0"/>
              <w:rPr>
                <w:sz w:val="20"/>
                <w:szCs w:val="20"/>
                <w:color w:val="auto"/>
              </w:rPr>
            </w:pPr>
            <w:r>
              <w:rPr>
                <w:rFonts w:ascii="Calibri" w:cs="Calibri" w:eastAsia="Calibri" w:hAnsi="Calibri"/>
                <w:sz w:val="16"/>
                <w:szCs w:val="16"/>
                <w:color w:val="auto"/>
                <w:w w:val="98"/>
              </w:rPr>
              <w:t>0.399</w:t>
            </w:r>
          </w:p>
        </w:tc>
        <w:tc>
          <w:tcPr>
            <w:tcW w:w="940" w:type="dxa"/>
            <w:vAlign w:val="bottom"/>
          </w:tcPr>
          <w:p>
            <w:pPr>
              <w:jc w:val="center"/>
              <w:spacing w:after="0"/>
              <w:rPr>
                <w:sz w:val="20"/>
                <w:szCs w:val="20"/>
                <w:color w:val="auto"/>
              </w:rPr>
            </w:pPr>
            <w:r>
              <w:rPr>
                <w:rFonts w:ascii="Calibri" w:cs="Calibri" w:eastAsia="Calibri" w:hAnsi="Calibri"/>
                <w:sz w:val="16"/>
                <w:szCs w:val="16"/>
                <w:color w:val="auto"/>
                <w:w w:val="98"/>
              </w:rPr>
              <w:t>0.148</w:t>
            </w:r>
          </w:p>
        </w:tc>
      </w:tr>
      <w:tr>
        <w:trPr>
          <w:trHeight w:val="207"/>
        </w:trPr>
        <w:tc>
          <w:tcPr>
            <w:tcW w:w="3340" w:type="dxa"/>
            <w:vAlign w:val="bottom"/>
          </w:tcPr>
          <w:p>
            <w:pPr>
              <w:spacing w:after="0"/>
              <w:rPr>
                <w:sz w:val="17"/>
                <w:szCs w:val="17"/>
                <w:color w:val="auto"/>
              </w:rPr>
            </w:pPr>
          </w:p>
        </w:tc>
        <w:tc>
          <w:tcPr>
            <w:tcW w:w="1320" w:type="dxa"/>
            <w:vAlign w:val="bottom"/>
          </w:tcPr>
          <w:p>
            <w:pPr>
              <w:jc w:val="center"/>
              <w:ind w:left="140"/>
              <w:spacing w:after="0"/>
              <w:rPr>
                <w:sz w:val="20"/>
                <w:szCs w:val="20"/>
                <w:color w:val="auto"/>
              </w:rPr>
            </w:pPr>
            <w:r>
              <w:rPr>
                <w:rFonts w:ascii="Calibri" w:cs="Calibri" w:eastAsia="Calibri" w:hAnsi="Calibri"/>
                <w:sz w:val="16"/>
                <w:szCs w:val="16"/>
                <w:color w:val="auto"/>
                <w:w w:val="99"/>
              </w:rPr>
              <w:t>(0.120)</w:t>
            </w:r>
          </w:p>
        </w:tc>
        <w:tc>
          <w:tcPr>
            <w:tcW w:w="1260" w:type="dxa"/>
            <w:vAlign w:val="bottom"/>
          </w:tcPr>
          <w:p>
            <w:pPr>
              <w:jc w:val="center"/>
              <w:ind w:left="40"/>
              <w:spacing w:after="0"/>
              <w:rPr>
                <w:sz w:val="20"/>
                <w:szCs w:val="20"/>
                <w:color w:val="auto"/>
              </w:rPr>
            </w:pPr>
            <w:r>
              <w:rPr>
                <w:rFonts w:ascii="Calibri" w:cs="Calibri" w:eastAsia="Calibri" w:hAnsi="Calibri"/>
                <w:sz w:val="16"/>
                <w:szCs w:val="16"/>
                <w:color w:val="auto"/>
                <w:w w:val="99"/>
              </w:rPr>
              <w:t>(12.898)</w:t>
            </w:r>
          </w:p>
        </w:tc>
        <w:tc>
          <w:tcPr>
            <w:tcW w:w="1040" w:type="dxa"/>
            <w:vAlign w:val="bottom"/>
          </w:tcPr>
          <w:p>
            <w:pPr>
              <w:jc w:val="center"/>
              <w:spacing w:after="0"/>
              <w:rPr>
                <w:sz w:val="20"/>
                <w:szCs w:val="20"/>
                <w:color w:val="auto"/>
              </w:rPr>
            </w:pPr>
            <w:r>
              <w:rPr>
                <w:rFonts w:ascii="Calibri" w:cs="Calibri" w:eastAsia="Calibri" w:hAnsi="Calibri"/>
                <w:sz w:val="16"/>
                <w:szCs w:val="16"/>
                <w:color w:val="auto"/>
                <w:w w:val="99"/>
              </w:rPr>
              <w:t>(0.860)</w:t>
            </w:r>
          </w:p>
        </w:tc>
        <w:tc>
          <w:tcPr>
            <w:tcW w:w="940" w:type="dxa"/>
            <w:vAlign w:val="bottom"/>
          </w:tcPr>
          <w:p>
            <w:pPr>
              <w:jc w:val="center"/>
              <w:spacing w:after="0"/>
              <w:rPr>
                <w:sz w:val="20"/>
                <w:szCs w:val="20"/>
                <w:color w:val="auto"/>
              </w:rPr>
            </w:pPr>
            <w:r>
              <w:rPr>
                <w:rFonts w:ascii="Calibri" w:cs="Calibri" w:eastAsia="Calibri" w:hAnsi="Calibri"/>
                <w:sz w:val="16"/>
                <w:szCs w:val="16"/>
                <w:color w:val="auto"/>
                <w:w w:val="99"/>
              </w:rPr>
              <w:t>(1.002)</w:t>
            </w:r>
          </w:p>
        </w:tc>
        <w:tc>
          <w:tcPr>
            <w:tcW w:w="1020" w:type="dxa"/>
            <w:vAlign w:val="bottom"/>
          </w:tcPr>
          <w:p>
            <w:pPr>
              <w:jc w:val="center"/>
              <w:spacing w:after="0"/>
              <w:rPr>
                <w:sz w:val="20"/>
                <w:szCs w:val="20"/>
                <w:color w:val="auto"/>
              </w:rPr>
            </w:pPr>
            <w:r>
              <w:rPr>
                <w:rFonts w:ascii="Calibri" w:cs="Calibri" w:eastAsia="Calibri" w:hAnsi="Calibri"/>
                <w:sz w:val="16"/>
                <w:szCs w:val="16"/>
                <w:color w:val="auto"/>
                <w:w w:val="99"/>
              </w:rPr>
              <w:t>(0.090)</w:t>
            </w:r>
          </w:p>
        </w:tc>
        <w:tc>
          <w:tcPr>
            <w:tcW w:w="1040" w:type="dxa"/>
            <w:vAlign w:val="bottom"/>
          </w:tcPr>
          <w:p>
            <w:pPr>
              <w:jc w:val="center"/>
              <w:spacing w:after="0"/>
              <w:rPr>
                <w:sz w:val="20"/>
                <w:szCs w:val="20"/>
                <w:color w:val="auto"/>
              </w:rPr>
            </w:pPr>
            <w:r>
              <w:rPr>
                <w:rFonts w:ascii="Calibri" w:cs="Calibri" w:eastAsia="Calibri" w:hAnsi="Calibri"/>
                <w:sz w:val="16"/>
                <w:szCs w:val="16"/>
                <w:color w:val="auto"/>
                <w:w w:val="99"/>
              </w:rPr>
              <w:t>(0.080)</w:t>
            </w:r>
          </w:p>
        </w:tc>
        <w:tc>
          <w:tcPr>
            <w:tcW w:w="980" w:type="dxa"/>
            <w:vAlign w:val="bottom"/>
          </w:tcPr>
          <w:p>
            <w:pPr>
              <w:jc w:val="center"/>
              <w:spacing w:after="0"/>
              <w:rPr>
                <w:sz w:val="20"/>
                <w:szCs w:val="20"/>
                <w:color w:val="auto"/>
              </w:rPr>
            </w:pPr>
            <w:r>
              <w:rPr>
                <w:rFonts w:ascii="Calibri" w:cs="Calibri" w:eastAsia="Calibri" w:hAnsi="Calibri"/>
                <w:sz w:val="16"/>
                <w:szCs w:val="16"/>
                <w:color w:val="auto"/>
                <w:w w:val="99"/>
              </w:rPr>
              <w:t>(0.992)</w:t>
            </w:r>
          </w:p>
        </w:tc>
        <w:tc>
          <w:tcPr>
            <w:tcW w:w="1080" w:type="dxa"/>
            <w:vAlign w:val="bottom"/>
          </w:tcPr>
          <w:p>
            <w:pPr>
              <w:jc w:val="center"/>
              <w:spacing w:after="0"/>
              <w:rPr>
                <w:sz w:val="20"/>
                <w:szCs w:val="20"/>
                <w:color w:val="auto"/>
              </w:rPr>
            </w:pPr>
            <w:r>
              <w:rPr>
                <w:rFonts w:ascii="Calibri" w:cs="Calibri" w:eastAsia="Calibri" w:hAnsi="Calibri"/>
                <w:sz w:val="16"/>
                <w:szCs w:val="16"/>
                <w:color w:val="auto"/>
                <w:w w:val="99"/>
              </w:rPr>
              <w:t>(0.682)</w:t>
            </w:r>
          </w:p>
        </w:tc>
        <w:tc>
          <w:tcPr>
            <w:tcW w:w="940" w:type="dxa"/>
            <w:vAlign w:val="bottom"/>
          </w:tcPr>
          <w:p>
            <w:pPr>
              <w:jc w:val="center"/>
              <w:spacing w:after="0"/>
              <w:rPr>
                <w:sz w:val="20"/>
                <w:szCs w:val="20"/>
                <w:color w:val="auto"/>
              </w:rPr>
            </w:pPr>
            <w:r>
              <w:rPr>
                <w:rFonts w:ascii="Calibri" w:cs="Calibri" w:eastAsia="Calibri" w:hAnsi="Calibri"/>
                <w:sz w:val="16"/>
                <w:szCs w:val="16"/>
                <w:color w:val="auto"/>
                <w:w w:val="99"/>
              </w:rPr>
              <w:t>(0.090)</w:t>
            </w:r>
          </w:p>
        </w:tc>
      </w:tr>
      <w:tr>
        <w:trPr>
          <w:trHeight w:val="206"/>
        </w:trPr>
        <w:tc>
          <w:tcPr>
            <w:tcW w:w="3340" w:type="dxa"/>
            <w:vAlign w:val="bottom"/>
          </w:tcPr>
          <w:p>
            <w:pPr>
              <w:ind w:left="20"/>
              <w:spacing w:after="0"/>
              <w:rPr>
                <w:sz w:val="20"/>
                <w:szCs w:val="20"/>
                <w:color w:val="auto"/>
              </w:rPr>
            </w:pPr>
            <w:r>
              <w:rPr>
                <w:rFonts w:ascii="Calibri" w:cs="Calibri" w:eastAsia="Calibri" w:hAnsi="Calibri"/>
                <w:sz w:val="16"/>
                <w:szCs w:val="16"/>
                <w:color w:val="auto"/>
              </w:rPr>
              <w:t>Constant</w:t>
            </w:r>
          </w:p>
        </w:tc>
        <w:tc>
          <w:tcPr>
            <w:tcW w:w="1320" w:type="dxa"/>
            <w:vAlign w:val="bottom"/>
          </w:tcPr>
          <w:p>
            <w:pPr>
              <w:jc w:val="center"/>
              <w:ind w:left="160"/>
              <w:spacing w:after="0"/>
              <w:rPr>
                <w:sz w:val="20"/>
                <w:szCs w:val="20"/>
                <w:color w:val="auto"/>
              </w:rPr>
            </w:pPr>
            <w:r>
              <w:rPr>
                <w:rFonts w:ascii="Calibri" w:cs="Calibri" w:eastAsia="Calibri" w:hAnsi="Calibri"/>
                <w:sz w:val="16"/>
                <w:szCs w:val="16"/>
                <w:color w:val="auto"/>
                <w:w w:val="99"/>
              </w:rPr>
              <w:t>9.866***</w:t>
            </w:r>
          </w:p>
        </w:tc>
        <w:tc>
          <w:tcPr>
            <w:tcW w:w="1260" w:type="dxa"/>
            <w:vAlign w:val="bottom"/>
          </w:tcPr>
          <w:p>
            <w:pPr>
              <w:jc w:val="center"/>
              <w:ind w:left="60"/>
              <w:spacing w:after="0"/>
              <w:rPr>
                <w:sz w:val="20"/>
                <w:szCs w:val="20"/>
                <w:color w:val="auto"/>
              </w:rPr>
            </w:pPr>
            <w:r>
              <w:rPr>
                <w:rFonts w:ascii="Calibri" w:cs="Calibri" w:eastAsia="Calibri" w:hAnsi="Calibri"/>
                <w:sz w:val="16"/>
                <w:szCs w:val="16"/>
                <w:color w:val="auto"/>
                <w:w w:val="99"/>
              </w:rPr>
              <w:t>84.747***</w:t>
            </w:r>
          </w:p>
        </w:tc>
        <w:tc>
          <w:tcPr>
            <w:tcW w:w="1040" w:type="dxa"/>
            <w:vAlign w:val="bottom"/>
          </w:tcPr>
          <w:p>
            <w:pPr>
              <w:jc w:val="center"/>
              <w:spacing w:after="0"/>
              <w:rPr>
                <w:sz w:val="20"/>
                <w:szCs w:val="20"/>
                <w:color w:val="auto"/>
              </w:rPr>
            </w:pPr>
            <w:r>
              <w:rPr>
                <w:rFonts w:ascii="Calibri" w:cs="Calibri" w:eastAsia="Calibri" w:hAnsi="Calibri"/>
                <w:sz w:val="16"/>
                <w:szCs w:val="16"/>
                <w:color w:val="auto"/>
                <w:w w:val="99"/>
              </w:rPr>
              <w:t>8.551***</w:t>
            </w:r>
          </w:p>
        </w:tc>
        <w:tc>
          <w:tcPr>
            <w:tcW w:w="940" w:type="dxa"/>
            <w:vAlign w:val="bottom"/>
          </w:tcPr>
          <w:p>
            <w:pPr>
              <w:jc w:val="center"/>
              <w:spacing w:after="0"/>
              <w:rPr>
                <w:sz w:val="20"/>
                <w:szCs w:val="20"/>
                <w:color w:val="auto"/>
              </w:rPr>
            </w:pPr>
            <w:r>
              <w:rPr>
                <w:rFonts w:ascii="Calibri" w:cs="Calibri" w:eastAsia="Calibri" w:hAnsi="Calibri"/>
                <w:sz w:val="16"/>
                <w:szCs w:val="16"/>
                <w:color w:val="auto"/>
                <w:w w:val="99"/>
              </w:rPr>
              <w:t>2.224***</w:t>
            </w:r>
          </w:p>
        </w:tc>
        <w:tc>
          <w:tcPr>
            <w:tcW w:w="1020" w:type="dxa"/>
            <w:vAlign w:val="bottom"/>
          </w:tcPr>
          <w:p>
            <w:pPr>
              <w:jc w:val="center"/>
              <w:spacing w:after="0"/>
              <w:rPr>
                <w:sz w:val="20"/>
                <w:szCs w:val="20"/>
                <w:color w:val="auto"/>
              </w:rPr>
            </w:pPr>
            <w:r>
              <w:rPr>
                <w:rFonts w:ascii="Calibri" w:cs="Calibri" w:eastAsia="Calibri" w:hAnsi="Calibri"/>
                <w:sz w:val="16"/>
                <w:szCs w:val="16"/>
                <w:color w:val="auto"/>
                <w:w w:val="95"/>
              </w:rPr>
              <w:t>0.184***</w:t>
            </w:r>
          </w:p>
        </w:tc>
        <w:tc>
          <w:tcPr>
            <w:tcW w:w="1040" w:type="dxa"/>
            <w:vAlign w:val="bottom"/>
          </w:tcPr>
          <w:p>
            <w:pPr>
              <w:jc w:val="center"/>
              <w:spacing w:after="0"/>
              <w:rPr>
                <w:sz w:val="20"/>
                <w:szCs w:val="20"/>
                <w:color w:val="auto"/>
              </w:rPr>
            </w:pPr>
            <w:r>
              <w:rPr>
                <w:rFonts w:ascii="Calibri" w:cs="Calibri" w:eastAsia="Calibri" w:hAnsi="Calibri"/>
                <w:sz w:val="16"/>
                <w:szCs w:val="16"/>
                <w:color w:val="auto"/>
                <w:w w:val="99"/>
              </w:rPr>
              <w:t>0.122**</w:t>
            </w:r>
          </w:p>
        </w:tc>
        <w:tc>
          <w:tcPr>
            <w:tcW w:w="980" w:type="dxa"/>
            <w:vAlign w:val="bottom"/>
          </w:tcPr>
          <w:p>
            <w:pPr>
              <w:jc w:val="center"/>
              <w:spacing w:after="0"/>
              <w:rPr>
                <w:sz w:val="20"/>
                <w:szCs w:val="20"/>
                <w:color w:val="auto"/>
              </w:rPr>
            </w:pPr>
            <w:r>
              <w:rPr>
                <w:rFonts w:ascii="Calibri" w:cs="Calibri" w:eastAsia="Calibri" w:hAnsi="Calibri"/>
                <w:sz w:val="16"/>
                <w:szCs w:val="16"/>
                <w:color w:val="auto"/>
                <w:w w:val="99"/>
              </w:rPr>
              <w:t>25.284***</w:t>
            </w:r>
          </w:p>
        </w:tc>
        <w:tc>
          <w:tcPr>
            <w:tcW w:w="1080" w:type="dxa"/>
            <w:vAlign w:val="bottom"/>
          </w:tcPr>
          <w:p>
            <w:pPr>
              <w:jc w:val="center"/>
              <w:spacing w:after="0"/>
              <w:rPr>
                <w:sz w:val="20"/>
                <w:szCs w:val="20"/>
                <w:color w:val="auto"/>
              </w:rPr>
            </w:pPr>
            <w:r>
              <w:rPr>
                <w:rFonts w:ascii="Calibri" w:cs="Calibri" w:eastAsia="Calibri" w:hAnsi="Calibri"/>
                <w:sz w:val="16"/>
                <w:szCs w:val="16"/>
                <w:color w:val="auto"/>
                <w:w w:val="99"/>
              </w:rPr>
              <w:t>2.394***</w:t>
            </w:r>
          </w:p>
        </w:tc>
        <w:tc>
          <w:tcPr>
            <w:tcW w:w="940" w:type="dxa"/>
            <w:vAlign w:val="bottom"/>
          </w:tcPr>
          <w:p>
            <w:pPr>
              <w:jc w:val="center"/>
              <w:spacing w:after="0"/>
              <w:rPr>
                <w:sz w:val="20"/>
                <w:szCs w:val="20"/>
                <w:color w:val="auto"/>
              </w:rPr>
            </w:pPr>
            <w:r>
              <w:rPr>
                <w:rFonts w:ascii="Calibri" w:cs="Calibri" w:eastAsia="Calibri" w:hAnsi="Calibri"/>
                <w:sz w:val="16"/>
                <w:szCs w:val="16"/>
                <w:color w:val="auto"/>
                <w:w w:val="99"/>
              </w:rPr>
              <w:t>0.694***</w:t>
            </w:r>
          </w:p>
        </w:tc>
      </w:tr>
      <w:tr>
        <w:trPr>
          <w:trHeight w:val="209"/>
        </w:trPr>
        <w:tc>
          <w:tcPr>
            <w:tcW w:w="3340" w:type="dxa"/>
            <w:vAlign w:val="bottom"/>
            <w:tcBorders>
              <w:bottom w:val="single" w:sz="8" w:color="auto"/>
            </w:tcBorders>
          </w:tcPr>
          <w:p>
            <w:pPr>
              <w:spacing w:after="0"/>
              <w:rPr>
                <w:sz w:val="18"/>
                <w:szCs w:val="18"/>
                <w:color w:val="auto"/>
              </w:rPr>
            </w:pPr>
          </w:p>
        </w:tc>
        <w:tc>
          <w:tcPr>
            <w:tcW w:w="1320" w:type="dxa"/>
            <w:vAlign w:val="bottom"/>
            <w:tcBorders>
              <w:bottom w:val="single" w:sz="8" w:color="auto"/>
            </w:tcBorders>
          </w:tcPr>
          <w:p>
            <w:pPr>
              <w:jc w:val="center"/>
              <w:ind w:left="140"/>
              <w:spacing w:after="0"/>
              <w:rPr>
                <w:sz w:val="20"/>
                <w:szCs w:val="20"/>
                <w:color w:val="auto"/>
              </w:rPr>
            </w:pPr>
            <w:r>
              <w:rPr>
                <w:rFonts w:ascii="Calibri" w:cs="Calibri" w:eastAsia="Calibri" w:hAnsi="Calibri"/>
                <w:sz w:val="16"/>
                <w:szCs w:val="16"/>
                <w:color w:val="auto"/>
                <w:w w:val="99"/>
              </w:rPr>
              <w:t>(0.089)</w:t>
            </w:r>
          </w:p>
        </w:tc>
        <w:tc>
          <w:tcPr>
            <w:tcW w:w="1260" w:type="dxa"/>
            <w:vAlign w:val="bottom"/>
            <w:tcBorders>
              <w:bottom w:val="single" w:sz="8" w:color="auto"/>
            </w:tcBorders>
          </w:tcPr>
          <w:p>
            <w:pPr>
              <w:jc w:val="center"/>
              <w:ind w:left="40"/>
              <w:spacing w:after="0"/>
              <w:rPr>
                <w:sz w:val="20"/>
                <w:szCs w:val="20"/>
                <w:color w:val="auto"/>
              </w:rPr>
            </w:pPr>
            <w:r>
              <w:rPr>
                <w:rFonts w:ascii="Calibri" w:cs="Calibri" w:eastAsia="Calibri" w:hAnsi="Calibri"/>
                <w:sz w:val="16"/>
                <w:szCs w:val="16"/>
                <w:color w:val="auto"/>
                <w:w w:val="99"/>
              </w:rPr>
              <w:t>(7.900)</w:t>
            </w:r>
          </w:p>
        </w:tc>
        <w:tc>
          <w:tcPr>
            <w:tcW w:w="1040" w:type="dxa"/>
            <w:vAlign w:val="bottom"/>
            <w:tcBorders>
              <w:bottom w:val="single" w:sz="8" w:color="auto"/>
            </w:tcBorders>
          </w:tcPr>
          <w:p>
            <w:pPr>
              <w:jc w:val="center"/>
              <w:spacing w:after="0"/>
              <w:rPr>
                <w:sz w:val="20"/>
                <w:szCs w:val="20"/>
                <w:color w:val="auto"/>
              </w:rPr>
            </w:pPr>
            <w:r>
              <w:rPr>
                <w:rFonts w:ascii="Calibri" w:cs="Calibri" w:eastAsia="Calibri" w:hAnsi="Calibri"/>
                <w:sz w:val="16"/>
                <w:szCs w:val="16"/>
                <w:color w:val="auto"/>
                <w:w w:val="99"/>
              </w:rPr>
              <w:t>(0.487)</w:t>
            </w:r>
          </w:p>
        </w:tc>
        <w:tc>
          <w:tcPr>
            <w:tcW w:w="940" w:type="dxa"/>
            <w:vAlign w:val="bottom"/>
            <w:tcBorders>
              <w:bottom w:val="single" w:sz="8" w:color="auto"/>
            </w:tcBorders>
          </w:tcPr>
          <w:p>
            <w:pPr>
              <w:jc w:val="center"/>
              <w:spacing w:after="0"/>
              <w:rPr>
                <w:sz w:val="20"/>
                <w:szCs w:val="20"/>
                <w:color w:val="auto"/>
              </w:rPr>
            </w:pPr>
            <w:r>
              <w:rPr>
                <w:rFonts w:ascii="Calibri" w:cs="Calibri" w:eastAsia="Calibri" w:hAnsi="Calibri"/>
                <w:sz w:val="16"/>
                <w:szCs w:val="16"/>
                <w:color w:val="auto"/>
                <w:w w:val="99"/>
              </w:rPr>
              <w:t>(0.574)</w:t>
            </w:r>
          </w:p>
        </w:tc>
        <w:tc>
          <w:tcPr>
            <w:tcW w:w="1020" w:type="dxa"/>
            <w:vAlign w:val="bottom"/>
            <w:tcBorders>
              <w:bottom w:val="single" w:sz="8" w:color="auto"/>
            </w:tcBorders>
          </w:tcPr>
          <w:p>
            <w:pPr>
              <w:jc w:val="center"/>
              <w:spacing w:after="0"/>
              <w:rPr>
                <w:sz w:val="20"/>
                <w:szCs w:val="20"/>
                <w:color w:val="auto"/>
              </w:rPr>
            </w:pPr>
            <w:r>
              <w:rPr>
                <w:rFonts w:ascii="Calibri" w:cs="Calibri" w:eastAsia="Calibri" w:hAnsi="Calibri"/>
                <w:sz w:val="16"/>
                <w:szCs w:val="16"/>
                <w:color w:val="auto"/>
                <w:w w:val="99"/>
              </w:rPr>
              <w:t>(0.056)</w:t>
            </w:r>
          </w:p>
        </w:tc>
        <w:tc>
          <w:tcPr>
            <w:tcW w:w="1040" w:type="dxa"/>
            <w:vAlign w:val="bottom"/>
            <w:tcBorders>
              <w:bottom w:val="single" w:sz="8" w:color="auto"/>
            </w:tcBorders>
          </w:tcPr>
          <w:p>
            <w:pPr>
              <w:jc w:val="center"/>
              <w:spacing w:after="0"/>
              <w:rPr>
                <w:sz w:val="20"/>
                <w:szCs w:val="20"/>
                <w:color w:val="auto"/>
              </w:rPr>
            </w:pPr>
            <w:r>
              <w:rPr>
                <w:rFonts w:ascii="Calibri" w:cs="Calibri" w:eastAsia="Calibri" w:hAnsi="Calibri"/>
                <w:sz w:val="16"/>
                <w:szCs w:val="16"/>
                <w:color w:val="auto"/>
                <w:w w:val="99"/>
              </w:rPr>
              <w:t>(0.048)</w:t>
            </w:r>
          </w:p>
        </w:tc>
        <w:tc>
          <w:tcPr>
            <w:tcW w:w="980" w:type="dxa"/>
            <w:vAlign w:val="bottom"/>
            <w:tcBorders>
              <w:bottom w:val="single" w:sz="8" w:color="auto"/>
            </w:tcBorders>
          </w:tcPr>
          <w:p>
            <w:pPr>
              <w:jc w:val="center"/>
              <w:spacing w:after="0"/>
              <w:rPr>
                <w:sz w:val="20"/>
                <w:szCs w:val="20"/>
                <w:color w:val="auto"/>
              </w:rPr>
            </w:pPr>
            <w:r>
              <w:rPr>
                <w:rFonts w:ascii="Calibri" w:cs="Calibri" w:eastAsia="Calibri" w:hAnsi="Calibri"/>
                <w:sz w:val="16"/>
                <w:szCs w:val="16"/>
                <w:color w:val="auto"/>
                <w:w w:val="99"/>
              </w:rPr>
              <w:t>(0.657)</w:t>
            </w:r>
          </w:p>
        </w:tc>
        <w:tc>
          <w:tcPr>
            <w:tcW w:w="1080" w:type="dxa"/>
            <w:vAlign w:val="bottom"/>
            <w:tcBorders>
              <w:bottom w:val="single" w:sz="8" w:color="auto"/>
            </w:tcBorders>
          </w:tcPr>
          <w:p>
            <w:pPr>
              <w:jc w:val="center"/>
              <w:spacing w:after="0"/>
              <w:rPr>
                <w:sz w:val="20"/>
                <w:szCs w:val="20"/>
                <w:color w:val="auto"/>
              </w:rPr>
            </w:pPr>
            <w:r>
              <w:rPr>
                <w:rFonts w:ascii="Calibri" w:cs="Calibri" w:eastAsia="Calibri" w:hAnsi="Calibri"/>
                <w:sz w:val="16"/>
                <w:szCs w:val="16"/>
                <w:color w:val="auto"/>
                <w:w w:val="99"/>
              </w:rPr>
              <w:t>(0.444)</w:t>
            </w:r>
          </w:p>
        </w:tc>
        <w:tc>
          <w:tcPr>
            <w:tcW w:w="940" w:type="dxa"/>
            <w:vAlign w:val="bottom"/>
            <w:tcBorders>
              <w:bottom w:val="single" w:sz="8" w:color="auto"/>
            </w:tcBorders>
          </w:tcPr>
          <w:p>
            <w:pPr>
              <w:jc w:val="center"/>
              <w:spacing w:after="0"/>
              <w:rPr>
                <w:sz w:val="20"/>
                <w:szCs w:val="20"/>
                <w:color w:val="auto"/>
              </w:rPr>
            </w:pPr>
            <w:r>
              <w:rPr>
                <w:rFonts w:ascii="Calibri" w:cs="Calibri" w:eastAsia="Calibri" w:hAnsi="Calibri"/>
                <w:sz w:val="16"/>
                <w:szCs w:val="16"/>
                <w:color w:val="auto"/>
                <w:w w:val="99"/>
              </w:rPr>
              <w:t>(0.067)</w:t>
            </w:r>
          </w:p>
        </w:tc>
      </w:tr>
      <w:tr>
        <w:trPr>
          <w:trHeight w:val="244"/>
        </w:trPr>
        <w:tc>
          <w:tcPr>
            <w:tcW w:w="3340" w:type="dxa"/>
            <w:vAlign w:val="bottom"/>
          </w:tcPr>
          <w:p>
            <w:pPr>
              <w:ind w:left="20"/>
              <w:spacing w:after="0"/>
              <w:rPr>
                <w:sz w:val="20"/>
                <w:szCs w:val="20"/>
                <w:color w:val="auto"/>
              </w:rPr>
            </w:pPr>
            <w:r>
              <w:rPr>
                <w:rFonts w:ascii="Calibri" w:cs="Calibri" w:eastAsia="Calibri" w:hAnsi="Calibri"/>
                <w:sz w:val="16"/>
                <w:szCs w:val="16"/>
                <w:color w:val="auto"/>
              </w:rPr>
              <w:t>p value for the difference between (b) and (c)</w:t>
            </w:r>
          </w:p>
        </w:tc>
        <w:tc>
          <w:tcPr>
            <w:tcW w:w="1320" w:type="dxa"/>
            <w:vAlign w:val="bottom"/>
          </w:tcPr>
          <w:p>
            <w:pPr>
              <w:jc w:val="center"/>
              <w:ind w:left="160"/>
              <w:spacing w:after="0"/>
              <w:rPr>
                <w:sz w:val="20"/>
                <w:szCs w:val="20"/>
                <w:color w:val="auto"/>
              </w:rPr>
            </w:pPr>
            <w:r>
              <w:rPr>
                <w:rFonts w:ascii="Calibri" w:cs="Calibri" w:eastAsia="Calibri" w:hAnsi="Calibri"/>
                <w:sz w:val="16"/>
                <w:szCs w:val="16"/>
                <w:color w:val="auto"/>
                <w:w w:val="98"/>
              </w:rPr>
              <w:t>0.42</w:t>
            </w:r>
          </w:p>
        </w:tc>
        <w:tc>
          <w:tcPr>
            <w:tcW w:w="1260" w:type="dxa"/>
            <w:vAlign w:val="bottom"/>
          </w:tcPr>
          <w:p>
            <w:pPr>
              <w:jc w:val="center"/>
              <w:ind w:left="60"/>
              <w:spacing w:after="0"/>
              <w:rPr>
                <w:sz w:val="20"/>
                <w:szCs w:val="20"/>
                <w:color w:val="auto"/>
              </w:rPr>
            </w:pPr>
            <w:r>
              <w:rPr>
                <w:rFonts w:ascii="Calibri" w:cs="Calibri" w:eastAsia="Calibri" w:hAnsi="Calibri"/>
                <w:sz w:val="16"/>
                <w:szCs w:val="16"/>
                <w:color w:val="auto"/>
                <w:w w:val="99"/>
              </w:rPr>
              <w:t>&lt;0.01***</w:t>
            </w:r>
          </w:p>
        </w:tc>
        <w:tc>
          <w:tcPr>
            <w:tcW w:w="1040" w:type="dxa"/>
            <w:vAlign w:val="bottom"/>
          </w:tcPr>
          <w:p>
            <w:pPr>
              <w:jc w:val="center"/>
              <w:spacing w:after="0"/>
              <w:rPr>
                <w:sz w:val="20"/>
                <w:szCs w:val="20"/>
                <w:color w:val="auto"/>
              </w:rPr>
            </w:pPr>
            <w:r>
              <w:rPr>
                <w:rFonts w:ascii="Calibri" w:cs="Calibri" w:eastAsia="Calibri" w:hAnsi="Calibri"/>
                <w:sz w:val="16"/>
                <w:szCs w:val="16"/>
                <w:color w:val="auto"/>
                <w:w w:val="98"/>
              </w:rPr>
              <w:t>0.06*</w:t>
            </w:r>
          </w:p>
        </w:tc>
        <w:tc>
          <w:tcPr>
            <w:tcW w:w="940" w:type="dxa"/>
            <w:vAlign w:val="bottom"/>
          </w:tcPr>
          <w:p>
            <w:pPr>
              <w:jc w:val="center"/>
              <w:spacing w:after="0"/>
              <w:rPr>
                <w:sz w:val="20"/>
                <w:szCs w:val="20"/>
                <w:color w:val="auto"/>
              </w:rPr>
            </w:pPr>
            <w:r>
              <w:rPr>
                <w:rFonts w:ascii="Calibri" w:cs="Calibri" w:eastAsia="Calibri" w:hAnsi="Calibri"/>
                <w:sz w:val="16"/>
                <w:szCs w:val="16"/>
                <w:color w:val="auto"/>
                <w:w w:val="99"/>
              </w:rPr>
              <w:t>&lt;0.01***</w:t>
            </w:r>
          </w:p>
        </w:tc>
        <w:tc>
          <w:tcPr>
            <w:tcW w:w="1020" w:type="dxa"/>
            <w:vAlign w:val="bottom"/>
          </w:tcPr>
          <w:p>
            <w:pPr>
              <w:jc w:val="center"/>
              <w:spacing w:after="0"/>
              <w:rPr>
                <w:sz w:val="20"/>
                <w:szCs w:val="20"/>
                <w:color w:val="auto"/>
              </w:rPr>
            </w:pPr>
            <w:r>
              <w:rPr>
                <w:rFonts w:ascii="Calibri" w:cs="Calibri" w:eastAsia="Calibri" w:hAnsi="Calibri"/>
                <w:sz w:val="16"/>
                <w:szCs w:val="16"/>
                <w:color w:val="auto"/>
                <w:w w:val="99"/>
              </w:rPr>
              <w:t>0.01**</w:t>
            </w:r>
          </w:p>
        </w:tc>
        <w:tc>
          <w:tcPr>
            <w:tcW w:w="1040" w:type="dxa"/>
            <w:vAlign w:val="bottom"/>
          </w:tcPr>
          <w:p>
            <w:pPr>
              <w:jc w:val="center"/>
              <w:spacing w:after="0"/>
              <w:rPr>
                <w:sz w:val="20"/>
                <w:szCs w:val="20"/>
                <w:color w:val="auto"/>
              </w:rPr>
            </w:pPr>
            <w:r>
              <w:rPr>
                <w:rFonts w:ascii="Calibri" w:cs="Calibri" w:eastAsia="Calibri" w:hAnsi="Calibri"/>
                <w:sz w:val="16"/>
                <w:szCs w:val="16"/>
                <w:color w:val="auto"/>
                <w:w w:val="99"/>
              </w:rPr>
              <w:t>0.01**</w:t>
            </w:r>
          </w:p>
        </w:tc>
        <w:tc>
          <w:tcPr>
            <w:tcW w:w="980" w:type="dxa"/>
            <w:vAlign w:val="bottom"/>
          </w:tcPr>
          <w:p>
            <w:pPr>
              <w:jc w:val="center"/>
              <w:spacing w:after="0"/>
              <w:rPr>
                <w:sz w:val="20"/>
                <w:szCs w:val="20"/>
                <w:color w:val="auto"/>
              </w:rPr>
            </w:pPr>
            <w:r>
              <w:rPr>
                <w:rFonts w:ascii="Calibri" w:cs="Calibri" w:eastAsia="Calibri" w:hAnsi="Calibri"/>
                <w:sz w:val="16"/>
                <w:szCs w:val="16"/>
                <w:color w:val="auto"/>
                <w:w w:val="98"/>
              </w:rPr>
              <w:t>0.09*</w:t>
            </w:r>
          </w:p>
        </w:tc>
        <w:tc>
          <w:tcPr>
            <w:tcW w:w="1080" w:type="dxa"/>
            <w:vAlign w:val="bottom"/>
          </w:tcPr>
          <w:p>
            <w:pPr>
              <w:jc w:val="center"/>
              <w:spacing w:after="0"/>
              <w:rPr>
                <w:sz w:val="20"/>
                <w:szCs w:val="20"/>
                <w:color w:val="auto"/>
              </w:rPr>
            </w:pPr>
            <w:r>
              <w:rPr>
                <w:rFonts w:ascii="Calibri" w:cs="Calibri" w:eastAsia="Calibri" w:hAnsi="Calibri"/>
                <w:sz w:val="16"/>
                <w:szCs w:val="16"/>
                <w:color w:val="auto"/>
                <w:w w:val="98"/>
              </w:rPr>
              <w:t>0.76</w:t>
            </w:r>
          </w:p>
        </w:tc>
        <w:tc>
          <w:tcPr>
            <w:tcW w:w="940" w:type="dxa"/>
            <w:vAlign w:val="bottom"/>
          </w:tcPr>
          <w:p>
            <w:pPr>
              <w:jc w:val="center"/>
              <w:spacing w:after="0"/>
              <w:rPr>
                <w:sz w:val="20"/>
                <w:szCs w:val="20"/>
                <w:color w:val="auto"/>
              </w:rPr>
            </w:pPr>
            <w:r>
              <w:rPr>
                <w:rFonts w:ascii="Calibri" w:cs="Calibri" w:eastAsia="Calibri" w:hAnsi="Calibri"/>
                <w:sz w:val="16"/>
                <w:szCs w:val="16"/>
                <w:color w:val="auto"/>
                <w:w w:val="98"/>
              </w:rPr>
              <w:t>0.14</w:t>
            </w:r>
          </w:p>
        </w:tc>
      </w:tr>
      <w:tr>
        <w:trPr>
          <w:trHeight w:val="78"/>
        </w:trPr>
        <w:tc>
          <w:tcPr>
            <w:tcW w:w="3340" w:type="dxa"/>
            <w:vAlign w:val="bottom"/>
            <w:tcBorders>
              <w:bottom w:val="single" w:sz="8" w:color="auto"/>
            </w:tcBorders>
          </w:tcPr>
          <w:p>
            <w:pPr>
              <w:spacing w:after="0"/>
              <w:rPr>
                <w:sz w:val="6"/>
                <w:szCs w:val="6"/>
                <w:color w:val="auto"/>
              </w:rPr>
            </w:pPr>
          </w:p>
        </w:tc>
        <w:tc>
          <w:tcPr>
            <w:tcW w:w="1320" w:type="dxa"/>
            <w:vAlign w:val="bottom"/>
            <w:tcBorders>
              <w:bottom w:val="single" w:sz="8" w:color="auto"/>
            </w:tcBorders>
          </w:tcPr>
          <w:p>
            <w:pPr>
              <w:spacing w:after="0"/>
              <w:rPr>
                <w:sz w:val="6"/>
                <w:szCs w:val="6"/>
                <w:color w:val="auto"/>
              </w:rPr>
            </w:pPr>
          </w:p>
        </w:tc>
        <w:tc>
          <w:tcPr>
            <w:tcW w:w="1260" w:type="dxa"/>
            <w:vAlign w:val="bottom"/>
            <w:tcBorders>
              <w:bottom w:val="single" w:sz="8" w:color="auto"/>
            </w:tcBorders>
          </w:tcPr>
          <w:p>
            <w:pPr>
              <w:spacing w:after="0"/>
              <w:rPr>
                <w:sz w:val="6"/>
                <w:szCs w:val="6"/>
                <w:color w:val="auto"/>
              </w:rPr>
            </w:pPr>
          </w:p>
        </w:tc>
        <w:tc>
          <w:tcPr>
            <w:tcW w:w="1040" w:type="dxa"/>
            <w:vAlign w:val="bottom"/>
            <w:tcBorders>
              <w:bottom w:val="single" w:sz="8" w:color="auto"/>
            </w:tcBorders>
          </w:tcPr>
          <w:p>
            <w:pPr>
              <w:spacing w:after="0"/>
              <w:rPr>
                <w:sz w:val="6"/>
                <w:szCs w:val="6"/>
                <w:color w:val="auto"/>
              </w:rPr>
            </w:pPr>
          </w:p>
        </w:tc>
        <w:tc>
          <w:tcPr>
            <w:tcW w:w="940" w:type="dxa"/>
            <w:vAlign w:val="bottom"/>
            <w:tcBorders>
              <w:bottom w:val="single" w:sz="8" w:color="auto"/>
            </w:tcBorders>
          </w:tcPr>
          <w:p>
            <w:pPr>
              <w:spacing w:after="0"/>
              <w:rPr>
                <w:sz w:val="6"/>
                <w:szCs w:val="6"/>
                <w:color w:val="auto"/>
              </w:rPr>
            </w:pPr>
          </w:p>
        </w:tc>
        <w:tc>
          <w:tcPr>
            <w:tcW w:w="1020" w:type="dxa"/>
            <w:vAlign w:val="bottom"/>
            <w:tcBorders>
              <w:bottom w:val="single" w:sz="8" w:color="auto"/>
            </w:tcBorders>
          </w:tcPr>
          <w:p>
            <w:pPr>
              <w:spacing w:after="0"/>
              <w:rPr>
                <w:sz w:val="6"/>
                <w:szCs w:val="6"/>
                <w:color w:val="auto"/>
              </w:rPr>
            </w:pPr>
          </w:p>
        </w:tc>
        <w:tc>
          <w:tcPr>
            <w:tcW w:w="1040" w:type="dxa"/>
            <w:vAlign w:val="bottom"/>
            <w:tcBorders>
              <w:bottom w:val="single" w:sz="8" w:color="auto"/>
            </w:tcBorders>
          </w:tcPr>
          <w:p>
            <w:pPr>
              <w:spacing w:after="0"/>
              <w:rPr>
                <w:sz w:val="6"/>
                <w:szCs w:val="6"/>
                <w:color w:val="auto"/>
              </w:rPr>
            </w:pPr>
          </w:p>
        </w:tc>
        <w:tc>
          <w:tcPr>
            <w:tcW w:w="980" w:type="dxa"/>
            <w:vAlign w:val="bottom"/>
            <w:tcBorders>
              <w:bottom w:val="single" w:sz="8" w:color="auto"/>
            </w:tcBorders>
          </w:tcPr>
          <w:p>
            <w:pPr>
              <w:spacing w:after="0"/>
              <w:rPr>
                <w:sz w:val="6"/>
                <w:szCs w:val="6"/>
                <w:color w:val="auto"/>
              </w:rPr>
            </w:pPr>
          </w:p>
        </w:tc>
        <w:tc>
          <w:tcPr>
            <w:tcW w:w="1080" w:type="dxa"/>
            <w:vAlign w:val="bottom"/>
            <w:tcBorders>
              <w:bottom w:val="single" w:sz="8" w:color="auto"/>
            </w:tcBorders>
          </w:tcPr>
          <w:p>
            <w:pPr>
              <w:spacing w:after="0"/>
              <w:rPr>
                <w:sz w:val="6"/>
                <w:szCs w:val="6"/>
                <w:color w:val="auto"/>
              </w:rPr>
            </w:pPr>
          </w:p>
        </w:tc>
        <w:tc>
          <w:tcPr>
            <w:tcW w:w="940" w:type="dxa"/>
            <w:vAlign w:val="bottom"/>
            <w:tcBorders>
              <w:bottom w:val="single" w:sz="8" w:color="auto"/>
            </w:tcBorders>
          </w:tcPr>
          <w:p>
            <w:pPr>
              <w:spacing w:after="0"/>
              <w:rPr>
                <w:sz w:val="6"/>
                <w:szCs w:val="6"/>
                <w:color w:val="auto"/>
              </w:rPr>
            </w:pPr>
          </w:p>
        </w:tc>
      </w:tr>
      <w:tr>
        <w:trPr>
          <w:trHeight w:val="181"/>
        </w:trPr>
        <w:tc>
          <w:tcPr>
            <w:tcW w:w="3340" w:type="dxa"/>
            <w:vAlign w:val="bottom"/>
          </w:tcPr>
          <w:p>
            <w:pPr>
              <w:ind w:left="20"/>
              <w:spacing w:after="0" w:line="181" w:lineRule="exact"/>
              <w:rPr>
                <w:sz w:val="20"/>
                <w:szCs w:val="20"/>
                <w:color w:val="auto"/>
              </w:rPr>
            </w:pPr>
            <w:r>
              <w:rPr>
                <w:rFonts w:ascii="Calibri" w:cs="Calibri" w:eastAsia="Calibri" w:hAnsi="Calibri"/>
                <w:sz w:val="16"/>
                <w:szCs w:val="16"/>
                <w:color w:val="auto"/>
              </w:rPr>
              <w:t>Controls</w:t>
            </w:r>
          </w:p>
        </w:tc>
        <w:tc>
          <w:tcPr>
            <w:tcW w:w="1320" w:type="dxa"/>
            <w:vAlign w:val="bottom"/>
          </w:tcPr>
          <w:p>
            <w:pPr>
              <w:jc w:val="center"/>
              <w:ind w:left="160"/>
              <w:spacing w:after="0" w:line="181" w:lineRule="exact"/>
              <w:rPr>
                <w:sz w:val="20"/>
                <w:szCs w:val="20"/>
                <w:color w:val="auto"/>
              </w:rPr>
            </w:pPr>
            <w:r>
              <w:rPr>
                <w:rFonts w:ascii="Calibri" w:cs="Calibri" w:eastAsia="Calibri" w:hAnsi="Calibri"/>
                <w:sz w:val="16"/>
                <w:szCs w:val="16"/>
                <w:color w:val="auto"/>
                <w:w w:val="90"/>
              </w:rPr>
              <w:t>Yes</w:t>
            </w:r>
          </w:p>
        </w:tc>
        <w:tc>
          <w:tcPr>
            <w:tcW w:w="1260" w:type="dxa"/>
            <w:vAlign w:val="bottom"/>
          </w:tcPr>
          <w:p>
            <w:pPr>
              <w:jc w:val="center"/>
              <w:ind w:left="40"/>
              <w:spacing w:after="0" w:line="181" w:lineRule="exact"/>
              <w:rPr>
                <w:sz w:val="20"/>
                <w:szCs w:val="20"/>
                <w:color w:val="auto"/>
              </w:rPr>
            </w:pPr>
            <w:r>
              <w:rPr>
                <w:rFonts w:ascii="Calibri" w:cs="Calibri" w:eastAsia="Calibri" w:hAnsi="Calibri"/>
                <w:sz w:val="16"/>
                <w:szCs w:val="16"/>
                <w:color w:val="auto"/>
                <w:w w:val="99"/>
              </w:rPr>
              <w:t>Yes</w:t>
            </w:r>
          </w:p>
        </w:tc>
        <w:tc>
          <w:tcPr>
            <w:tcW w:w="1040" w:type="dxa"/>
            <w:vAlign w:val="bottom"/>
          </w:tcPr>
          <w:p>
            <w:pPr>
              <w:jc w:val="center"/>
              <w:spacing w:after="0" w:line="181" w:lineRule="exact"/>
              <w:rPr>
                <w:sz w:val="20"/>
                <w:szCs w:val="20"/>
                <w:color w:val="auto"/>
              </w:rPr>
            </w:pPr>
            <w:r>
              <w:rPr>
                <w:rFonts w:ascii="Calibri" w:cs="Calibri" w:eastAsia="Calibri" w:hAnsi="Calibri"/>
                <w:sz w:val="16"/>
                <w:szCs w:val="16"/>
                <w:color w:val="auto"/>
                <w:w w:val="99"/>
              </w:rPr>
              <w:t>Yes</w:t>
            </w:r>
          </w:p>
        </w:tc>
        <w:tc>
          <w:tcPr>
            <w:tcW w:w="940" w:type="dxa"/>
            <w:vAlign w:val="bottom"/>
          </w:tcPr>
          <w:p>
            <w:pPr>
              <w:jc w:val="center"/>
              <w:spacing w:after="0" w:line="181" w:lineRule="exact"/>
              <w:rPr>
                <w:sz w:val="20"/>
                <w:szCs w:val="20"/>
                <w:color w:val="auto"/>
              </w:rPr>
            </w:pPr>
            <w:r>
              <w:rPr>
                <w:rFonts w:ascii="Calibri" w:cs="Calibri" w:eastAsia="Calibri" w:hAnsi="Calibri"/>
                <w:sz w:val="16"/>
                <w:szCs w:val="16"/>
                <w:color w:val="auto"/>
                <w:w w:val="99"/>
              </w:rPr>
              <w:t>Yes</w:t>
            </w:r>
          </w:p>
        </w:tc>
        <w:tc>
          <w:tcPr>
            <w:tcW w:w="1020" w:type="dxa"/>
            <w:vAlign w:val="bottom"/>
          </w:tcPr>
          <w:p>
            <w:pPr>
              <w:jc w:val="center"/>
              <w:spacing w:after="0" w:line="181" w:lineRule="exact"/>
              <w:rPr>
                <w:sz w:val="20"/>
                <w:szCs w:val="20"/>
                <w:color w:val="auto"/>
              </w:rPr>
            </w:pPr>
            <w:r>
              <w:rPr>
                <w:rFonts w:ascii="Calibri" w:cs="Calibri" w:eastAsia="Calibri" w:hAnsi="Calibri"/>
                <w:sz w:val="16"/>
                <w:szCs w:val="16"/>
                <w:color w:val="auto"/>
                <w:w w:val="99"/>
              </w:rPr>
              <w:t>Yes</w:t>
            </w:r>
          </w:p>
        </w:tc>
        <w:tc>
          <w:tcPr>
            <w:tcW w:w="1040" w:type="dxa"/>
            <w:vAlign w:val="bottom"/>
          </w:tcPr>
          <w:p>
            <w:pPr>
              <w:jc w:val="center"/>
              <w:spacing w:after="0" w:line="181" w:lineRule="exact"/>
              <w:rPr>
                <w:sz w:val="20"/>
                <w:szCs w:val="20"/>
                <w:color w:val="auto"/>
              </w:rPr>
            </w:pPr>
            <w:r>
              <w:rPr>
                <w:rFonts w:ascii="Calibri" w:cs="Calibri" w:eastAsia="Calibri" w:hAnsi="Calibri"/>
                <w:sz w:val="16"/>
                <w:szCs w:val="16"/>
                <w:color w:val="auto"/>
                <w:w w:val="90"/>
              </w:rPr>
              <w:t>Yes</w:t>
            </w:r>
          </w:p>
        </w:tc>
        <w:tc>
          <w:tcPr>
            <w:tcW w:w="980" w:type="dxa"/>
            <w:vAlign w:val="bottom"/>
          </w:tcPr>
          <w:p>
            <w:pPr>
              <w:jc w:val="center"/>
              <w:spacing w:after="0" w:line="181" w:lineRule="exact"/>
              <w:rPr>
                <w:sz w:val="20"/>
                <w:szCs w:val="20"/>
                <w:color w:val="auto"/>
              </w:rPr>
            </w:pPr>
            <w:r>
              <w:rPr>
                <w:rFonts w:ascii="Calibri" w:cs="Calibri" w:eastAsia="Calibri" w:hAnsi="Calibri"/>
                <w:sz w:val="16"/>
                <w:szCs w:val="16"/>
                <w:color w:val="auto"/>
                <w:w w:val="99"/>
              </w:rPr>
              <w:t>Yes</w:t>
            </w:r>
          </w:p>
        </w:tc>
        <w:tc>
          <w:tcPr>
            <w:tcW w:w="1080" w:type="dxa"/>
            <w:vAlign w:val="bottom"/>
          </w:tcPr>
          <w:p>
            <w:pPr>
              <w:jc w:val="center"/>
              <w:spacing w:after="0" w:line="181" w:lineRule="exact"/>
              <w:rPr>
                <w:sz w:val="20"/>
                <w:szCs w:val="20"/>
                <w:color w:val="auto"/>
              </w:rPr>
            </w:pPr>
            <w:r>
              <w:rPr>
                <w:rFonts w:ascii="Calibri" w:cs="Calibri" w:eastAsia="Calibri" w:hAnsi="Calibri"/>
                <w:sz w:val="16"/>
                <w:szCs w:val="16"/>
                <w:color w:val="auto"/>
                <w:w w:val="99"/>
              </w:rPr>
              <w:t>Yes</w:t>
            </w:r>
          </w:p>
        </w:tc>
        <w:tc>
          <w:tcPr>
            <w:tcW w:w="940" w:type="dxa"/>
            <w:vAlign w:val="bottom"/>
          </w:tcPr>
          <w:p>
            <w:pPr>
              <w:jc w:val="center"/>
              <w:spacing w:after="0" w:line="181" w:lineRule="exact"/>
              <w:rPr>
                <w:sz w:val="20"/>
                <w:szCs w:val="20"/>
                <w:color w:val="auto"/>
              </w:rPr>
            </w:pPr>
            <w:r>
              <w:rPr>
                <w:rFonts w:ascii="Calibri" w:cs="Calibri" w:eastAsia="Calibri" w:hAnsi="Calibri"/>
                <w:sz w:val="16"/>
                <w:szCs w:val="16"/>
                <w:color w:val="auto"/>
                <w:w w:val="99"/>
              </w:rPr>
              <w:t>Yes</w:t>
            </w:r>
          </w:p>
        </w:tc>
      </w:tr>
      <w:tr>
        <w:trPr>
          <w:trHeight w:val="207"/>
        </w:trPr>
        <w:tc>
          <w:tcPr>
            <w:tcW w:w="3340" w:type="dxa"/>
            <w:vAlign w:val="bottom"/>
          </w:tcPr>
          <w:p>
            <w:pPr>
              <w:ind w:left="20"/>
              <w:spacing w:after="0"/>
              <w:rPr>
                <w:sz w:val="20"/>
                <w:szCs w:val="20"/>
                <w:color w:val="auto"/>
              </w:rPr>
            </w:pPr>
            <w:r>
              <w:rPr>
                <w:rFonts w:ascii="Calibri" w:cs="Calibri" w:eastAsia="Calibri" w:hAnsi="Calibri"/>
                <w:sz w:val="16"/>
                <w:szCs w:val="16"/>
                <w:color w:val="auto"/>
              </w:rPr>
              <w:t>Judge fixed effects</w:t>
            </w:r>
          </w:p>
        </w:tc>
        <w:tc>
          <w:tcPr>
            <w:tcW w:w="1320" w:type="dxa"/>
            <w:vAlign w:val="bottom"/>
          </w:tcPr>
          <w:p>
            <w:pPr>
              <w:jc w:val="center"/>
              <w:ind w:left="160"/>
              <w:spacing w:after="0"/>
              <w:rPr>
                <w:sz w:val="20"/>
                <w:szCs w:val="20"/>
                <w:color w:val="auto"/>
              </w:rPr>
            </w:pPr>
            <w:r>
              <w:rPr>
                <w:rFonts w:ascii="Calibri" w:cs="Calibri" w:eastAsia="Calibri" w:hAnsi="Calibri"/>
                <w:sz w:val="16"/>
                <w:szCs w:val="16"/>
                <w:color w:val="auto"/>
                <w:w w:val="90"/>
              </w:rPr>
              <w:t>Yes</w:t>
            </w:r>
          </w:p>
        </w:tc>
        <w:tc>
          <w:tcPr>
            <w:tcW w:w="1260" w:type="dxa"/>
            <w:vAlign w:val="bottom"/>
          </w:tcPr>
          <w:p>
            <w:pPr>
              <w:jc w:val="center"/>
              <w:ind w:left="40"/>
              <w:spacing w:after="0"/>
              <w:rPr>
                <w:sz w:val="20"/>
                <w:szCs w:val="20"/>
                <w:color w:val="auto"/>
              </w:rPr>
            </w:pPr>
            <w:r>
              <w:rPr>
                <w:rFonts w:ascii="Calibri" w:cs="Calibri" w:eastAsia="Calibri" w:hAnsi="Calibri"/>
                <w:sz w:val="16"/>
                <w:szCs w:val="16"/>
                <w:color w:val="auto"/>
                <w:w w:val="99"/>
              </w:rPr>
              <w:t>Yes</w:t>
            </w:r>
          </w:p>
        </w:tc>
        <w:tc>
          <w:tcPr>
            <w:tcW w:w="1040" w:type="dxa"/>
            <w:vAlign w:val="bottom"/>
          </w:tcPr>
          <w:p>
            <w:pPr>
              <w:jc w:val="center"/>
              <w:spacing w:after="0"/>
              <w:rPr>
                <w:sz w:val="20"/>
                <w:szCs w:val="20"/>
                <w:color w:val="auto"/>
              </w:rPr>
            </w:pPr>
            <w:r>
              <w:rPr>
                <w:rFonts w:ascii="Calibri" w:cs="Calibri" w:eastAsia="Calibri" w:hAnsi="Calibri"/>
                <w:sz w:val="16"/>
                <w:szCs w:val="16"/>
                <w:color w:val="auto"/>
                <w:w w:val="99"/>
              </w:rPr>
              <w:t>Yes</w:t>
            </w:r>
          </w:p>
        </w:tc>
        <w:tc>
          <w:tcPr>
            <w:tcW w:w="940" w:type="dxa"/>
            <w:vAlign w:val="bottom"/>
          </w:tcPr>
          <w:p>
            <w:pPr>
              <w:jc w:val="center"/>
              <w:spacing w:after="0"/>
              <w:rPr>
                <w:sz w:val="20"/>
                <w:szCs w:val="20"/>
                <w:color w:val="auto"/>
              </w:rPr>
            </w:pPr>
            <w:r>
              <w:rPr>
                <w:rFonts w:ascii="Calibri" w:cs="Calibri" w:eastAsia="Calibri" w:hAnsi="Calibri"/>
                <w:sz w:val="16"/>
                <w:szCs w:val="16"/>
                <w:color w:val="auto"/>
                <w:w w:val="99"/>
              </w:rPr>
              <w:t>Yes</w:t>
            </w:r>
          </w:p>
        </w:tc>
        <w:tc>
          <w:tcPr>
            <w:tcW w:w="1020" w:type="dxa"/>
            <w:vAlign w:val="bottom"/>
          </w:tcPr>
          <w:p>
            <w:pPr>
              <w:jc w:val="center"/>
              <w:spacing w:after="0"/>
              <w:rPr>
                <w:sz w:val="20"/>
                <w:szCs w:val="20"/>
                <w:color w:val="auto"/>
              </w:rPr>
            </w:pPr>
            <w:r>
              <w:rPr>
                <w:rFonts w:ascii="Calibri" w:cs="Calibri" w:eastAsia="Calibri" w:hAnsi="Calibri"/>
                <w:sz w:val="16"/>
                <w:szCs w:val="16"/>
                <w:color w:val="auto"/>
                <w:w w:val="99"/>
              </w:rPr>
              <w:t>Yes</w:t>
            </w:r>
          </w:p>
        </w:tc>
        <w:tc>
          <w:tcPr>
            <w:tcW w:w="1040" w:type="dxa"/>
            <w:vAlign w:val="bottom"/>
          </w:tcPr>
          <w:p>
            <w:pPr>
              <w:jc w:val="center"/>
              <w:spacing w:after="0"/>
              <w:rPr>
                <w:sz w:val="20"/>
                <w:szCs w:val="20"/>
                <w:color w:val="auto"/>
              </w:rPr>
            </w:pPr>
            <w:r>
              <w:rPr>
                <w:rFonts w:ascii="Calibri" w:cs="Calibri" w:eastAsia="Calibri" w:hAnsi="Calibri"/>
                <w:sz w:val="16"/>
                <w:szCs w:val="16"/>
                <w:color w:val="auto"/>
                <w:w w:val="90"/>
              </w:rPr>
              <w:t>Yes</w:t>
            </w:r>
          </w:p>
        </w:tc>
        <w:tc>
          <w:tcPr>
            <w:tcW w:w="980" w:type="dxa"/>
            <w:vAlign w:val="bottom"/>
          </w:tcPr>
          <w:p>
            <w:pPr>
              <w:jc w:val="center"/>
              <w:spacing w:after="0"/>
              <w:rPr>
                <w:sz w:val="20"/>
                <w:szCs w:val="20"/>
                <w:color w:val="auto"/>
              </w:rPr>
            </w:pPr>
            <w:r>
              <w:rPr>
                <w:rFonts w:ascii="Calibri" w:cs="Calibri" w:eastAsia="Calibri" w:hAnsi="Calibri"/>
                <w:sz w:val="16"/>
                <w:szCs w:val="16"/>
                <w:color w:val="auto"/>
                <w:w w:val="99"/>
              </w:rPr>
              <w:t>Yes</w:t>
            </w:r>
          </w:p>
        </w:tc>
        <w:tc>
          <w:tcPr>
            <w:tcW w:w="1080" w:type="dxa"/>
            <w:vAlign w:val="bottom"/>
          </w:tcPr>
          <w:p>
            <w:pPr>
              <w:jc w:val="center"/>
              <w:spacing w:after="0"/>
              <w:rPr>
                <w:sz w:val="20"/>
                <w:szCs w:val="20"/>
                <w:color w:val="auto"/>
              </w:rPr>
            </w:pPr>
            <w:r>
              <w:rPr>
                <w:rFonts w:ascii="Calibri" w:cs="Calibri" w:eastAsia="Calibri" w:hAnsi="Calibri"/>
                <w:sz w:val="16"/>
                <w:szCs w:val="16"/>
                <w:color w:val="auto"/>
                <w:w w:val="99"/>
              </w:rPr>
              <w:t>Yes</w:t>
            </w:r>
          </w:p>
        </w:tc>
        <w:tc>
          <w:tcPr>
            <w:tcW w:w="940" w:type="dxa"/>
            <w:vAlign w:val="bottom"/>
          </w:tcPr>
          <w:p>
            <w:pPr>
              <w:jc w:val="center"/>
              <w:spacing w:after="0"/>
              <w:rPr>
                <w:sz w:val="20"/>
                <w:szCs w:val="20"/>
                <w:color w:val="auto"/>
              </w:rPr>
            </w:pPr>
            <w:r>
              <w:rPr>
                <w:rFonts w:ascii="Calibri" w:cs="Calibri" w:eastAsia="Calibri" w:hAnsi="Calibri"/>
                <w:sz w:val="16"/>
                <w:szCs w:val="16"/>
                <w:color w:val="auto"/>
                <w:w w:val="99"/>
              </w:rPr>
              <w:t>Yes</w:t>
            </w:r>
          </w:p>
        </w:tc>
      </w:tr>
      <w:tr>
        <w:trPr>
          <w:trHeight w:val="207"/>
        </w:trPr>
        <w:tc>
          <w:tcPr>
            <w:tcW w:w="3340" w:type="dxa"/>
            <w:vAlign w:val="bottom"/>
          </w:tcPr>
          <w:p>
            <w:pPr>
              <w:ind w:left="20"/>
              <w:spacing w:after="0"/>
              <w:rPr>
                <w:sz w:val="20"/>
                <w:szCs w:val="20"/>
                <w:color w:val="auto"/>
              </w:rPr>
            </w:pPr>
            <w:r>
              <w:rPr>
                <w:rFonts w:ascii="Calibri" w:cs="Calibri" w:eastAsia="Calibri" w:hAnsi="Calibri"/>
                <w:sz w:val="16"/>
                <w:szCs w:val="16"/>
                <w:color w:val="auto"/>
              </w:rPr>
              <w:t>Number of observations</w:t>
            </w:r>
          </w:p>
        </w:tc>
        <w:tc>
          <w:tcPr>
            <w:tcW w:w="1320" w:type="dxa"/>
            <w:vAlign w:val="bottom"/>
          </w:tcPr>
          <w:p>
            <w:pPr>
              <w:jc w:val="center"/>
              <w:ind w:left="160"/>
              <w:spacing w:after="0"/>
              <w:rPr>
                <w:sz w:val="20"/>
                <w:szCs w:val="20"/>
                <w:color w:val="auto"/>
              </w:rPr>
            </w:pPr>
            <w:r>
              <w:rPr>
                <w:rFonts w:ascii="Calibri" w:cs="Calibri" w:eastAsia="Calibri" w:hAnsi="Calibri"/>
                <w:sz w:val="16"/>
                <w:szCs w:val="16"/>
                <w:color w:val="auto"/>
                <w:w w:val="98"/>
              </w:rPr>
              <w:t>120</w:t>
            </w:r>
          </w:p>
        </w:tc>
        <w:tc>
          <w:tcPr>
            <w:tcW w:w="1260" w:type="dxa"/>
            <w:vAlign w:val="bottom"/>
          </w:tcPr>
          <w:p>
            <w:pPr>
              <w:jc w:val="center"/>
              <w:ind w:left="40"/>
              <w:spacing w:after="0"/>
              <w:rPr>
                <w:sz w:val="20"/>
                <w:szCs w:val="20"/>
                <w:color w:val="auto"/>
              </w:rPr>
            </w:pPr>
            <w:r>
              <w:rPr>
                <w:rFonts w:ascii="Calibri" w:cs="Calibri" w:eastAsia="Calibri" w:hAnsi="Calibri"/>
                <w:sz w:val="16"/>
                <w:szCs w:val="16"/>
                <w:color w:val="auto"/>
              </w:rPr>
              <w:t>120</w:t>
            </w:r>
          </w:p>
        </w:tc>
        <w:tc>
          <w:tcPr>
            <w:tcW w:w="1040" w:type="dxa"/>
            <w:vAlign w:val="bottom"/>
          </w:tcPr>
          <w:p>
            <w:pPr>
              <w:jc w:val="center"/>
              <w:spacing w:after="0"/>
              <w:rPr>
                <w:sz w:val="20"/>
                <w:szCs w:val="20"/>
                <w:color w:val="auto"/>
              </w:rPr>
            </w:pPr>
            <w:r>
              <w:rPr>
                <w:rFonts w:ascii="Calibri" w:cs="Calibri" w:eastAsia="Calibri" w:hAnsi="Calibri"/>
                <w:sz w:val="16"/>
                <w:szCs w:val="16"/>
                <w:color w:val="auto"/>
                <w:w w:val="98"/>
              </w:rPr>
              <w:t>120</w:t>
            </w:r>
          </w:p>
        </w:tc>
        <w:tc>
          <w:tcPr>
            <w:tcW w:w="940" w:type="dxa"/>
            <w:vAlign w:val="bottom"/>
          </w:tcPr>
          <w:p>
            <w:pPr>
              <w:jc w:val="center"/>
              <w:spacing w:after="0"/>
              <w:rPr>
                <w:sz w:val="20"/>
                <w:szCs w:val="20"/>
                <w:color w:val="auto"/>
              </w:rPr>
            </w:pPr>
            <w:r>
              <w:rPr>
                <w:rFonts w:ascii="Calibri" w:cs="Calibri" w:eastAsia="Calibri" w:hAnsi="Calibri"/>
                <w:sz w:val="16"/>
                <w:szCs w:val="16"/>
                <w:color w:val="auto"/>
                <w:w w:val="98"/>
              </w:rPr>
              <w:t>120</w:t>
            </w:r>
          </w:p>
        </w:tc>
        <w:tc>
          <w:tcPr>
            <w:tcW w:w="1020" w:type="dxa"/>
            <w:vAlign w:val="bottom"/>
          </w:tcPr>
          <w:p>
            <w:pPr>
              <w:jc w:val="center"/>
              <w:spacing w:after="0"/>
              <w:rPr>
                <w:sz w:val="20"/>
                <w:szCs w:val="20"/>
                <w:color w:val="auto"/>
              </w:rPr>
            </w:pPr>
            <w:r>
              <w:rPr>
                <w:rFonts w:ascii="Calibri" w:cs="Calibri" w:eastAsia="Calibri" w:hAnsi="Calibri"/>
                <w:sz w:val="16"/>
                <w:szCs w:val="16"/>
                <w:color w:val="auto"/>
              </w:rPr>
              <w:t>120</w:t>
            </w:r>
          </w:p>
        </w:tc>
        <w:tc>
          <w:tcPr>
            <w:tcW w:w="1040" w:type="dxa"/>
            <w:vAlign w:val="bottom"/>
          </w:tcPr>
          <w:p>
            <w:pPr>
              <w:jc w:val="center"/>
              <w:spacing w:after="0"/>
              <w:rPr>
                <w:sz w:val="20"/>
                <w:szCs w:val="20"/>
                <w:color w:val="auto"/>
              </w:rPr>
            </w:pPr>
            <w:r>
              <w:rPr>
                <w:rFonts w:ascii="Calibri" w:cs="Calibri" w:eastAsia="Calibri" w:hAnsi="Calibri"/>
                <w:sz w:val="16"/>
                <w:szCs w:val="16"/>
                <w:color w:val="auto"/>
                <w:w w:val="98"/>
              </w:rPr>
              <w:t>120</w:t>
            </w:r>
          </w:p>
        </w:tc>
        <w:tc>
          <w:tcPr>
            <w:tcW w:w="980" w:type="dxa"/>
            <w:vAlign w:val="bottom"/>
          </w:tcPr>
          <w:p>
            <w:pPr>
              <w:jc w:val="center"/>
              <w:spacing w:after="0"/>
              <w:rPr>
                <w:sz w:val="20"/>
                <w:szCs w:val="20"/>
                <w:color w:val="auto"/>
              </w:rPr>
            </w:pPr>
            <w:r>
              <w:rPr>
                <w:rFonts w:ascii="Calibri" w:cs="Calibri" w:eastAsia="Calibri" w:hAnsi="Calibri"/>
                <w:sz w:val="16"/>
                <w:szCs w:val="16"/>
                <w:color w:val="auto"/>
                <w:w w:val="98"/>
              </w:rPr>
              <w:t>120</w:t>
            </w:r>
          </w:p>
        </w:tc>
        <w:tc>
          <w:tcPr>
            <w:tcW w:w="1080" w:type="dxa"/>
            <w:vAlign w:val="bottom"/>
          </w:tcPr>
          <w:p>
            <w:pPr>
              <w:jc w:val="center"/>
              <w:spacing w:after="0"/>
              <w:rPr>
                <w:sz w:val="20"/>
                <w:szCs w:val="20"/>
                <w:color w:val="auto"/>
              </w:rPr>
            </w:pPr>
            <w:r>
              <w:rPr>
                <w:rFonts w:ascii="Calibri" w:cs="Calibri" w:eastAsia="Calibri" w:hAnsi="Calibri"/>
                <w:sz w:val="16"/>
                <w:szCs w:val="16"/>
                <w:color w:val="auto"/>
                <w:w w:val="98"/>
              </w:rPr>
              <w:t>120</w:t>
            </w:r>
          </w:p>
        </w:tc>
        <w:tc>
          <w:tcPr>
            <w:tcW w:w="940" w:type="dxa"/>
            <w:vAlign w:val="bottom"/>
          </w:tcPr>
          <w:p>
            <w:pPr>
              <w:jc w:val="center"/>
              <w:spacing w:after="0"/>
              <w:rPr>
                <w:sz w:val="20"/>
                <w:szCs w:val="20"/>
                <w:color w:val="auto"/>
              </w:rPr>
            </w:pPr>
            <w:r>
              <w:rPr>
                <w:rFonts w:ascii="Calibri" w:cs="Calibri" w:eastAsia="Calibri" w:hAnsi="Calibri"/>
                <w:sz w:val="16"/>
                <w:szCs w:val="16"/>
                <w:color w:val="auto"/>
                <w:w w:val="98"/>
              </w:rPr>
              <w:t>120</w:t>
            </w:r>
          </w:p>
        </w:tc>
      </w:tr>
      <w:tr>
        <w:trPr>
          <w:trHeight w:val="209"/>
        </w:trPr>
        <w:tc>
          <w:tcPr>
            <w:tcW w:w="3340" w:type="dxa"/>
            <w:vAlign w:val="bottom"/>
            <w:tcBorders>
              <w:bottom w:val="single" w:sz="8" w:color="auto"/>
            </w:tcBorders>
          </w:tcPr>
          <w:p>
            <w:pPr>
              <w:ind w:left="20"/>
              <w:spacing w:after="0"/>
              <w:rPr>
                <w:sz w:val="20"/>
                <w:szCs w:val="20"/>
                <w:color w:val="auto"/>
              </w:rPr>
            </w:pPr>
            <w:r>
              <w:rPr>
                <w:rFonts w:ascii="Calibri" w:cs="Calibri" w:eastAsia="Calibri" w:hAnsi="Calibri"/>
                <w:sz w:val="16"/>
                <w:szCs w:val="16"/>
                <w:color w:val="auto"/>
              </w:rPr>
              <w:t>R-squared</w:t>
            </w:r>
          </w:p>
        </w:tc>
        <w:tc>
          <w:tcPr>
            <w:tcW w:w="1320" w:type="dxa"/>
            <w:vAlign w:val="bottom"/>
            <w:tcBorders>
              <w:bottom w:val="single" w:sz="8" w:color="auto"/>
            </w:tcBorders>
          </w:tcPr>
          <w:p>
            <w:pPr>
              <w:jc w:val="center"/>
              <w:ind w:left="160"/>
              <w:spacing w:after="0"/>
              <w:rPr>
                <w:sz w:val="20"/>
                <w:szCs w:val="20"/>
                <w:color w:val="auto"/>
              </w:rPr>
            </w:pPr>
            <w:r>
              <w:rPr>
                <w:rFonts w:ascii="Calibri" w:cs="Calibri" w:eastAsia="Calibri" w:hAnsi="Calibri"/>
                <w:sz w:val="16"/>
                <w:szCs w:val="16"/>
                <w:color w:val="auto"/>
                <w:w w:val="98"/>
              </w:rPr>
              <w:t>0.057</w:t>
            </w:r>
          </w:p>
        </w:tc>
        <w:tc>
          <w:tcPr>
            <w:tcW w:w="1260" w:type="dxa"/>
            <w:vAlign w:val="bottom"/>
            <w:tcBorders>
              <w:bottom w:val="single" w:sz="8" w:color="auto"/>
            </w:tcBorders>
          </w:tcPr>
          <w:p>
            <w:pPr>
              <w:jc w:val="center"/>
              <w:ind w:left="40"/>
              <w:spacing w:after="0"/>
              <w:rPr>
                <w:sz w:val="20"/>
                <w:szCs w:val="20"/>
                <w:color w:val="auto"/>
              </w:rPr>
            </w:pPr>
            <w:r>
              <w:rPr>
                <w:rFonts w:ascii="Calibri" w:cs="Calibri" w:eastAsia="Calibri" w:hAnsi="Calibri"/>
                <w:sz w:val="16"/>
                <w:szCs w:val="16"/>
                <w:color w:val="auto"/>
              </w:rPr>
              <w:t>0.146</w:t>
            </w:r>
          </w:p>
        </w:tc>
        <w:tc>
          <w:tcPr>
            <w:tcW w:w="1040" w:type="dxa"/>
            <w:vAlign w:val="bottom"/>
            <w:tcBorders>
              <w:bottom w:val="single" w:sz="8" w:color="auto"/>
            </w:tcBorders>
          </w:tcPr>
          <w:p>
            <w:pPr>
              <w:jc w:val="center"/>
              <w:spacing w:after="0"/>
              <w:rPr>
                <w:sz w:val="20"/>
                <w:szCs w:val="20"/>
                <w:color w:val="auto"/>
              </w:rPr>
            </w:pPr>
            <w:r>
              <w:rPr>
                <w:rFonts w:ascii="Calibri" w:cs="Calibri" w:eastAsia="Calibri" w:hAnsi="Calibri"/>
                <w:sz w:val="16"/>
                <w:szCs w:val="16"/>
                <w:color w:val="auto"/>
                <w:w w:val="98"/>
              </w:rPr>
              <w:t>0.053</w:t>
            </w:r>
          </w:p>
        </w:tc>
        <w:tc>
          <w:tcPr>
            <w:tcW w:w="940" w:type="dxa"/>
            <w:vAlign w:val="bottom"/>
            <w:tcBorders>
              <w:bottom w:val="single" w:sz="8" w:color="auto"/>
            </w:tcBorders>
          </w:tcPr>
          <w:p>
            <w:pPr>
              <w:jc w:val="center"/>
              <w:spacing w:after="0"/>
              <w:rPr>
                <w:sz w:val="20"/>
                <w:szCs w:val="20"/>
                <w:color w:val="auto"/>
              </w:rPr>
            </w:pPr>
            <w:r>
              <w:rPr>
                <w:rFonts w:ascii="Calibri" w:cs="Calibri" w:eastAsia="Calibri" w:hAnsi="Calibri"/>
                <w:sz w:val="16"/>
                <w:szCs w:val="16"/>
                <w:color w:val="auto"/>
                <w:w w:val="98"/>
              </w:rPr>
              <w:t>0.189</w:t>
            </w:r>
          </w:p>
        </w:tc>
        <w:tc>
          <w:tcPr>
            <w:tcW w:w="1020" w:type="dxa"/>
            <w:vAlign w:val="bottom"/>
            <w:tcBorders>
              <w:bottom w:val="single" w:sz="8" w:color="auto"/>
            </w:tcBorders>
          </w:tcPr>
          <w:p>
            <w:pPr>
              <w:jc w:val="center"/>
              <w:spacing w:after="0"/>
              <w:rPr>
                <w:sz w:val="20"/>
                <w:szCs w:val="20"/>
                <w:color w:val="auto"/>
              </w:rPr>
            </w:pPr>
            <w:r>
              <w:rPr>
                <w:rFonts w:ascii="Calibri" w:cs="Calibri" w:eastAsia="Calibri" w:hAnsi="Calibri"/>
                <w:sz w:val="16"/>
                <w:szCs w:val="16"/>
                <w:color w:val="auto"/>
              </w:rPr>
              <w:t>0.060</w:t>
            </w:r>
          </w:p>
        </w:tc>
        <w:tc>
          <w:tcPr>
            <w:tcW w:w="1040" w:type="dxa"/>
            <w:vAlign w:val="bottom"/>
            <w:tcBorders>
              <w:bottom w:val="single" w:sz="8" w:color="auto"/>
            </w:tcBorders>
          </w:tcPr>
          <w:p>
            <w:pPr>
              <w:jc w:val="center"/>
              <w:spacing w:after="0"/>
              <w:rPr>
                <w:sz w:val="20"/>
                <w:szCs w:val="20"/>
                <w:color w:val="auto"/>
              </w:rPr>
            </w:pPr>
            <w:r>
              <w:rPr>
                <w:rFonts w:ascii="Calibri" w:cs="Calibri" w:eastAsia="Calibri" w:hAnsi="Calibri"/>
                <w:sz w:val="16"/>
                <w:szCs w:val="16"/>
                <w:color w:val="auto"/>
                <w:w w:val="98"/>
              </w:rPr>
              <w:t>0.029</w:t>
            </w:r>
          </w:p>
        </w:tc>
        <w:tc>
          <w:tcPr>
            <w:tcW w:w="980" w:type="dxa"/>
            <w:vAlign w:val="bottom"/>
            <w:tcBorders>
              <w:bottom w:val="single" w:sz="8" w:color="auto"/>
            </w:tcBorders>
          </w:tcPr>
          <w:p>
            <w:pPr>
              <w:jc w:val="center"/>
              <w:spacing w:after="0"/>
              <w:rPr>
                <w:sz w:val="20"/>
                <w:szCs w:val="20"/>
                <w:color w:val="auto"/>
              </w:rPr>
            </w:pPr>
            <w:r>
              <w:rPr>
                <w:rFonts w:ascii="Calibri" w:cs="Calibri" w:eastAsia="Calibri" w:hAnsi="Calibri"/>
                <w:sz w:val="16"/>
                <w:szCs w:val="16"/>
                <w:color w:val="auto"/>
                <w:w w:val="98"/>
              </w:rPr>
              <w:t>0.007</w:t>
            </w:r>
          </w:p>
        </w:tc>
        <w:tc>
          <w:tcPr>
            <w:tcW w:w="1080" w:type="dxa"/>
            <w:vAlign w:val="bottom"/>
            <w:tcBorders>
              <w:bottom w:val="single" w:sz="8" w:color="auto"/>
            </w:tcBorders>
          </w:tcPr>
          <w:p>
            <w:pPr>
              <w:jc w:val="center"/>
              <w:spacing w:after="0"/>
              <w:rPr>
                <w:sz w:val="20"/>
                <w:szCs w:val="20"/>
                <w:color w:val="auto"/>
              </w:rPr>
            </w:pPr>
            <w:r>
              <w:rPr>
                <w:rFonts w:ascii="Calibri" w:cs="Calibri" w:eastAsia="Calibri" w:hAnsi="Calibri"/>
                <w:sz w:val="16"/>
                <w:szCs w:val="16"/>
                <w:color w:val="auto"/>
                <w:w w:val="98"/>
              </w:rPr>
              <w:t>0.007</w:t>
            </w:r>
          </w:p>
        </w:tc>
        <w:tc>
          <w:tcPr>
            <w:tcW w:w="940" w:type="dxa"/>
            <w:vAlign w:val="bottom"/>
            <w:tcBorders>
              <w:bottom w:val="single" w:sz="8" w:color="auto"/>
            </w:tcBorders>
          </w:tcPr>
          <w:p>
            <w:pPr>
              <w:jc w:val="center"/>
              <w:spacing w:after="0"/>
              <w:rPr>
                <w:sz w:val="20"/>
                <w:szCs w:val="20"/>
                <w:color w:val="auto"/>
              </w:rPr>
            </w:pPr>
            <w:r>
              <w:rPr>
                <w:rFonts w:ascii="Calibri" w:cs="Calibri" w:eastAsia="Calibri" w:hAnsi="Calibri"/>
                <w:sz w:val="16"/>
                <w:szCs w:val="16"/>
                <w:color w:val="auto"/>
                <w:w w:val="98"/>
              </w:rPr>
              <w:t>0.065</w:t>
            </w:r>
          </w:p>
        </w:tc>
      </w:tr>
    </w:tbl>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right="120"/>
        <w:spacing w:after="0" w:line="263" w:lineRule="auto"/>
        <w:rPr>
          <w:sz w:val="20"/>
          <w:szCs w:val="20"/>
          <w:color w:val="auto"/>
        </w:rPr>
      </w:pPr>
      <w:r>
        <w:rPr>
          <w:rFonts w:ascii="Calibri" w:cs="Calibri" w:eastAsia="Calibri" w:hAnsi="Calibri"/>
          <w:sz w:val="19"/>
          <w:szCs w:val="19"/>
          <w:color w:val="auto"/>
        </w:rPr>
        <w:t>Notes: This table reports the results of OLS regressions, where the dependent variables refer to a number of characteristics of the projects. Each of the 120 projects is divided into one of four categories (1) those that were funded by the crowd and were deemed good enough to receive at least 75% of their funding goal by experts (2) those that were given at least 75% of their funding goal by experts but not funded by the crowd (c) those that the crowd funded but were not highly funded by experts and (d) those that did not reach their goal either from the crowd or experts. The first three coefficients are estimated relative to the fourth category. We report robust standard errors that are clustered by judge and *, ** and *** refer to significance at the 10%, 5% and 1% respectively.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42</w:t>
      </w:r>
    </w:p>
    <w:p>
      <w:pPr>
        <w:sectPr>
          <w:pgSz w:w="15840" w:h="12240" w:orient="landscape"/>
          <w:cols w:equalWidth="0" w:num="1">
            <w:col w:w="12960"/>
          </w:cols>
          <w:pgMar w:left="1440" w:top="1440" w:right="1440" w:bottom="474" w:gutter="0" w:footer="0" w:header="0"/>
        </w:sectPr>
      </w:pPr>
    </w:p>
    <w:bookmarkStart w:id="43" w:name="page44"/>
    <w:bookmarkEnd w:id="43"/>
    <w:p>
      <w:pPr>
        <w:spacing w:after="0" w:line="19" w:lineRule="exact"/>
        <w:rPr>
          <w:sz w:val="20"/>
          <w:szCs w:val="20"/>
          <w:color w:val="auto"/>
        </w:rPr>
      </w:pPr>
    </w:p>
    <w:p>
      <w:pPr>
        <w:jc w:val="center"/>
        <w:spacing w:after="0"/>
        <w:rPr>
          <w:sz w:val="20"/>
          <w:szCs w:val="20"/>
          <w:color w:val="auto"/>
        </w:rPr>
      </w:pPr>
      <w:r>
        <w:rPr>
          <w:rFonts w:ascii="Calibri" w:cs="Calibri" w:eastAsia="Calibri" w:hAnsi="Calibri"/>
          <w:sz w:val="28"/>
          <w:szCs w:val="28"/>
          <w:b w:val="1"/>
          <w:bCs w:val="1"/>
          <w:color w:val="auto"/>
        </w:rPr>
        <w:t>Table 5</w:t>
      </w:r>
    </w:p>
    <w:p>
      <w:pPr>
        <w:spacing w:after="0" w:line="25" w:lineRule="exact"/>
        <w:rPr>
          <w:sz w:val="20"/>
          <w:szCs w:val="20"/>
          <w:color w:val="auto"/>
        </w:rPr>
      </w:pPr>
    </w:p>
    <w:p>
      <w:pPr>
        <w:jc w:val="center"/>
        <w:spacing w:after="0"/>
        <w:rPr>
          <w:sz w:val="20"/>
          <w:szCs w:val="20"/>
          <w:color w:val="auto"/>
        </w:rPr>
      </w:pPr>
      <w:r>
        <w:rPr>
          <w:rFonts w:ascii="Calibri" w:cs="Calibri" w:eastAsia="Calibri" w:hAnsi="Calibri"/>
          <w:sz w:val="28"/>
          <w:szCs w:val="28"/>
          <w:b w:val="1"/>
          <w:bCs w:val="1"/>
          <w:color w:val="auto"/>
        </w:rPr>
        <w:t>Evaluation of projects funded by judges and crowds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568325</wp:posOffset>
                </wp:positionH>
                <wp:positionV relativeFrom="paragraph">
                  <wp:posOffset>811530</wp:posOffset>
                </wp:positionV>
                <wp:extent cx="7093585"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09358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4.75pt,63.9pt" to="603.3pt,63.9pt" o:allowincell="f" strokecolor="#000000" strokeweight="0.47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tbl>
      <w:tblPr>
        <w:tblLayout w:type="fixed"/>
        <w:tblInd w:w="880" w:type="dxa"/>
        <w:tblCellMar>
          <w:top w:w="0" w:type="dxa"/>
          <w:left w:w="0" w:type="dxa"/>
          <w:bottom w:w="0" w:type="dxa"/>
          <w:right w:w="0" w:type="dxa"/>
        </w:tblCellMar>
      </w:tblPr>
      <w:tr>
        <w:trPr>
          <w:trHeight w:val="269"/>
        </w:trPr>
        <w:tc>
          <w:tcPr>
            <w:tcW w:w="20" w:type="dxa"/>
            <w:vAlign w:val="bottom"/>
          </w:tcPr>
          <w:p>
            <w:pPr>
              <w:spacing w:after="0"/>
              <w:rPr>
                <w:sz w:val="23"/>
                <w:szCs w:val="23"/>
                <w:color w:val="auto"/>
              </w:rPr>
            </w:pPr>
          </w:p>
        </w:tc>
        <w:tc>
          <w:tcPr>
            <w:tcW w:w="2380" w:type="dxa"/>
            <w:vAlign w:val="bottom"/>
          </w:tcPr>
          <w:p>
            <w:pPr>
              <w:ind w:left="120"/>
              <w:spacing w:after="0"/>
              <w:rPr>
                <w:sz w:val="20"/>
                <w:szCs w:val="20"/>
                <w:color w:val="auto"/>
              </w:rPr>
            </w:pPr>
            <w:r>
              <w:rPr>
                <w:rFonts w:ascii="Calibri" w:cs="Calibri" w:eastAsia="Calibri" w:hAnsi="Calibri"/>
                <w:sz w:val="22"/>
                <w:szCs w:val="22"/>
                <w:color w:val="auto"/>
              </w:rPr>
              <w:t>DEPENDENT VARIABLES</w:t>
            </w:r>
          </w:p>
        </w:tc>
        <w:tc>
          <w:tcPr>
            <w:tcW w:w="2420" w:type="dxa"/>
            <w:vAlign w:val="bottom"/>
          </w:tcPr>
          <w:p>
            <w:pPr>
              <w:ind w:left="100"/>
              <w:spacing w:after="0"/>
              <w:rPr>
                <w:sz w:val="20"/>
                <w:szCs w:val="20"/>
                <w:color w:val="auto"/>
              </w:rPr>
            </w:pPr>
            <w:r>
              <w:rPr>
                <w:rFonts w:ascii="Calibri" w:cs="Calibri" w:eastAsia="Calibri" w:hAnsi="Calibri"/>
                <w:sz w:val="22"/>
                <w:szCs w:val="22"/>
                <w:color w:val="auto"/>
              </w:rPr>
              <w:t>Combined average score</w:t>
            </w:r>
          </w:p>
        </w:tc>
        <w:tc>
          <w:tcPr>
            <w:tcW w:w="1060" w:type="dxa"/>
            <w:vAlign w:val="bottom"/>
          </w:tcPr>
          <w:p>
            <w:pPr>
              <w:ind w:left="180"/>
              <w:spacing w:after="0"/>
              <w:rPr>
                <w:sz w:val="20"/>
                <w:szCs w:val="20"/>
                <w:color w:val="auto"/>
              </w:rPr>
            </w:pPr>
            <w:r>
              <w:rPr>
                <w:rFonts w:ascii="Calibri" w:cs="Calibri" w:eastAsia="Calibri" w:hAnsi="Calibri"/>
                <w:sz w:val="22"/>
                <w:szCs w:val="22"/>
                <w:color w:val="auto"/>
              </w:rPr>
              <w:t>Novelty</w:t>
            </w:r>
          </w:p>
        </w:tc>
        <w:tc>
          <w:tcPr>
            <w:tcW w:w="1120" w:type="dxa"/>
            <w:vAlign w:val="bottom"/>
          </w:tcPr>
          <w:p>
            <w:pPr>
              <w:ind w:left="100"/>
              <w:spacing w:after="0"/>
              <w:rPr>
                <w:sz w:val="20"/>
                <w:szCs w:val="20"/>
                <w:color w:val="auto"/>
              </w:rPr>
            </w:pPr>
            <w:r>
              <w:rPr>
                <w:rFonts w:ascii="Calibri" w:cs="Calibri" w:eastAsia="Calibri" w:hAnsi="Calibri"/>
                <w:sz w:val="22"/>
                <w:szCs w:val="22"/>
                <w:color w:val="auto"/>
              </w:rPr>
              <w:t>Relevance</w:t>
            </w:r>
          </w:p>
        </w:tc>
        <w:tc>
          <w:tcPr>
            <w:tcW w:w="1040" w:type="dxa"/>
            <w:vAlign w:val="bottom"/>
          </w:tcPr>
          <w:p>
            <w:pPr>
              <w:ind w:left="200"/>
              <w:spacing w:after="0"/>
              <w:rPr>
                <w:sz w:val="20"/>
                <w:szCs w:val="20"/>
                <w:color w:val="auto"/>
              </w:rPr>
            </w:pPr>
            <w:r>
              <w:rPr>
                <w:rFonts w:ascii="Calibri" w:cs="Calibri" w:eastAsia="Calibri" w:hAnsi="Calibri"/>
                <w:sz w:val="22"/>
                <w:szCs w:val="22"/>
                <w:color w:val="auto"/>
              </w:rPr>
              <w:t>Quality</w:t>
            </w:r>
          </w:p>
        </w:tc>
        <w:tc>
          <w:tcPr>
            <w:tcW w:w="1120" w:type="dxa"/>
            <w:vAlign w:val="bottom"/>
          </w:tcPr>
          <w:p>
            <w:pPr>
              <w:ind w:left="120"/>
              <w:spacing w:after="0"/>
              <w:rPr>
                <w:sz w:val="20"/>
                <w:szCs w:val="20"/>
                <w:color w:val="auto"/>
              </w:rPr>
            </w:pPr>
            <w:r>
              <w:rPr>
                <w:rFonts w:ascii="Calibri" w:cs="Calibri" w:eastAsia="Calibri" w:hAnsi="Calibri"/>
                <w:sz w:val="22"/>
                <w:szCs w:val="22"/>
                <w:color w:val="auto"/>
              </w:rPr>
              <w:t>Feasibility</w:t>
            </w:r>
          </w:p>
        </w:tc>
        <w:tc>
          <w:tcPr>
            <w:tcW w:w="2020" w:type="dxa"/>
            <w:vAlign w:val="bottom"/>
          </w:tcPr>
          <w:p>
            <w:pPr>
              <w:ind w:left="100"/>
              <w:spacing w:after="0"/>
              <w:rPr>
                <w:sz w:val="20"/>
                <w:szCs w:val="20"/>
                <w:color w:val="auto"/>
              </w:rPr>
            </w:pPr>
            <w:r>
              <w:rPr>
                <w:rFonts w:ascii="Calibri" w:cs="Calibri" w:eastAsia="Calibri" w:hAnsi="Calibri"/>
                <w:sz w:val="22"/>
                <w:szCs w:val="22"/>
                <w:color w:val="auto"/>
              </w:rPr>
              <w:t>Commercial viability</w:t>
            </w:r>
          </w:p>
        </w:tc>
      </w:tr>
      <w:tr>
        <w:trPr>
          <w:trHeight w:val="182"/>
        </w:trPr>
        <w:tc>
          <w:tcPr>
            <w:tcW w:w="20" w:type="dxa"/>
            <w:vAlign w:val="bottom"/>
          </w:tcPr>
          <w:p>
            <w:pPr>
              <w:spacing w:after="0"/>
              <w:rPr>
                <w:sz w:val="15"/>
                <w:szCs w:val="15"/>
                <w:color w:val="auto"/>
              </w:rPr>
            </w:pPr>
          </w:p>
        </w:tc>
        <w:tc>
          <w:tcPr>
            <w:tcW w:w="2380" w:type="dxa"/>
            <w:vAlign w:val="bottom"/>
            <w:tcBorders>
              <w:bottom w:val="single" w:sz="8" w:color="auto"/>
            </w:tcBorders>
          </w:tcPr>
          <w:p>
            <w:pPr>
              <w:spacing w:after="0"/>
              <w:rPr>
                <w:sz w:val="15"/>
                <w:szCs w:val="15"/>
                <w:color w:val="auto"/>
              </w:rPr>
            </w:pPr>
          </w:p>
        </w:tc>
        <w:tc>
          <w:tcPr>
            <w:tcW w:w="2420" w:type="dxa"/>
            <w:vAlign w:val="bottom"/>
            <w:tcBorders>
              <w:bottom w:val="single" w:sz="8" w:color="auto"/>
            </w:tcBorders>
          </w:tcPr>
          <w:p>
            <w:pPr>
              <w:spacing w:after="0"/>
              <w:rPr>
                <w:sz w:val="15"/>
                <w:szCs w:val="15"/>
                <w:color w:val="auto"/>
              </w:rPr>
            </w:pPr>
          </w:p>
        </w:tc>
        <w:tc>
          <w:tcPr>
            <w:tcW w:w="1060" w:type="dxa"/>
            <w:vAlign w:val="bottom"/>
            <w:tcBorders>
              <w:bottom w:val="single" w:sz="8" w:color="auto"/>
            </w:tcBorders>
          </w:tcPr>
          <w:p>
            <w:pPr>
              <w:spacing w:after="0"/>
              <w:rPr>
                <w:sz w:val="15"/>
                <w:szCs w:val="15"/>
                <w:color w:val="auto"/>
              </w:rPr>
            </w:pPr>
          </w:p>
        </w:tc>
        <w:tc>
          <w:tcPr>
            <w:tcW w:w="1120" w:type="dxa"/>
            <w:vAlign w:val="bottom"/>
            <w:tcBorders>
              <w:bottom w:val="single" w:sz="8" w:color="auto"/>
            </w:tcBorders>
          </w:tcPr>
          <w:p>
            <w:pPr>
              <w:spacing w:after="0"/>
              <w:rPr>
                <w:sz w:val="15"/>
                <w:szCs w:val="15"/>
                <w:color w:val="auto"/>
              </w:rPr>
            </w:pPr>
          </w:p>
        </w:tc>
        <w:tc>
          <w:tcPr>
            <w:tcW w:w="1040" w:type="dxa"/>
            <w:vAlign w:val="bottom"/>
            <w:tcBorders>
              <w:bottom w:val="single" w:sz="8" w:color="auto"/>
            </w:tcBorders>
          </w:tcPr>
          <w:p>
            <w:pPr>
              <w:spacing w:after="0"/>
              <w:rPr>
                <w:sz w:val="15"/>
                <w:szCs w:val="15"/>
                <w:color w:val="auto"/>
              </w:rPr>
            </w:pPr>
          </w:p>
        </w:tc>
        <w:tc>
          <w:tcPr>
            <w:tcW w:w="1120" w:type="dxa"/>
            <w:vAlign w:val="bottom"/>
            <w:tcBorders>
              <w:bottom w:val="single" w:sz="8" w:color="auto"/>
            </w:tcBorders>
          </w:tcPr>
          <w:p>
            <w:pPr>
              <w:spacing w:after="0"/>
              <w:rPr>
                <w:sz w:val="15"/>
                <w:szCs w:val="15"/>
                <w:color w:val="auto"/>
              </w:rPr>
            </w:pPr>
          </w:p>
        </w:tc>
        <w:tc>
          <w:tcPr>
            <w:tcW w:w="2020" w:type="dxa"/>
            <w:vAlign w:val="bottom"/>
            <w:tcBorders>
              <w:bottom w:val="single" w:sz="8" w:color="auto"/>
            </w:tcBorders>
          </w:tcPr>
          <w:p>
            <w:pPr>
              <w:spacing w:after="0"/>
              <w:rPr>
                <w:sz w:val="15"/>
                <w:szCs w:val="15"/>
                <w:color w:val="auto"/>
              </w:rPr>
            </w:pPr>
          </w:p>
        </w:tc>
      </w:tr>
      <w:tr>
        <w:trPr>
          <w:trHeight w:val="273"/>
        </w:trPr>
        <w:tc>
          <w:tcPr>
            <w:tcW w:w="20" w:type="dxa"/>
            <w:vAlign w:val="bottom"/>
          </w:tcPr>
          <w:p>
            <w:pPr>
              <w:spacing w:after="0"/>
              <w:rPr>
                <w:sz w:val="23"/>
                <w:szCs w:val="23"/>
                <w:color w:val="auto"/>
              </w:rPr>
            </w:pPr>
          </w:p>
        </w:tc>
        <w:tc>
          <w:tcPr>
            <w:tcW w:w="2380" w:type="dxa"/>
            <w:vAlign w:val="bottom"/>
            <w:tcBorders>
              <w:bottom w:val="single" w:sz="8" w:color="auto"/>
            </w:tcBorders>
          </w:tcPr>
          <w:p>
            <w:pPr>
              <w:spacing w:after="0"/>
              <w:rPr>
                <w:sz w:val="23"/>
                <w:szCs w:val="23"/>
                <w:color w:val="auto"/>
              </w:rPr>
            </w:pPr>
          </w:p>
        </w:tc>
        <w:tc>
          <w:tcPr>
            <w:tcW w:w="2420" w:type="dxa"/>
            <w:vAlign w:val="bottom"/>
            <w:tcBorders>
              <w:bottom w:val="single" w:sz="8" w:color="auto"/>
            </w:tcBorders>
          </w:tcPr>
          <w:p>
            <w:pPr>
              <w:jc w:val="center"/>
              <w:spacing w:after="0"/>
              <w:rPr>
                <w:sz w:val="20"/>
                <w:szCs w:val="20"/>
                <w:color w:val="auto"/>
              </w:rPr>
            </w:pPr>
            <w:r>
              <w:rPr>
                <w:rFonts w:ascii="Calibri" w:cs="Calibri" w:eastAsia="Calibri" w:hAnsi="Calibri"/>
                <w:sz w:val="22"/>
                <w:szCs w:val="22"/>
                <w:color w:val="auto"/>
              </w:rPr>
              <w:t>(1)</w:t>
            </w:r>
          </w:p>
        </w:tc>
        <w:tc>
          <w:tcPr>
            <w:tcW w:w="1060" w:type="dxa"/>
            <w:vAlign w:val="bottom"/>
            <w:tcBorders>
              <w:bottom w:val="single" w:sz="8" w:color="auto"/>
            </w:tcBorders>
          </w:tcPr>
          <w:p>
            <w:pPr>
              <w:jc w:val="center"/>
              <w:spacing w:after="0"/>
              <w:rPr>
                <w:sz w:val="20"/>
                <w:szCs w:val="20"/>
                <w:color w:val="auto"/>
              </w:rPr>
            </w:pPr>
            <w:r>
              <w:rPr>
                <w:rFonts w:ascii="Calibri" w:cs="Calibri" w:eastAsia="Calibri" w:hAnsi="Calibri"/>
                <w:sz w:val="22"/>
                <w:szCs w:val="22"/>
                <w:color w:val="auto"/>
              </w:rPr>
              <w:t>(2)</w:t>
            </w:r>
          </w:p>
        </w:tc>
        <w:tc>
          <w:tcPr>
            <w:tcW w:w="1120" w:type="dxa"/>
            <w:vAlign w:val="bottom"/>
            <w:tcBorders>
              <w:bottom w:val="single" w:sz="8" w:color="auto"/>
            </w:tcBorders>
          </w:tcPr>
          <w:p>
            <w:pPr>
              <w:jc w:val="center"/>
              <w:spacing w:after="0"/>
              <w:rPr>
                <w:sz w:val="20"/>
                <w:szCs w:val="20"/>
                <w:color w:val="auto"/>
              </w:rPr>
            </w:pPr>
            <w:r>
              <w:rPr>
                <w:rFonts w:ascii="Calibri" w:cs="Calibri" w:eastAsia="Calibri" w:hAnsi="Calibri"/>
                <w:sz w:val="22"/>
                <w:szCs w:val="22"/>
                <w:color w:val="auto"/>
                <w:w w:val="97"/>
              </w:rPr>
              <w:t>(3)</w:t>
            </w:r>
          </w:p>
        </w:tc>
        <w:tc>
          <w:tcPr>
            <w:tcW w:w="1040" w:type="dxa"/>
            <w:vAlign w:val="bottom"/>
            <w:tcBorders>
              <w:bottom w:val="single" w:sz="8" w:color="auto"/>
            </w:tcBorders>
          </w:tcPr>
          <w:p>
            <w:pPr>
              <w:jc w:val="center"/>
              <w:spacing w:after="0"/>
              <w:rPr>
                <w:sz w:val="20"/>
                <w:szCs w:val="20"/>
                <w:color w:val="auto"/>
              </w:rPr>
            </w:pPr>
            <w:r>
              <w:rPr>
                <w:rFonts w:ascii="Calibri" w:cs="Calibri" w:eastAsia="Calibri" w:hAnsi="Calibri"/>
                <w:sz w:val="22"/>
                <w:szCs w:val="22"/>
                <w:color w:val="auto"/>
                <w:w w:val="97"/>
              </w:rPr>
              <w:t>(4)</w:t>
            </w:r>
          </w:p>
        </w:tc>
        <w:tc>
          <w:tcPr>
            <w:tcW w:w="1120" w:type="dxa"/>
            <w:vAlign w:val="bottom"/>
            <w:tcBorders>
              <w:bottom w:val="single" w:sz="8" w:color="auto"/>
            </w:tcBorders>
          </w:tcPr>
          <w:p>
            <w:pPr>
              <w:jc w:val="center"/>
              <w:spacing w:after="0"/>
              <w:rPr>
                <w:sz w:val="20"/>
                <w:szCs w:val="20"/>
                <w:color w:val="auto"/>
              </w:rPr>
            </w:pPr>
            <w:r>
              <w:rPr>
                <w:rFonts w:ascii="Calibri" w:cs="Calibri" w:eastAsia="Calibri" w:hAnsi="Calibri"/>
                <w:sz w:val="22"/>
                <w:szCs w:val="22"/>
                <w:color w:val="auto"/>
                <w:w w:val="97"/>
              </w:rPr>
              <w:t>(5)</w:t>
            </w:r>
          </w:p>
        </w:tc>
        <w:tc>
          <w:tcPr>
            <w:tcW w:w="2020" w:type="dxa"/>
            <w:vAlign w:val="bottom"/>
            <w:tcBorders>
              <w:bottom w:val="single" w:sz="8" w:color="auto"/>
            </w:tcBorders>
          </w:tcPr>
          <w:p>
            <w:pPr>
              <w:jc w:val="center"/>
              <w:spacing w:after="0"/>
              <w:rPr>
                <w:sz w:val="20"/>
                <w:szCs w:val="20"/>
                <w:color w:val="auto"/>
              </w:rPr>
            </w:pPr>
            <w:r>
              <w:rPr>
                <w:rFonts w:ascii="Calibri" w:cs="Calibri" w:eastAsia="Calibri" w:hAnsi="Calibri"/>
                <w:sz w:val="22"/>
                <w:szCs w:val="22"/>
                <w:color w:val="auto"/>
              </w:rPr>
              <w:t>(6)</w:t>
            </w:r>
          </w:p>
        </w:tc>
      </w:tr>
      <w:tr>
        <w:trPr>
          <w:trHeight w:val="273"/>
        </w:trPr>
        <w:tc>
          <w:tcPr>
            <w:tcW w:w="20" w:type="dxa"/>
            <w:vAlign w:val="bottom"/>
          </w:tcPr>
          <w:p>
            <w:pPr>
              <w:spacing w:after="0"/>
              <w:rPr>
                <w:sz w:val="23"/>
                <w:szCs w:val="23"/>
                <w:color w:val="auto"/>
              </w:rPr>
            </w:pPr>
          </w:p>
        </w:tc>
        <w:tc>
          <w:tcPr>
            <w:tcW w:w="2380" w:type="dxa"/>
            <w:vAlign w:val="bottom"/>
          </w:tcPr>
          <w:p>
            <w:pPr>
              <w:ind w:left="100"/>
              <w:spacing w:after="0"/>
              <w:rPr>
                <w:sz w:val="20"/>
                <w:szCs w:val="20"/>
                <w:color w:val="auto"/>
              </w:rPr>
            </w:pPr>
            <w:r>
              <w:rPr>
                <w:rFonts w:ascii="Calibri" w:cs="Calibri" w:eastAsia="Calibri" w:hAnsi="Calibri"/>
                <w:sz w:val="22"/>
                <w:szCs w:val="22"/>
                <w:color w:val="auto"/>
              </w:rPr>
              <w:t>Funded by both</w:t>
            </w:r>
          </w:p>
        </w:tc>
        <w:tc>
          <w:tcPr>
            <w:tcW w:w="2420" w:type="dxa"/>
            <w:vAlign w:val="bottom"/>
          </w:tcPr>
          <w:p>
            <w:pPr>
              <w:jc w:val="center"/>
              <w:spacing w:after="0"/>
              <w:rPr>
                <w:sz w:val="20"/>
                <w:szCs w:val="20"/>
                <w:color w:val="auto"/>
              </w:rPr>
            </w:pPr>
            <w:r>
              <w:rPr>
                <w:rFonts w:ascii="Calibri" w:cs="Calibri" w:eastAsia="Calibri" w:hAnsi="Calibri"/>
                <w:sz w:val="22"/>
                <w:szCs w:val="22"/>
                <w:color w:val="auto"/>
                <w:w w:val="98"/>
              </w:rPr>
              <w:t>1.557***</w:t>
            </w:r>
          </w:p>
        </w:tc>
        <w:tc>
          <w:tcPr>
            <w:tcW w:w="1060" w:type="dxa"/>
            <w:vAlign w:val="bottom"/>
          </w:tcPr>
          <w:p>
            <w:pPr>
              <w:jc w:val="center"/>
              <w:spacing w:after="0"/>
              <w:rPr>
                <w:sz w:val="20"/>
                <w:szCs w:val="20"/>
                <w:color w:val="auto"/>
              </w:rPr>
            </w:pPr>
            <w:r>
              <w:rPr>
                <w:rFonts w:ascii="Calibri" w:cs="Calibri" w:eastAsia="Calibri" w:hAnsi="Calibri"/>
                <w:sz w:val="22"/>
                <w:szCs w:val="22"/>
                <w:color w:val="auto"/>
                <w:w w:val="98"/>
              </w:rPr>
              <w:t>1.587***</w:t>
            </w:r>
          </w:p>
        </w:tc>
        <w:tc>
          <w:tcPr>
            <w:tcW w:w="1120" w:type="dxa"/>
            <w:vAlign w:val="bottom"/>
          </w:tcPr>
          <w:p>
            <w:pPr>
              <w:jc w:val="center"/>
              <w:spacing w:after="0"/>
              <w:rPr>
                <w:sz w:val="20"/>
                <w:szCs w:val="20"/>
                <w:color w:val="auto"/>
              </w:rPr>
            </w:pPr>
            <w:r>
              <w:rPr>
                <w:rFonts w:ascii="Calibri" w:cs="Calibri" w:eastAsia="Calibri" w:hAnsi="Calibri"/>
                <w:sz w:val="22"/>
                <w:szCs w:val="22"/>
                <w:color w:val="auto"/>
              </w:rPr>
              <w:t>1.729***</w:t>
            </w:r>
          </w:p>
        </w:tc>
        <w:tc>
          <w:tcPr>
            <w:tcW w:w="1040" w:type="dxa"/>
            <w:vAlign w:val="bottom"/>
          </w:tcPr>
          <w:p>
            <w:pPr>
              <w:jc w:val="center"/>
              <w:spacing w:after="0"/>
              <w:rPr>
                <w:sz w:val="20"/>
                <w:szCs w:val="20"/>
                <w:color w:val="auto"/>
              </w:rPr>
            </w:pPr>
            <w:r>
              <w:rPr>
                <w:rFonts w:ascii="Calibri" w:cs="Calibri" w:eastAsia="Calibri" w:hAnsi="Calibri"/>
                <w:sz w:val="22"/>
                <w:szCs w:val="22"/>
                <w:color w:val="auto"/>
              </w:rPr>
              <w:t>1.864***</w:t>
            </w:r>
          </w:p>
        </w:tc>
        <w:tc>
          <w:tcPr>
            <w:tcW w:w="1120" w:type="dxa"/>
            <w:vAlign w:val="bottom"/>
          </w:tcPr>
          <w:p>
            <w:pPr>
              <w:jc w:val="center"/>
              <w:spacing w:after="0"/>
              <w:rPr>
                <w:sz w:val="20"/>
                <w:szCs w:val="20"/>
                <w:color w:val="auto"/>
              </w:rPr>
            </w:pPr>
            <w:r>
              <w:rPr>
                <w:rFonts w:ascii="Calibri" w:cs="Calibri" w:eastAsia="Calibri" w:hAnsi="Calibri"/>
                <w:sz w:val="22"/>
                <w:szCs w:val="22"/>
                <w:color w:val="auto"/>
              </w:rPr>
              <w:t>1.350***</w:t>
            </w:r>
          </w:p>
        </w:tc>
        <w:tc>
          <w:tcPr>
            <w:tcW w:w="2020" w:type="dxa"/>
            <w:vAlign w:val="bottom"/>
          </w:tcPr>
          <w:p>
            <w:pPr>
              <w:jc w:val="center"/>
              <w:spacing w:after="0"/>
              <w:rPr>
                <w:sz w:val="20"/>
                <w:szCs w:val="20"/>
                <w:color w:val="auto"/>
              </w:rPr>
            </w:pPr>
            <w:r>
              <w:rPr>
                <w:rFonts w:ascii="Calibri" w:cs="Calibri" w:eastAsia="Calibri" w:hAnsi="Calibri"/>
                <w:sz w:val="22"/>
                <w:szCs w:val="22"/>
                <w:color w:val="auto"/>
                <w:w w:val="98"/>
              </w:rPr>
              <w:t>1.252***</w:t>
            </w:r>
          </w:p>
        </w:tc>
      </w:tr>
      <w:tr>
        <w:trPr>
          <w:trHeight w:val="288"/>
        </w:trPr>
        <w:tc>
          <w:tcPr>
            <w:tcW w:w="20" w:type="dxa"/>
            <w:vAlign w:val="bottom"/>
          </w:tcPr>
          <w:p>
            <w:pPr>
              <w:spacing w:after="0"/>
              <w:rPr>
                <w:sz w:val="24"/>
                <w:szCs w:val="24"/>
                <w:color w:val="auto"/>
              </w:rPr>
            </w:pPr>
          </w:p>
        </w:tc>
        <w:tc>
          <w:tcPr>
            <w:tcW w:w="2380" w:type="dxa"/>
            <w:vAlign w:val="bottom"/>
          </w:tcPr>
          <w:p>
            <w:pPr>
              <w:spacing w:after="0"/>
              <w:rPr>
                <w:sz w:val="24"/>
                <w:szCs w:val="24"/>
                <w:color w:val="auto"/>
              </w:rPr>
            </w:pPr>
          </w:p>
        </w:tc>
        <w:tc>
          <w:tcPr>
            <w:tcW w:w="2420" w:type="dxa"/>
            <w:vAlign w:val="bottom"/>
          </w:tcPr>
          <w:p>
            <w:pPr>
              <w:jc w:val="center"/>
              <w:spacing w:after="0"/>
              <w:rPr>
                <w:sz w:val="20"/>
                <w:szCs w:val="20"/>
                <w:color w:val="auto"/>
              </w:rPr>
            </w:pPr>
            <w:r>
              <w:rPr>
                <w:rFonts w:ascii="Calibri" w:cs="Calibri" w:eastAsia="Calibri" w:hAnsi="Calibri"/>
                <w:sz w:val="22"/>
                <w:szCs w:val="22"/>
                <w:color w:val="auto"/>
              </w:rPr>
              <w:t>(0.202)</w:t>
            </w:r>
          </w:p>
        </w:tc>
        <w:tc>
          <w:tcPr>
            <w:tcW w:w="1060" w:type="dxa"/>
            <w:vAlign w:val="bottom"/>
          </w:tcPr>
          <w:p>
            <w:pPr>
              <w:jc w:val="center"/>
              <w:spacing w:after="0"/>
              <w:rPr>
                <w:sz w:val="20"/>
                <w:szCs w:val="20"/>
                <w:color w:val="auto"/>
              </w:rPr>
            </w:pPr>
            <w:r>
              <w:rPr>
                <w:rFonts w:ascii="Calibri" w:cs="Calibri" w:eastAsia="Calibri" w:hAnsi="Calibri"/>
                <w:sz w:val="22"/>
                <w:szCs w:val="22"/>
                <w:color w:val="auto"/>
              </w:rPr>
              <w:t>(0.278)</w:t>
            </w:r>
          </w:p>
        </w:tc>
        <w:tc>
          <w:tcPr>
            <w:tcW w:w="1120" w:type="dxa"/>
            <w:vAlign w:val="bottom"/>
          </w:tcPr>
          <w:p>
            <w:pPr>
              <w:jc w:val="center"/>
              <w:spacing w:after="0"/>
              <w:rPr>
                <w:sz w:val="20"/>
                <w:szCs w:val="20"/>
                <w:color w:val="auto"/>
              </w:rPr>
            </w:pPr>
            <w:r>
              <w:rPr>
                <w:rFonts w:ascii="Calibri" w:cs="Calibri" w:eastAsia="Calibri" w:hAnsi="Calibri"/>
                <w:sz w:val="22"/>
                <w:szCs w:val="22"/>
                <w:color w:val="auto"/>
              </w:rPr>
              <w:t>(0.263)</w:t>
            </w:r>
          </w:p>
        </w:tc>
        <w:tc>
          <w:tcPr>
            <w:tcW w:w="1040" w:type="dxa"/>
            <w:vAlign w:val="bottom"/>
          </w:tcPr>
          <w:p>
            <w:pPr>
              <w:jc w:val="center"/>
              <w:spacing w:after="0"/>
              <w:rPr>
                <w:sz w:val="20"/>
                <w:szCs w:val="20"/>
                <w:color w:val="auto"/>
              </w:rPr>
            </w:pPr>
            <w:r>
              <w:rPr>
                <w:rFonts w:ascii="Calibri" w:cs="Calibri" w:eastAsia="Calibri" w:hAnsi="Calibri"/>
                <w:sz w:val="22"/>
                <w:szCs w:val="22"/>
                <w:color w:val="auto"/>
              </w:rPr>
              <w:t>(0.301)</w:t>
            </w:r>
          </w:p>
        </w:tc>
        <w:tc>
          <w:tcPr>
            <w:tcW w:w="1120" w:type="dxa"/>
            <w:vAlign w:val="bottom"/>
          </w:tcPr>
          <w:p>
            <w:pPr>
              <w:jc w:val="center"/>
              <w:spacing w:after="0"/>
              <w:rPr>
                <w:sz w:val="20"/>
                <w:szCs w:val="20"/>
                <w:color w:val="auto"/>
              </w:rPr>
            </w:pPr>
            <w:r>
              <w:rPr>
                <w:rFonts w:ascii="Calibri" w:cs="Calibri" w:eastAsia="Calibri" w:hAnsi="Calibri"/>
                <w:sz w:val="22"/>
                <w:szCs w:val="22"/>
                <w:color w:val="auto"/>
              </w:rPr>
              <w:t>(0.189)</w:t>
            </w:r>
          </w:p>
        </w:tc>
        <w:tc>
          <w:tcPr>
            <w:tcW w:w="2020" w:type="dxa"/>
            <w:vAlign w:val="bottom"/>
          </w:tcPr>
          <w:p>
            <w:pPr>
              <w:jc w:val="center"/>
              <w:spacing w:after="0"/>
              <w:rPr>
                <w:sz w:val="20"/>
                <w:szCs w:val="20"/>
                <w:color w:val="auto"/>
              </w:rPr>
            </w:pPr>
            <w:r>
              <w:rPr>
                <w:rFonts w:ascii="Calibri" w:cs="Calibri" w:eastAsia="Calibri" w:hAnsi="Calibri"/>
                <w:sz w:val="22"/>
                <w:szCs w:val="22"/>
                <w:color w:val="auto"/>
                <w:w w:val="97"/>
              </w:rPr>
              <w:t>(0.260)</w:t>
            </w:r>
          </w:p>
        </w:tc>
      </w:tr>
      <w:tr>
        <w:trPr>
          <w:trHeight w:val="288"/>
        </w:trPr>
        <w:tc>
          <w:tcPr>
            <w:tcW w:w="20" w:type="dxa"/>
            <w:vAlign w:val="bottom"/>
          </w:tcPr>
          <w:p>
            <w:pPr>
              <w:spacing w:after="0"/>
              <w:rPr>
                <w:sz w:val="24"/>
                <w:szCs w:val="24"/>
                <w:color w:val="auto"/>
              </w:rPr>
            </w:pPr>
          </w:p>
        </w:tc>
        <w:tc>
          <w:tcPr>
            <w:tcW w:w="2380" w:type="dxa"/>
            <w:vAlign w:val="bottom"/>
          </w:tcPr>
          <w:p>
            <w:pPr>
              <w:ind w:left="100"/>
              <w:spacing w:after="0"/>
              <w:rPr>
                <w:sz w:val="20"/>
                <w:szCs w:val="20"/>
                <w:color w:val="auto"/>
              </w:rPr>
            </w:pPr>
            <w:r>
              <w:rPr>
                <w:rFonts w:ascii="Calibri" w:cs="Calibri" w:eastAsia="Calibri" w:hAnsi="Calibri"/>
                <w:sz w:val="22"/>
                <w:szCs w:val="22"/>
                <w:color w:val="auto"/>
              </w:rPr>
              <w:t>Only experts</w:t>
            </w:r>
          </w:p>
        </w:tc>
        <w:tc>
          <w:tcPr>
            <w:tcW w:w="2420" w:type="dxa"/>
            <w:vAlign w:val="bottom"/>
          </w:tcPr>
          <w:p>
            <w:pPr>
              <w:jc w:val="center"/>
              <w:spacing w:after="0"/>
              <w:rPr>
                <w:sz w:val="20"/>
                <w:szCs w:val="20"/>
                <w:color w:val="auto"/>
              </w:rPr>
            </w:pPr>
            <w:r>
              <w:rPr>
                <w:rFonts w:ascii="Calibri" w:cs="Calibri" w:eastAsia="Calibri" w:hAnsi="Calibri"/>
                <w:sz w:val="22"/>
                <w:szCs w:val="22"/>
                <w:color w:val="auto"/>
                <w:w w:val="98"/>
              </w:rPr>
              <w:t>1.024***</w:t>
            </w:r>
          </w:p>
        </w:tc>
        <w:tc>
          <w:tcPr>
            <w:tcW w:w="1060" w:type="dxa"/>
            <w:vAlign w:val="bottom"/>
          </w:tcPr>
          <w:p>
            <w:pPr>
              <w:jc w:val="center"/>
              <w:spacing w:after="0"/>
              <w:rPr>
                <w:sz w:val="20"/>
                <w:szCs w:val="20"/>
                <w:color w:val="auto"/>
              </w:rPr>
            </w:pPr>
            <w:r>
              <w:rPr>
                <w:rFonts w:ascii="Calibri" w:cs="Calibri" w:eastAsia="Calibri" w:hAnsi="Calibri"/>
                <w:sz w:val="22"/>
                <w:szCs w:val="22"/>
                <w:color w:val="auto"/>
                <w:w w:val="98"/>
              </w:rPr>
              <w:t>1.005***</w:t>
            </w:r>
          </w:p>
        </w:tc>
        <w:tc>
          <w:tcPr>
            <w:tcW w:w="1120" w:type="dxa"/>
            <w:vAlign w:val="bottom"/>
          </w:tcPr>
          <w:p>
            <w:pPr>
              <w:jc w:val="center"/>
              <w:spacing w:after="0"/>
              <w:rPr>
                <w:sz w:val="20"/>
                <w:szCs w:val="20"/>
                <w:color w:val="auto"/>
              </w:rPr>
            </w:pPr>
            <w:r>
              <w:rPr>
                <w:rFonts w:ascii="Calibri" w:cs="Calibri" w:eastAsia="Calibri" w:hAnsi="Calibri"/>
                <w:sz w:val="22"/>
                <w:szCs w:val="22"/>
                <w:color w:val="auto"/>
              </w:rPr>
              <w:t>0.964***</w:t>
            </w:r>
          </w:p>
        </w:tc>
        <w:tc>
          <w:tcPr>
            <w:tcW w:w="1040" w:type="dxa"/>
            <w:vAlign w:val="bottom"/>
          </w:tcPr>
          <w:p>
            <w:pPr>
              <w:jc w:val="center"/>
              <w:spacing w:after="0"/>
              <w:rPr>
                <w:sz w:val="20"/>
                <w:szCs w:val="20"/>
                <w:color w:val="auto"/>
              </w:rPr>
            </w:pPr>
            <w:r>
              <w:rPr>
                <w:rFonts w:ascii="Calibri" w:cs="Calibri" w:eastAsia="Calibri" w:hAnsi="Calibri"/>
                <w:sz w:val="22"/>
                <w:szCs w:val="22"/>
                <w:color w:val="auto"/>
              </w:rPr>
              <w:t>1.342***</w:t>
            </w:r>
          </w:p>
        </w:tc>
        <w:tc>
          <w:tcPr>
            <w:tcW w:w="1120" w:type="dxa"/>
            <w:vAlign w:val="bottom"/>
          </w:tcPr>
          <w:p>
            <w:pPr>
              <w:jc w:val="center"/>
              <w:spacing w:after="0"/>
              <w:rPr>
                <w:sz w:val="20"/>
                <w:szCs w:val="20"/>
                <w:color w:val="auto"/>
              </w:rPr>
            </w:pPr>
            <w:r>
              <w:rPr>
                <w:rFonts w:ascii="Calibri" w:cs="Calibri" w:eastAsia="Calibri" w:hAnsi="Calibri"/>
                <w:sz w:val="22"/>
                <w:szCs w:val="22"/>
                <w:color w:val="auto"/>
              </w:rPr>
              <w:t>0.751***</w:t>
            </w:r>
          </w:p>
        </w:tc>
        <w:tc>
          <w:tcPr>
            <w:tcW w:w="2020" w:type="dxa"/>
            <w:vAlign w:val="bottom"/>
          </w:tcPr>
          <w:p>
            <w:pPr>
              <w:jc w:val="center"/>
              <w:spacing w:after="0"/>
              <w:rPr>
                <w:sz w:val="20"/>
                <w:szCs w:val="20"/>
                <w:color w:val="auto"/>
              </w:rPr>
            </w:pPr>
            <w:r>
              <w:rPr>
                <w:rFonts w:ascii="Calibri" w:cs="Calibri" w:eastAsia="Calibri" w:hAnsi="Calibri"/>
                <w:sz w:val="22"/>
                <w:szCs w:val="22"/>
                <w:color w:val="auto"/>
                <w:w w:val="98"/>
              </w:rPr>
              <w:t>1.052***</w:t>
            </w:r>
          </w:p>
        </w:tc>
      </w:tr>
      <w:tr>
        <w:trPr>
          <w:trHeight w:val="288"/>
        </w:trPr>
        <w:tc>
          <w:tcPr>
            <w:tcW w:w="20" w:type="dxa"/>
            <w:vAlign w:val="bottom"/>
          </w:tcPr>
          <w:p>
            <w:pPr>
              <w:spacing w:after="0"/>
              <w:rPr>
                <w:sz w:val="24"/>
                <w:szCs w:val="24"/>
                <w:color w:val="auto"/>
              </w:rPr>
            </w:pPr>
          </w:p>
        </w:tc>
        <w:tc>
          <w:tcPr>
            <w:tcW w:w="2380" w:type="dxa"/>
            <w:vAlign w:val="bottom"/>
          </w:tcPr>
          <w:p>
            <w:pPr>
              <w:spacing w:after="0"/>
              <w:rPr>
                <w:sz w:val="24"/>
                <w:szCs w:val="24"/>
                <w:color w:val="auto"/>
              </w:rPr>
            </w:pPr>
          </w:p>
        </w:tc>
        <w:tc>
          <w:tcPr>
            <w:tcW w:w="2420" w:type="dxa"/>
            <w:vAlign w:val="bottom"/>
          </w:tcPr>
          <w:p>
            <w:pPr>
              <w:jc w:val="center"/>
              <w:spacing w:after="0"/>
              <w:rPr>
                <w:sz w:val="20"/>
                <w:szCs w:val="20"/>
                <w:color w:val="auto"/>
              </w:rPr>
            </w:pPr>
            <w:r>
              <w:rPr>
                <w:rFonts w:ascii="Calibri" w:cs="Calibri" w:eastAsia="Calibri" w:hAnsi="Calibri"/>
                <w:sz w:val="22"/>
                <w:szCs w:val="22"/>
                <w:color w:val="auto"/>
              </w:rPr>
              <w:t>(0.187)</w:t>
            </w:r>
          </w:p>
        </w:tc>
        <w:tc>
          <w:tcPr>
            <w:tcW w:w="1060" w:type="dxa"/>
            <w:vAlign w:val="bottom"/>
          </w:tcPr>
          <w:p>
            <w:pPr>
              <w:jc w:val="center"/>
              <w:spacing w:after="0"/>
              <w:rPr>
                <w:sz w:val="20"/>
                <w:szCs w:val="20"/>
                <w:color w:val="auto"/>
              </w:rPr>
            </w:pPr>
            <w:r>
              <w:rPr>
                <w:rFonts w:ascii="Calibri" w:cs="Calibri" w:eastAsia="Calibri" w:hAnsi="Calibri"/>
                <w:sz w:val="22"/>
                <w:szCs w:val="22"/>
                <w:color w:val="auto"/>
              </w:rPr>
              <w:t>(0.284)</w:t>
            </w:r>
          </w:p>
        </w:tc>
        <w:tc>
          <w:tcPr>
            <w:tcW w:w="1120" w:type="dxa"/>
            <w:vAlign w:val="bottom"/>
          </w:tcPr>
          <w:p>
            <w:pPr>
              <w:jc w:val="center"/>
              <w:spacing w:after="0"/>
              <w:rPr>
                <w:sz w:val="20"/>
                <w:szCs w:val="20"/>
                <w:color w:val="auto"/>
              </w:rPr>
            </w:pPr>
            <w:r>
              <w:rPr>
                <w:rFonts w:ascii="Calibri" w:cs="Calibri" w:eastAsia="Calibri" w:hAnsi="Calibri"/>
                <w:sz w:val="22"/>
                <w:szCs w:val="22"/>
                <w:color w:val="auto"/>
              </w:rPr>
              <w:t>(0.295)</w:t>
            </w:r>
          </w:p>
        </w:tc>
        <w:tc>
          <w:tcPr>
            <w:tcW w:w="1040" w:type="dxa"/>
            <w:vAlign w:val="bottom"/>
          </w:tcPr>
          <w:p>
            <w:pPr>
              <w:jc w:val="center"/>
              <w:spacing w:after="0"/>
              <w:rPr>
                <w:sz w:val="20"/>
                <w:szCs w:val="20"/>
                <w:color w:val="auto"/>
              </w:rPr>
            </w:pPr>
            <w:r>
              <w:rPr>
                <w:rFonts w:ascii="Calibri" w:cs="Calibri" w:eastAsia="Calibri" w:hAnsi="Calibri"/>
                <w:sz w:val="22"/>
                <w:szCs w:val="22"/>
                <w:color w:val="auto"/>
              </w:rPr>
              <w:t>(0.225)</w:t>
            </w:r>
          </w:p>
        </w:tc>
        <w:tc>
          <w:tcPr>
            <w:tcW w:w="1120" w:type="dxa"/>
            <w:vAlign w:val="bottom"/>
          </w:tcPr>
          <w:p>
            <w:pPr>
              <w:jc w:val="center"/>
              <w:spacing w:after="0"/>
              <w:rPr>
                <w:sz w:val="20"/>
                <w:szCs w:val="20"/>
                <w:color w:val="auto"/>
              </w:rPr>
            </w:pPr>
            <w:r>
              <w:rPr>
                <w:rFonts w:ascii="Calibri" w:cs="Calibri" w:eastAsia="Calibri" w:hAnsi="Calibri"/>
                <w:sz w:val="22"/>
                <w:szCs w:val="22"/>
                <w:color w:val="auto"/>
              </w:rPr>
              <w:t>(0.249)</w:t>
            </w:r>
          </w:p>
        </w:tc>
        <w:tc>
          <w:tcPr>
            <w:tcW w:w="2020" w:type="dxa"/>
            <w:vAlign w:val="bottom"/>
          </w:tcPr>
          <w:p>
            <w:pPr>
              <w:jc w:val="center"/>
              <w:spacing w:after="0"/>
              <w:rPr>
                <w:sz w:val="20"/>
                <w:szCs w:val="20"/>
                <w:color w:val="auto"/>
              </w:rPr>
            </w:pPr>
            <w:r>
              <w:rPr>
                <w:rFonts w:ascii="Calibri" w:cs="Calibri" w:eastAsia="Calibri" w:hAnsi="Calibri"/>
                <w:sz w:val="22"/>
                <w:szCs w:val="22"/>
                <w:color w:val="auto"/>
                <w:w w:val="97"/>
              </w:rPr>
              <w:t>(0.235)</w:t>
            </w:r>
          </w:p>
        </w:tc>
      </w:tr>
      <w:tr>
        <w:trPr>
          <w:trHeight w:val="288"/>
        </w:trPr>
        <w:tc>
          <w:tcPr>
            <w:tcW w:w="20" w:type="dxa"/>
            <w:vAlign w:val="bottom"/>
          </w:tcPr>
          <w:p>
            <w:pPr>
              <w:spacing w:after="0"/>
              <w:rPr>
                <w:sz w:val="24"/>
                <w:szCs w:val="24"/>
                <w:color w:val="auto"/>
              </w:rPr>
            </w:pPr>
          </w:p>
        </w:tc>
        <w:tc>
          <w:tcPr>
            <w:tcW w:w="2380" w:type="dxa"/>
            <w:vAlign w:val="bottom"/>
          </w:tcPr>
          <w:p>
            <w:pPr>
              <w:ind w:left="100"/>
              <w:spacing w:after="0"/>
              <w:rPr>
                <w:sz w:val="20"/>
                <w:szCs w:val="20"/>
                <w:color w:val="auto"/>
              </w:rPr>
            </w:pPr>
            <w:r>
              <w:rPr>
                <w:rFonts w:ascii="Calibri" w:cs="Calibri" w:eastAsia="Calibri" w:hAnsi="Calibri"/>
                <w:sz w:val="22"/>
                <w:szCs w:val="22"/>
                <w:color w:val="auto"/>
              </w:rPr>
              <w:t>Only crowd</w:t>
            </w:r>
          </w:p>
        </w:tc>
        <w:tc>
          <w:tcPr>
            <w:tcW w:w="2420" w:type="dxa"/>
            <w:vAlign w:val="bottom"/>
          </w:tcPr>
          <w:p>
            <w:pPr>
              <w:jc w:val="center"/>
              <w:spacing w:after="0"/>
              <w:rPr>
                <w:sz w:val="20"/>
                <w:szCs w:val="20"/>
                <w:color w:val="auto"/>
              </w:rPr>
            </w:pPr>
            <w:r>
              <w:rPr>
                <w:rFonts w:ascii="Calibri" w:cs="Calibri" w:eastAsia="Calibri" w:hAnsi="Calibri"/>
                <w:sz w:val="22"/>
                <w:szCs w:val="22"/>
                <w:color w:val="auto"/>
                <w:w w:val="99"/>
              </w:rPr>
              <w:t>0.309</w:t>
            </w:r>
          </w:p>
        </w:tc>
        <w:tc>
          <w:tcPr>
            <w:tcW w:w="1060" w:type="dxa"/>
            <w:vAlign w:val="bottom"/>
          </w:tcPr>
          <w:p>
            <w:pPr>
              <w:jc w:val="center"/>
              <w:spacing w:after="0"/>
              <w:rPr>
                <w:sz w:val="20"/>
                <w:szCs w:val="20"/>
                <w:color w:val="auto"/>
              </w:rPr>
            </w:pPr>
            <w:r>
              <w:rPr>
                <w:rFonts w:ascii="Calibri" w:cs="Calibri" w:eastAsia="Calibri" w:hAnsi="Calibri"/>
                <w:sz w:val="22"/>
                <w:szCs w:val="22"/>
                <w:color w:val="auto"/>
                <w:w w:val="99"/>
              </w:rPr>
              <w:t>0.266</w:t>
            </w:r>
          </w:p>
        </w:tc>
        <w:tc>
          <w:tcPr>
            <w:tcW w:w="1120" w:type="dxa"/>
            <w:vAlign w:val="bottom"/>
          </w:tcPr>
          <w:p>
            <w:pPr>
              <w:jc w:val="center"/>
              <w:spacing w:after="0"/>
              <w:rPr>
                <w:sz w:val="20"/>
                <w:szCs w:val="20"/>
                <w:color w:val="auto"/>
              </w:rPr>
            </w:pPr>
            <w:r>
              <w:rPr>
                <w:rFonts w:ascii="Calibri" w:cs="Calibri" w:eastAsia="Calibri" w:hAnsi="Calibri"/>
                <w:sz w:val="22"/>
                <w:szCs w:val="22"/>
                <w:color w:val="auto"/>
                <w:w w:val="99"/>
              </w:rPr>
              <w:t>0.306</w:t>
            </w:r>
          </w:p>
        </w:tc>
        <w:tc>
          <w:tcPr>
            <w:tcW w:w="1040" w:type="dxa"/>
            <w:vAlign w:val="bottom"/>
          </w:tcPr>
          <w:p>
            <w:pPr>
              <w:jc w:val="center"/>
              <w:spacing w:after="0"/>
              <w:rPr>
                <w:sz w:val="20"/>
                <w:szCs w:val="20"/>
                <w:color w:val="auto"/>
              </w:rPr>
            </w:pPr>
            <w:r>
              <w:rPr>
                <w:rFonts w:ascii="Calibri" w:cs="Calibri" w:eastAsia="Calibri" w:hAnsi="Calibri"/>
                <w:sz w:val="22"/>
                <w:szCs w:val="22"/>
                <w:color w:val="auto"/>
                <w:w w:val="98"/>
              </w:rPr>
              <w:t>0.436*</w:t>
            </w:r>
          </w:p>
        </w:tc>
        <w:tc>
          <w:tcPr>
            <w:tcW w:w="1120" w:type="dxa"/>
            <w:vAlign w:val="bottom"/>
          </w:tcPr>
          <w:p>
            <w:pPr>
              <w:jc w:val="center"/>
              <w:spacing w:after="0"/>
              <w:rPr>
                <w:sz w:val="20"/>
                <w:szCs w:val="20"/>
                <w:color w:val="auto"/>
              </w:rPr>
            </w:pPr>
            <w:r>
              <w:rPr>
                <w:rFonts w:ascii="Calibri" w:cs="Calibri" w:eastAsia="Calibri" w:hAnsi="Calibri"/>
                <w:sz w:val="22"/>
                <w:szCs w:val="22"/>
                <w:color w:val="auto"/>
              </w:rPr>
              <w:t>0.216</w:t>
            </w:r>
          </w:p>
        </w:tc>
        <w:tc>
          <w:tcPr>
            <w:tcW w:w="2020" w:type="dxa"/>
            <w:vAlign w:val="bottom"/>
          </w:tcPr>
          <w:p>
            <w:pPr>
              <w:jc w:val="center"/>
              <w:spacing w:after="0"/>
              <w:rPr>
                <w:sz w:val="20"/>
                <w:szCs w:val="20"/>
                <w:color w:val="auto"/>
              </w:rPr>
            </w:pPr>
            <w:r>
              <w:rPr>
                <w:rFonts w:ascii="Calibri" w:cs="Calibri" w:eastAsia="Calibri" w:hAnsi="Calibri"/>
                <w:sz w:val="22"/>
                <w:szCs w:val="22"/>
                <w:color w:val="auto"/>
                <w:w w:val="99"/>
              </w:rPr>
              <w:t>0.312</w:t>
            </w:r>
          </w:p>
        </w:tc>
      </w:tr>
      <w:tr>
        <w:trPr>
          <w:trHeight w:val="288"/>
        </w:trPr>
        <w:tc>
          <w:tcPr>
            <w:tcW w:w="20" w:type="dxa"/>
            <w:vAlign w:val="bottom"/>
          </w:tcPr>
          <w:p>
            <w:pPr>
              <w:spacing w:after="0"/>
              <w:rPr>
                <w:sz w:val="24"/>
                <w:szCs w:val="24"/>
                <w:color w:val="auto"/>
              </w:rPr>
            </w:pPr>
          </w:p>
        </w:tc>
        <w:tc>
          <w:tcPr>
            <w:tcW w:w="2380" w:type="dxa"/>
            <w:vAlign w:val="bottom"/>
          </w:tcPr>
          <w:p>
            <w:pPr>
              <w:spacing w:after="0"/>
              <w:rPr>
                <w:sz w:val="24"/>
                <w:szCs w:val="24"/>
                <w:color w:val="auto"/>
              </w:rPr>
            </w:pPr>
          </w:p>
        </w:tc>
        <w:tc>
          <w:tcPr>
            <w:tcW w:w="2420" w:type="dxa"/>
            <w:vAlign w:val="bottom"/>
          </w:tcPr>
          <w:p>
            <w:pPr>
              <w:jc w:val="center"/>
              <w:spacing w:after="0"/>
              <w:rPr>
                <w:sz w:val="20"/>
                <w:szCs w:val="20"/>
                <w:color w:val="auto"/>
              </w:rPr>
            </w:pPr>
            <w:r>
              <w:rPr>
                <w:rFonts w:ascii="Calibri" w:cs="Calibri" w:eastAsia="Calibri" w:hAnsi="Calibri"/>
                <w:sz w:val="22"/>
                <w:szCs w:val="22"/>
                <w:color w:val="auto"/>
              </w:rPr>
              <w:t>(0.209)</w:t>
            </w:r>
          </w:p>
        </w:tc>
        <w:tc>
          <w:tcPr>
            <w:tcW w:w="1060" w:type="dxa"/>
            <w:vAlign w:val="bottom"/>
          </w:tcPr>
          <w:p>
            <w:pPr>
              <w:jc w:val="center"/>
              <w:spacing w:after="0"/>
              <w:rPr>
                <w:sz w:val="20"/>
                <w:szCs w:val="20"/>
                <w:color w:val="auto"/>
              </w:rPr>
            </w:pPr>
            <w:r>
              <w:rPr>
                <w:rFonts w:ascii="Calibri" w:cs="Calibri" w:eastAsia="Calibri" w:hAnsi="Calibri"/>
                <w:sz w:val="22"/>
                <w:szCs w:val="22"/>
                <w:color w:val="auto"/>
              </w:rPr>
              <w:t>(0.220)</w:t>
            </w:r>
          </w:p>
        </w:tc>
        <w:tc>
          <w:tcPr>
            <w:tcW w:w="1120" w:type="dxa"/>
            <w:vAlign w:val="bottom"/>
          </w:tcPr>
          <w:p>
            <w:pPr>
              <w:jc w:val="center"/>
              <w:spacing w:after="0"/>
              <w:rPr>
                <w:sz w:val="20"/>
                <w:szCs w:val="20"/>
                <w:color w:val="auto"/>
              </w:rPr>
            </w:pPr>
            <w:r>
              <w:rPr>
                <w:rFonts w:ascii="Calibri" w:cs="Calibri" w:eastAsia="Calibri" w:hAnsi="Calibri"/>
                <w:sz w:val="22"/>
                <w:szCs w:val="22"/>
                <w:color w:val="auto"/>
              </w:rPr>
              <w:t>(0.248)</w:t>
            </w:r>
          </w:p>
        </w:tc>
        <w:tc>
          <w:tcPr>
            <w:tcW w:w="1040" w:type="dxa"/>
            <w:vAlign w:val="bottom"/>
          </w:tcPr>
          <w:p>
            <w:pPr>
              <w:jc w:val="center"/>
              <w:spacing w:after="0"/>
              <w:rPr>
                <w:sz w:val="20"/>
                <w:szCs w:val="20"/>
                <w:color w:val="auto"/>
              </w:rPr>
            </w:pPr>
            <w:r>
              <w:rPr>
                <w:rFonts w:ascii="Calibri" w:cs="Calibri" w:eastAsia="Calibri" w:hAnsi="Calibri"/>
                <w:sz w:val="22"/>
                <w:szCs w:val="22"/>
                <w:color w:val="auto"/>
              </w:rPr>
              <w:t>(0.225)</w:t>
            </w:r>
          </w:p>
        </w:tc>
        <w:tc>
          <w:tcPr>
            <w:tcW w:w="1120" w:type="dxa"/>
            <w:vAlign w:val="bottom"/>
          </w:tcPr>
          <w:p>
            <w:pPr>
              <w:jc w:val="center"/>
              <w:spacing w:after="0"/>
              <w:rPr>
                <w:sz w:val="20"/>
                <w:szCs w:val="20"/>
                <w:color w:val="auto"/>
              </w:rPr>
            </w:pPr>
            <w:r>
              <w:rPr>
                <w:rFonts w:ascii="Calibri" w:cs="Calibri" w:eastAsia="Calibri" w:hAnsi="Calibri"/>
                <w:sz w:val="22"/>
                <w:szCs w:val="22"/>
                <w:color w:val="auto"/>
              </w:rPr>
              <w:t>(0.246)</w:t>
            </w:r>
          </w:p>
        </w:tc>
        <w:tc>
          <w:tcPr>
            <w:tcW w:w="2020" w:type="dxa"/>
            <w:vAlign w:val="bottom"/>
          </w:tcPr>
          <w:p>
            <w:pPr>
              <w:jc w:val="center"/>
              <w:spacing w:after="0"/>
              <w:rPr>
                <w:sz w:val="20"/>
                <w:szCs w:val="20"/>
                <w:color w:val="auto"/>
              </w:rPr>
            </w:pPr>
            <w:r>
              <w:rPr>
                <w:rFonts w:ascii="Calibri" w:cs="Calibri" w:eastAsia="Calibri" w:hAnsi="Calibri"/>
                <w:sz w:val="22"/>
                <w:szCs w:val="22"/>
                <w:color w:val="auto"/>
                <w:w w:val="97"/>
              </w:rPr>
              <w:t>(0.270)</w:t>
            </w:r>
          </w:p>
        </w:tc>
      </w:tr>
      <w:tr>
        <w:trPr>
          <w:trHeight w:val="288"/>
        </w:trPr>
        <w:tc>
          <w:tcPr>
            <w:tcW w:w="20" w:type="dxa"/>
            <w:vAlign w:val="bottom"/>
          </w:tcPr>
          <w:p>
            <w:pPr>
              <w:spacing w:after="0"/>
              <w:rPr>
                <w:sz w:val="24"/>
                <w:szCs w:val="24"/>
                <w:color w:val="auto"/>
              </w:rPr>
            </w:pPr>
          </w:p>
        </w:tc>
        <w:tc>
          <w:tcPr>
            <w:tcW w:w="2380" w:type="dxa"/>
            <w:vAlign w:val="bottom"/>
          </w:tcPr>
          <w:p>
            <w:pPr>
              <w:ind w:left="100"/>
              <w:spacing w:after="0"/>
              <w:rPr>
                <w:sz w:val="20"/>
                <w:szCs w:val="20"/>
                <w:color w:val="auto"/>
              </w:rPr>
            </w:pPr>
            <w:r>
              <w:rPr>
                <w:rFonts w:ascii="Calibri" w:cs="Calibri" w:eastAsia="Calibri" w:hAnsi="Calibri"/>
                <w:sz w:val="22"/>
                <w:szCs w:val="22"/>
                <w:color w:val="auto"/>
              </w:rPr>
              <w:t>Constant</w:t>
            </w:r>
          </w:p>
        </w:tc>
        <w:tc>
          <w:tcPr>
            <w:tcW w:w="2420" w:type="dxa"/>
            <w:vAlign w:val="bottom"/>
          </w:tcPr>
          <w:p>
            <w:pPr>
              <w:jc w:val="center"/>
              <w:spacing w:after="0"/>
              <w:rPr>
                <w:sz w:val="20"/>
                <w:szCs w:val="20"/>
                <w:color w:val="auto"/>
              </w:rPr>
            </w:pPr>
            <w:r>
              <w:rPr>
                <w:rFonts w:ascii="Calibri" w:cs="Calibri" w:eastAsia="Calibri" w:hAnsi="Calibri"/>
                <w:sz w:val="22"/>
                <w:szCs w:val="22"/>
                <w:color w:val="auto"/>
                <w:w w:val="98"/>
              </w:rPr>
              <w:t>2.271***</w:t>
            </w:r>
          </w:p>
        </w:tc>
        <w:tc>
          <w:tcPr>
            <w:tcW w:w="1060" w:type="dxa"/>
            <w:vAlign w:val="bottom"/>
          </w:tcPr>
          <w:p>
            <w:pPr>
              <w:jc w:val="center"/>
              <w:spacing w:after="0"/>
              <w:rPr>
                <w:sz w:val="20"/>
                <w:szCs w:val="20"/>
                <w:color w:val="auto"/>
              </w:rPr>
            </w:pPr>
            <w:r>
              <w:rPr>
                <w:rFonts w:ascii="Calibri" w:cs="Calibri" w:eastAsia="Calibri" w:hAnsi="Calibri"/>
                <w:sz w:val="22"/>
                <w:szCs w:val="22"/>
                <w:color w:val="auto"/>
                <w:w w:val="98"/>
              </w:rPr>
              <w:t>1.369***</w:t>
            </w:r>
          </w:p>
        </w:tc>
        <w:tc>
          <w:tcPr>
            <w:tcW w:w="1120" w:type="dxa"/>
            <w:vAlign w:val="bottom"/>
          </w:tcPr>
          <w:p>
            <w:pPr>
              <w:jc w:val="center"/>
              <w:spacing w:after="0"/>
              <w:rPr>
                <w:sz w:val="20"/>
                <w:szCs w:val="20"/>
                <w:color w:val="auto"/>
              </w:rPr>
            </w:pPr>
            <w:r>
              <w:rPr>
                <w:rFonts w:ascii="Calibri" w:cs="Calibri" w:eastAsia="Calibri" w:hAnsi="Calibri"/>
                <w:sz w:val="22"/>
                <w:szCs w:val="22"/>
                <w:color w:val="auto"/>
              </w:rPr>
              <w:t>1.777***</w:t>
            </w:r>
          </w:p>
        </w:tc>
        <w:tc>
          <w:tcPr>
            <w:tcW w:w="1040" w:type="dxa"/>
            <w:vAlign w:val="bottom"/>
          </w:tcPr>
          <w:p>
            <w:pPr>
              <w:jc w:val="center"/>
              <w:spacing w:after="0"/>
              <w:rPr>
                <w:sz w:val="20"/>
                <w:szCs w:val="20"/>
                <w:color w:val="auto"/>
              </w:rPr>
            </w:pPr>
            <w:r>
              <w:rPr>
                <w:rFonts w:ascii="Calibri" w:cs="Calibri" w:eastAsia="Calibri" w:hAnsi="Calibri"/>
                <w:sz w:val="22"/>
                <w:szCs w:val="22"/>
                <w:color w:val="auto"/>
              </w:rPr>
              <w:t>2.155***</w:t>
            </w:r>
          </w:p>
        </w:tc>
        <w:tc>
          <w:tcPr>
            <w:tcW w:w="1120" w:type="dxa"/>
            <w:vAlign w:val="bottom"/>
          </w:tcPr>
          <w:p>
            <w:pPr>
              <w:jc w:val="center"/>
              <w:spacing w:after="0"/>
              <w:rPr>
                <w:sz w:val="20"/>
                <w:szCs w:val="20"/>
                <w:color w:val="auto"/>
              </w:rPr>
            </w:pPr>
            <w:r>
              <w:rPr>
                <w:rFonts w:ascii="Calibri" w:cs="Calibri" w:eastAsia="Calibri" w:hAnsi="Calibri"/>
                <w:sz w:val="22"/>
                <w:szCs w:val="22"/>
                <w:color w:val="auto"/>
              </w:rPr>
              <w:t>3.481***</w:t>
            </w:r>
          </w:p>
        </w:tc>
        <w:tc>
          <w:tcPr>
            <w:tcW w:w="2020" w:type="dxa"/>
            <w:vAlign w:val="bottom"/>
          </w:tcPr>
          <w:p>
            <w:pPr>
              <w:jc w:val="center"/>
              <w:spacing w:after="0"/>
              <w:rPr>
                <w:sz w:val="20"/>
                <w:szCs w:val="20"/>
                <w:color w:val="auto"/>
              </w:rPr>
            </w:pPr>
            <w:r>
              <w:rPr>
                <w:rFonts w:ascii="Calibri" w:cs="Calibri" w:eastAsia="Calibri" w:hAnsi="Calibri"/>
                <w:sz w:val="22"/>
                <w:szCs w:val="22"/>
                <w:color w:val="auto"/>
                <w:w w:val="98"/>
              </w:rPr>
              <w:t>2.576***</w:t>
            </w:r>
          </w:p>
        </w:tc>
      </w:tr>
      <w:tr>
        <w:trPr>
          <w:trHeight w:val="288"/>
        </w:trPr>
        <w:tc>
          <w:tcPr>
            <w:tcW w:w="20" w:type="dxa"/>
            <w:vAlign w:val="bottom"/>
          </w:tcPr>
          <w:p>
            <w:pPr>
              <w:spacing w:after="0"/>
              <w:rPr>
                <w:sz w:val="24"/>
                <w:szCs w:val="24"/>
                <w:color w:val="auto"/>
              </w:rPr>
            </w:pPr>
          </w:p>
        </w:tc>
        <w:tc>
          <w:tcPr>
            <w:tcW w:w="2380" w:type="dxa"/>
            <w:vAlign w:val="bottom"/>
          </w:tcPr>
          <w:p>
            <w:pPr>
              <w:spacing w:after="0"/>
              <w:rPr>
                <w:sz w:val="24"/>
                <w:szCs w:val="24"/>
                <w:color w:val="auto"/>
              </w:rPr>
            </w:pPr>
          </w:p>
        </w:tc>
        <w:tc>
          <w:tcPr>
            <w:tcW w:w="2420" w:type="dxa"/>
            <w:vAlign w:val="bottom"/>
          </w:tcPr>
          <w:p>
            <w:pPr>
              <w:jc w:val="center"/>
              <w:spacing w:after="0"/>
              <w:rPr>
                <w:sz w:val="20"/>
                <w:szCs w:val="20"/>
                <w:color w:val="auto"/>
              </w:rPr>
            </w:pPr>
            <w:r>
              <w:rPr>
                <w:rFonts w:ascii="Calibri" w:cs="Calibri" w:eastAsia="Calibri" w:hAnsi="Calibri"/>
                <w:sz w:val="22"/>
                <w:szCs w:val="22"/>
                <w:color w:val="auto"/>
              </w:rPr>
              <w:t>(0.089)</w:t>
            </w:r>
          </w:p>
        </w:tc>
        <w:tc>
          <w:tcPr>
            <w:tcW w:w="1060" w:type="dxa"/>
            <w:vAlign w:val="bottom"/>
          </w:tcPr>
          <w:p>
            <w:pPr>
              <w:jc w:val="center"/>
              <w:spacing w:after="0"/>
              <w:rPr>
                <w:sz w:val="20"/>
                <w:szCs w:val="20"/>
                <w:color w:val="auto"/>
              </w:rPr>
            </w:pPr>
            <w:r>
              <w:rPr>
                <w:rFonts w:ascii="Calibri" w:cs="Calibri" w:eastAsia="Calibri" w:hAnsi="Calibri"/>
                <w:sz w:val="22"/>
                <w:szCs w:val="22"/>
                <w:color w:val="auto"/>
              </w:rPr>
              <w:t>(0.100)</w:t>
            </w:r>
          </w:p>
        </w:tc>
        <w:tc>
          <w:tcPr>
            <w:tcW w:w="1120" w:type="dxa"/>
            <w:vAlign w:val="bottom"/>
          </w:tcPr>
          <w:p>
            <w:pPr>
              <w:jc w:val="center"/>
              <w:spacing w:after="0"/>
              <w:rPr>
                <w:sz w:val="20"/>
                <w:szCs w:val="20"/>
                <w:color w:val="auto"/>
              </w:rPr>
            </w:pPr>
            <w:r>
              <w:rPr>
                <w:rFonts w:ascii="Calibri" w:cs="Calibri" w:eastAsia="Calibri" w:hAnsi="Calibri"/>
                <w:sz w:val="22"/>
                <w:szCs w:val="22"/>
                <w:color w:val="auto"/>
              </w:rPr>
              <w:t>(0.103)</w:t>
            </w:r>
          </w:p>
        </w:tc>
        <w:tc>
          <w:tcPr>
            <w:tcW w:w="1040" w:type="dxa"/>
            <w:vAlign w:val="bottom"/>
          </w:tcPr>
          <w:p>
            <w:pPr>
              <w:jc w:val="center"/>
              <w:spacing w:after="0"/>
              <w:rPr>
                <w:sz w:val="20"/>
                <w:szCs w:val="20"/>
                <w:color w:val="auto"/>
              </w:rPr>
            </w:pPr>
            <w:r>
              <w:rPr>
                <w:rFonts w:ascii="Calibri" w:cs="Calibri" w:eastAsia="Calibri" w:hAnsi="Calibri"/>
                <w:sz w:val="22"/>
                <w:szCs w:val="22"/>
                <w:color w:val="auto"/>
              </w:rPr>
              <w:t>(0.112)</w:t>
            </w:r>
          </w:p>
        </w:tc>
        <w:tc>
          <w:tcPr>
            <w:tcW w:w="1120" w:type="dxa"/>
            <w:vAlign w:val="bottom"/>
          </w:tcPr>
          <w:p>
            <w:pPr>
              <w:jc w:val="center"/>
              <w:spacing w:after="0"/>
              <w:rPr>
                <w:sz w:val="20"/>
                <w:szCs w:val="20"/>
                <w:color w:val="auto"/>
              </w:rPr>
            </w:pPr>
            <w:r>
              <w:rPr>
                <w:rFonts w:ascii="Calibri" w:cs="Calibri" w:eastAsia="Calibri" w:hAnsi="Calibri"/>
                <w:sz w:val="22"/>
                <w:szCs w:val="22"/>
                <w:color w:val="auto"/>
              </w:rPr>
              <w:t>(0.102)</w:t>
            </w:r>
          </w:p>
        </w:tc>
        <w:tc>
          <w:tcPr>
            <w:tcW w:w="2020" w:type="dxa"/>
            <w:vAlign w:val="bottom"/>
          </w:tcPr>
          <w:p>
            <w:pPr>
              <w:jc w:val="center"/>
              <w:spacing w:after="0"/>
              <w:rPr>
                <w:sz w:val="20"/>
                <w:szCs w:val="20"/>
                <w:color w:val="auto"/>
              </w:rPr>
            </w:pPr>
            <w:r>
              <w:rPr>
                <w:rFonts w:ascii="Calibri" w:cs="Calibri" w:eastAsia="Calibri" w:hAnsi="Calibri"/>
                <w:sz w:val="22"/>
                <w:szCs w:val="22"/>
                <w:color w:val="auto"/>
                <w:w w:val="97"/>
              </w:rPr>
              <w:t>(0.115)</w:t>
            </w:r>
          </w:p>
        </w:tc>
      </w:tr>
      <w:tr>
        <w:trPr>
          <w:trHeight w:val="278"/>
        </w:trPr>
        <w:tc>
          <w:tcPr>
            <w:tcW w:w="20" w:type="dxa"/>
            <w:vAlign w:val="bottom"/>
          </w:tcPr>
          <w:p>
            <w:pPr>
              <w:spacing w:after="0"/>
              <w:rPr>
                <w:sz w:val="24"/>
                <w:szCs w:val="24"/>
                <w:color w:val="auto"/>
              </w:rPr>
            </w:pPr>
          </w:p>
        </w:tc>
        <w:tc>
          <w:tcPr>
            <w:tcW w:w="2380" w:type="dxa"/>
            <w:vAlign w:val="bottom"/>
            <w:tcBorders>
              <w:bottom w:val="single" w:sz="8" w:color="auto"/>
            </w:tcBorders>
          </w:tcPr>
          <w:p>
            <w:pPr>
              <w:spacing w:after="0"/>
              <w:rPr>
                <w:sz w:val="24"/>
                <w:szCs w:val="24"/>
                <w:color w:val="auto"/>
              </w:rPr>
            </w:pPr>
          </w:p>
        </w:tc>
        <w:tc>
          <w:tcPr>
            <w:tcW w:w="2420" w:type="dxa"/>
            <w:vAlign w:val="bottom"/>
            <w:tcBorders>
              <w:bottom w:val="single" w:sz="8" w:color="auto"/>
            </w:tcBorders>
          </w:tcPr>
          <w:p>
            <w:pPr>
              <w:spacing w:after="0"/>
              <w:rPr>
                <w:sz w:val="24"/>
                <w:szCs w:val="24"/>
                <w:color w:val="auto"/>
              </w:rPr>
            </w:pPr>
          </w:p>
        </w:tc>
        <w:tc>
          <w:tcPr>
            <w:tcW w:w="1060" w:type="dxa"/>
            <w:vAlign w:val="bottom"/>
            <w:tcBorders>
              <w:bottom w:val="single" w:sz="8" w:color="auto"/>
            </w:tcBorders>
          </w:tcPr>
          <w:p>
            <w:pPr>
              <w:spacing w:after="0"/>
              <w:rPr>
                <w:sz w:val="24"/>
                <w:szCs w:val="24"/>
                <w:color w:val="auto"/>
              </w:rPr>
            </w:pPr>
          </w:p>
        </w:tc>
        <w:tc>
          <w:tcPr>
            <w:tcW w:w="1120" w:type="dxa"/>
            <w:vAlign w:val="bottom"/>
            <w:tcBorders>
              <w:bottom w:val="single" w:sz="8" w:color="auto"/>
            </w:tcBorders>
          </w:tcPr>
          <w:p>
            <w:pPr>
              <w:spacing w:after="0"/>
              <w:rPr>
                <w:sz w:val="24"/>
                <w:szCs w:val="24"/>
                <w:color w:val="auto"/>
              </w:rPr>
            </w:pPr>
          </w:p>
        </w:tc>
        <w:tc>
          <w:tcPr>
            <w:tcW w:w="1040" w:type="dxa"/>
            <w:vAlign w:val="bottom"/>
            <w:tcBorders>
              <w:bottom w:val="single" w:sz="8" w:color="auto"/>
            </w:tcBorders>
          </w:tcPr>
          <w:p>
            <w:pPr>
              <w:spacing w:after="0"/>
              <w:rPr>
                <w:sz w:val="24"/>
                <w:szCs w:val="24"/>
                <w:color w:val="auto"/>
              </w:rPr>
            </w:pPr>
          </w:p>
        </w:tc>
        <w:tc>
          <w:tcPr>
            <w:tcW w:w="1120" w:type="dxa"/>
            <w:vAlign w:val="bottom"/>
            <w:tcBorders>
              <w:bottom w:val="single" w:sz="8" w:color="auto"/>
            </w:tcBorders>
          </w:tcPr>
          <w:p>
            <w:pPr>
              <w:spacing w:after="0"/>
              <w:rPr>
                <w:sz w:val="24"/>
                <w:szCs w:val="24"/>
                <w:color w:val="auto"/>
              </w:rPr>
            </w:pPr>
          </w:p>
        </w:tc>
        <w:tc>
          <w:tcPr>
            <w:tcW w:w="2020" w:type="dxa"/>
            <w:vAlign w:val="bottom"/>
            <w:tcBorders>
              <w:bottom w:val="single" w:sz="8" w:color="auto"/>
            </w:tcBorders>
          </w:tcPr>
          <w:p>
            <w:pPr>
              <w:spacing w:after="0"/>
              <w:rPr>
                <w:sz w:val="24"/>
                <w:szCs w:val="24"/>
                <w:color w:val="auto"/>
              </w:rPr>
            </w:pPr>
          </w:p>
        </w:tc>
      </w:tr>
      <w:tr>
        <w:trPr>
          <w:trHeight w:val="269"/>
        </w:trPr>
        <w:tc>
          <w:tcPr>
            <w:tcW w:w="20" w:type="dxa"/>
            <w:vAlign w:val="bottom"/>
          </w:tcPr>
          <w:p>
            <w:pPr>
              <w:spacing w:after="0"/>
              <w:rPr>
                <w:sz w:val="23"/>
                <w:szCs w:val="23"/>
                <w:color w:val="auto"/>
              </w:rPr>
            </w:pPr>
          </w:p>
        </w:tc>
        <w:tc>
          <w:tcPr>
            <w:tcW w:w="2380" w:type="dxa"/>
            <w:vAlign w:val="bottom"/>
          </w:tcPr>
          <w:p>
            <w:pPr>
              <w:ind w:left="100"/>
              <w:spacing w:after="0"/>
              <w:rPr>
                <w:sz w:val="20"/>
                <w:szCs w:val="20"/>
                <w:color w:val="auto"/>
              </w:rPr>
            </w:pPr>
            <w:r>
              <w:rPr>
                <w:rFonts w:ascii="Calibri" w:cs="Calibri" w:eastAsia="Calibri" w:hAnsi="Calibri"/>
                <w:sz w:val="22"/>
                <w:szCs w:val="22"/>
                <w:color w:val="auto"/>
              </w:rPr>
              <w:t>Number of observations</w:t>
            </w:r>
          </w:p>
        </w:tc>
        <w:tc>
          <w:tcPr>
            <w:tcW w:w="2420" w:type="dxa"/>
            <w:vAlign w:val="bottom"/>
          </w:tcPr>
          <w:p>
            <w:pPr>
              <w:jc w:val="center"/>
              <w:spacing w:after="0"/>
              <w:rPr>
                <w:sz w:val="20"/>
                <w:szCs w:val="20"/>
                <w:color w:val="auto"/>
              </w:rPr>
            </w:pPr>
            <w:r>
              <w:rPr>
                <w:rFonts w:ascii="Calibri" w:cs="Calibri" w:eastAsia="Calibri" w:hAnsi="Calibri"/>
                <w:sz w:val="22"/>
                <w:szCs w:val="22"/>
                <w:color w:val="auto"/>
              </w:rPr>
              <w:t>120</w:t>
            </w:r>
          </w:p>
        </w:tc>
        <w:tc>
          <w:tcPr>
            <w:tcW w:w="1060" w:type="dxa"/>
            <w:vAlign w:val="bottom"/>
          </w:tcPr>
          <w:p>
            <w:pPr>
              <w:jc w:val="center"/>
              <w:spacing w:after="0"/>
              <w:rPr>
                <w:sz w:val="20"/>
                <w:szCs w:val="20"/>
                <w:color w:val="auto"/>
              </w:rPr>
            </w:pPr>
            <w:r>
              <w:rPr>
                <w:rFonts w:ascii="Calibri" w:cs="Calibri" w:eastAsia="Calibri" w:hAnsi="Calibri"/>
                <w:sz w:val="22"/>
                <w:szCs w:val="22"/>
                <w:color w:val="auto"/>
              </w:rPr>
              <w:t>120</w:t>
            </w:r>
          </w:p>
        </w:tc>
        <w:tc>
          <w:tcPr>
            <w:tcW w:w="1120" w:type="dxa"/>
            <w:vAlign w:val="bottom"/>
          </w:tcPr>
          <w:p>
            <w:pPr>
              <w:jc w:val="center"/>
              <w:spacing w:after="0"/>
              <w:rPr>
                <w:sz w:val="20"/>
                <w:szCs w:val="20"/>
                <w:color w:val="auto"/>
              </w:rPr>
            </w:pPr>
            <w:r>
              <w:rPr>
                <w:rFonts w:ascii="Calibri" w:cs="Calibri" w:eastAsia="Calibri" w:hAnsi="Calibri"/>
                <w:sz w:val="22"/>
                <w:szCs w:val="22"/>
                <w:color w:val="auto"/>
              </w:rPr>
              <w:t>120</w:t>
            </w:r>
          </w:p>
        </w:tc>
        <w:tc>
          <w:tcPr>
            <w:tcW w:w="1040" w:type="dxa"/>
            <w:vAlign w:val="bottom"/>
          </w:tcPr>
          <w:p>
            <w:pPr>
              <w:jc w:val="center"/>
              <w:spacing w:after="0"/>
              <w:rPr>
                <w:sz w:val="20"/>
                <w:szCs w:val="20"/>
                <w:color w:val="auto"/>
              </w:rPr>
            </w:pPr>
            <w:r>
              <w:rPr>
                <w:rFonts w:ascii="Calibri" w:cs="Calibri" w:eastAsia="Calibri" w:hAnsi="Calibri"/>
                <w:sz w:val="22"/>
                <w:szCs w:val="22"/>
                <w:color w:val="auto"/>
                <w:w w:val="95"/>
              </w:rPr>
              <w:t>120</w:t>
            </w:r>
          </w:p>
        </w:tc>
        <w:tc>
          <w:tcPr>
            <w:tcW w:w="1120" w:type="dxa"/>
            <w:vAlign w:val="bottom"/>
          </w:tcPr>
          <w:p>
            <w:pPr>
              <w:jc w:val="center"/>
              <w:spacing w:after="0"/>
              <w:rPr>
                <w:sz w:val="20"/>
                <w:szCs w:val="20"/>
                <w:color w:val="auto"/>
              </w:rPr>
            </w:pPr>
            <w:r>
              <w:rPr>
                <w:rFonts w:ascii="Calibri" w:cs="Calibri" w:eastAsia="Calibri" w:hAnsi="Calibri"/>
                <w:sz w:val="22"/>
                <w:szCs w:val="22"/>
                <w:color w:val="auto"/>
                <w:w w:val="95"/>
              </w:rPr>
              <w:t>120</w:t>
            </w:r>
          </w:p>
        </w:tc>
        <w:tc>
          <w:tcPr>
            <w:tcW w:w="2020" w:type="dxa"/>
            <w:vAlign w:val="bottom"/>
          </w:tcPr>
          <w:p>
            <w:pPr>
              <w:jc w:val="center"/>
              <w:spacing w:after="0"/>
              <w:rPr>
                <w:sz w:val="20"/>
                <w:szCs w:val="20"/>
                <w:color w:val="auto"/>
              </w:rPr>
            </w:pPr>
            <w:r>
              <w:rPr>
                <w:rFonts w:ascii="Calibri" w:cs="Calibri" w:eastAsia="Calibri" w:hAnsi="Calibri"/>
                <w:sz w:val="22"/>
                <w:szCs w:val="22"/>
                <w:color w:val="auto"/>
              </w:rPr>
              <w:t>120</w:t>
            </w:r>
          </w:p>
        </w:tc>
      </w:tr>
      <w:tr>
        <w:trPr>
          <w:trHeight w:val="299"/>
        </w:trPr>
        <w:tc>
          <w:tcPr>
            <w:tcW w:w="20" w:type="dxa"/>
            <w:vAlign w:val="bottom"/>
            <w:tcBorders>
              <w:bottom w:val="single" w:sz="8" w:color="auto"/>
            </w:tcBorders>
          </w:tcPr>
          <w:p>
            <w:pPr>
              <w:spacing w:after="0"/>
              <w:rPr>
                <w:sz w:val="24"/>
                <w:szCs w:val="24"/>
                <w:color w:val="auto"/>
              </w:rPr>
            </w:pPr>
          </w:p>
        </w:tc>
        <w:tc>
          <w:tcPr>
            <w:tcW w:w="2380" w:type="dxa"/>
            <w:vAlign w:val="bottom"/>
            <w:tcBorders>
              <w:bottom w:val="single" w:sz="8" w:color="auto"/>
            </w:tcBorders>
          </w:tcPr>
          <w:p>
            <w:pPr>
              <w:ind w:left="100"/>
              <w:spacing w:after="0"/>
              <w:rPr>
                <w:sz w:val="20"/>
                <w:szCs w:val="20"/>
                <w:color w:val="auto"/>
              </w:rPr>
            </w:pPr>
            <w:r>
              <w:rPr>
                <w:rFonts w:ascii="Calibri" w:cs="Calibri" w:eastAsia="Calibri" w:hAnsi="Calibri"/>
                <w:sz w:val="22"/>
                <w:szCs w:val="22"/>
                <w:color w:val="auto"/>
              </w:rPr>
              <w:t>R-squared</w:t>
            </w:r>
          </w:p>
        </w:tc>
        <w:tc>
          <w:tcPr>
            <w:tcW w:w="2420" w:type="dxa"/>
            <w:vAlign w:val="bottom"/>
            <w:tcBorders>
              <w:bottom w:val="single" w:sz="8" w:color="auto"/>
            </w:tcBorders>
          </w:tcPr>
          <w:p>
            <w:pPr>
              <w:jc w:val="center"/>
              <w:spacing w:after="0"/>
              <w:rPr>
                <w:sz w:val="20"/>
                <w:szCs w:val="20"/>
                <w:color w:val="auto"/>
              </w:rPr>
            </w:pPr>
            <w:r>
              <w:rPr>
                <w:rFonts w:ascii="Calibri" w:cs="Calibri" w:eastAsia="Calibri" w:hAnsi="Calibri"/>
                <w:sz w:val="22"/>
                <w:szCs w:val="22"/>
                <w:color w:val="auto"/>
                <w:w w:val="97"/>
              </w:rPr>
              <w:t>0.58</w:t>
            </w:r>
          </w:p>
        </w:tc>
        <w:tc>
          <w:tcPr>
            <w:tcW w:w="1060" w:type="dxa"/>
            <w:vAlign w:val="bottom"/>
            <w:tcBorders>
              <w:bottom w:val="single" w:sz="8" w:color="auto"/>
            </w:tcBorders>
          </w:tcPr>
          <w:p>
            <w:pPr>
              <w:jc w:val="center"/>
              <w:spacing w:after="0"/>
              <w:rPr>
                <w:sz w:val="20"/>
                <w:szCs w:val="20"/>
                <w:color w:val="auto"/>
              </w:rPr>
            </w:pPr>
            <w:r>
              <w:rPr>
                <w:rFonts w:ascii="Calibri" w:cs="Calibri" w:eastAsia="Calibri" w:hAnsi="Calibri"/>
                <w:sz w:val="22"/>
                <w:szCs w:val="22"/>
                <w:color w:val="auto"/>
              </w:rPr>
              <w:t>0.53</w:t>
            </w:r>
          </w:p>
        </w:tc>
        <w:tc>
          <w:tcPr>
            <w:tcW w:w="1120" w:type="dxa"/>
            <w:vAlign w:val="bottom"/>
            <w:tcBorders>
              <w:bottom w:val="single" w:sz="8" w:color="auto"/>
            </w:tcBorders>
          </w:tcPr>
          <w:p>
            <w:pPr>
              <w:jc w:val="center"/>
              <w:spacing w:after="0"/>
              <w:rPr>
                <w:sz w:val="20"/>
                <w:szCs w:val="20"/>
                <w:color w:val="auto"/>
              </w:rPr>
            </w:pPr>
            <w:r>
              <w:rPr>
                <w:rFonts w:ascii="Calibri" w:cs="Calibri" w:eastAsia="Calibri" w:hAnsi="Calibri"/>
                <w:sz w:val="22"/>
                <w:szCs w:val="22"/>
                <w:color w:val="auto"/>
                <w:w w:val="97"/>
              </w:rPr>
              <w:t>0.55</w:t>
            </w:r>
          </w:p>
        </w:tc>
        <w:tc>
          <w:tcPr>
            <w:tcW w:w="1040" w:type="dxa"/>
            <w:vAlign w:val="bottom"/>
            <w:tcBorders>
              <w:bottom w:val="single" w:sz="8" w:color="auto"/>
            </w:tcBorders>
          </w:tcPr>
          <w:p>
            <w:pPr>
              <w:jc w:val="center"/>
              <w:spacing w:after="0"/>
              <w:rPr>
                <w:sz w:val="20"/>
                <w:szCs w:val="20"/>
                <w:color w:val="auto"/>
              </w:rPr>
            </w:pPr>
            <w:r>
              <w:rPr>
                <w:rFonts w:ascii="Calibri" w:cs="Calibri" w:eastAsia="Calibri" w:hAnsi="Calibri"/>
                <w:sz w:val="22"/>
                <w:szCs w:val="22"/>
                <w:color w:val="auto"/>
              </w:rPr>
              <w:t>0.52</w:t>
            </w:r>
          </w:p>
        </w:tc>
        <w:tc>
          <w:tcPr>
            <w:tcW w:w="1120" w:type="dxa"/>
            <w:vAlign w:val="bottom"/>
            <w:tcBorders>
              <w:bottom w:val="single" w:sz="8" w:color="auto"/>
            </w:tcBorders>
          </w:tcPr>
          <w:p>
            <w:pPr>
              <w:jc w:val="center"/>
              <w:spacing w:after="0"/>
              <w:rPr>
                <w:sz w:val="20"/>
                <w:szCs w:val="20"/>
                <w:color w:val="auto"/>
              </w:rPr>
            </w:pPr>
            <w:r>
              <w:rPr>
                <w:rFonts w:ascii="Calibri" w:cs="Calibri" w:eastAsia="Calibri" w:hAnsi="Calibri"/>
                <w:sz w:val="22"/>
                <w:szCs w:val="22"/>
                <w:color w:val="auto"/>
              </w:rPr>
              <w:t>0.47</w:t>
            </w:r>
          </w:p>
        </w:tc>
        <w:tc>
          <w:tcPr>
            <w:tcW w:w="2020" w:type="dxa"/>
            <w:vAlign w:val="bottom"/>
            <w:tcBorders>
              <w:bottom w:val="single" w:sz="8" w:color="auto"/>
            </w:tcBorders>
          </w:tcPr>
          <w:p>
            <w:pPr>
              <w:jc w:val="center"/>
              <w:spacing w:after="0"/>
              <w:rPr>
                <w:sz w:val="20"/>
                <w:szCs w:val="20"/>
                <w:color w:val="auto"/>
              </w:rPr>
            </w:pPr>
            <w:r>
              <w:rPr>
                <w:rFonts w:ascii="Calibri" w:cs="Calibri" w:eastAsia="Calibri" w:hAnsi="Calibri"/>
                <w:sz w:val="22"/>
                <w:szCs w:val="22"/>
                <w:color w:val="auto"/>
                <w:w w:val="97"/>
              </w:rPr>
              <w:t>0.41</w:t>
            </w:r>
          </w:p>
        </w:tc>
      </w:tr>
      <w:tr>
        <w:trPr>
          <w:trHeight w:val="20"/>
        </w:trPr>
        <w:tc>
          <w:tcPr>
            <w:tcW w:w="20" w:type="dxa"/>
            <w:vAlign w:val="bottom"/>
            <w:tcBorders>
              <w:bottom w:val="single" w:sz="8" w:color="auto"/>
            </w:tcBorders>
          </w:tcPr>
          <w:p>
            <w:pPr>
              <w:spacing w:after="0" w:line="20" w:lineRule="exact"/>
              <w:rPr>
                <w:sz w:val="1"/>
                <w:szCs w:val="1"/>
                <w:color w:val="auto"/>
              </w:rPr>
            </w:pPr>
          </w:p>
        </w:tc>
        <w:tc>
          <w:tcPr>
            <w:tcW w:w="2380" w:type="dxa"/>
            <w:vAlign w:val="bottom"/>
            <w:tcBorders>
              <w:bottom w:val="single" w:sz="8" w:color="auto"/>
            </w:tcBorders>
          </w:tcPr>
          <w:p>
            <w:pPr>
              <w:spacing w:after="0" w:line="20" w:lineRule="exact"/>
              <w:rPr>
                <w:sz w:val="1"/>
                <w:szCs w:val="1"/>
                <w:color w:val="auto"/>
              </w:rPr>
            </w:pPr>
          </w:p>
        </w:tc>
        <w:tc>
          <w:tcPr>
            <w:tcW w:w="2420" w:type="dxa"/>
            <w:vAlign w:val="bottom"/>
            <w:tcBorders>
              <w:bottom w:val="single" w:sz="8" w:color="auto"/>
            </w:tcBorders>
          </w:tcPr>
          <w:p>
            <w:pPr>
              <w:spacing w:after="0" w:line="20" w:lineRule="exact"/>
              <w:rPr>
                <w:sz w:val="1"/>
                <w:szCs w:val="1"/>
                <w:color w:val="auto"/>
              </w:rPr>
            </w:pPr>
          </w:p>
        </w:tc>
        <w:tc>
          <w:tcPr>
            <w:tcW w:w="1060" w:type="dxa"/>
            <w:vAlign w:val="bottom"/>
            <w:tcBorders>
              <w:bottom w:val="single" w:sz="8" w:color="auto"/>
            </w:tcBorders>
          </w:tcPr>
          <w:p>
            <w:pPr>
              <w:spacing w:after="0" w:line="20" w:lineRule="exact"/>
              <w:rPr>
                <w:sz w:val="1"/>
                <w:szCs w:val="1"/>
                <w:color w:val="auto"/>
              </w:rPr>
            </w:pPr>
          </w:p>
        </w:tc>
        <w:tc>
          <w:tcPr>
            <w:tcW w:w="1120" w:type="dxa"/>
            <w:vAlign w:val="bottom"/>
            <w:tcBorders>
              <w:bottom w:val="single" w:sz="8" w:color="auto"/>
            </w:tcBorders>
          </w:tcPr>
          <w:p>
            <w:pPr>
              <w:spacing w:after="0" w:line="20" w:lineRule="exact"/>
              <w:rPr>
                <w:sz w:val="1"/>
                <w:szCs w:val="1"/>
                <w:color w:val="auto"/>
              </w:rPr>
            </w:pPr>
          </w:p>
        </w:tc>
        <w:tc>
          <w:tcPr>
            <w:tcW w:w="1040" w:type="dxa"/>
            <w:vAlign w:val="bottom"/>
            <w:tcBorders>
              <w:bottom w:val="single" w:sz="8" w:color="auto"/>
            </w:tcBorders>
          </w:tcPr>
          <w:p>
            <w:pPr>
              <w:spacing w:after="0" w:line="20" w:lineRule="exact"/>
              <w:rPr>
                <w:sz w:val="1"/>
                <w:szCs w:val="1"/>
                <w:color w:val="auto"/>
              </w:rPr>
            </w:pPr>
          </w:p>
        </w:tc>
        <w:tc>
          <w:tcPr>
            <w:tcW w:w="1120" w:type="dxa"/>
            <w:vAlign w:val="bottom"/>
            <w:tcBorders>
              <w:bottom w:val="single" w:sz="8" w:color="auto"/>
            </w:tcBorders>
          </w:tcPr>
          <w:p>
            <w:pPr>
              <w:spacing w:after="0" w:line="20" w:lineRule="exact"/>
              <w:rPr>
                <w:sz w:val="1"/>
                <w:szCs w:val="1"/>
                <w:color w:val="auto"/>
              </w:rPr>
            </w:pPr>
          </w:p>
        </w:tc>
        <w:tc>
          <w:tcPr>
            <w:tcW w:w="2020" w:type="dxa"/>
            <w:vAlign w:val="bottom"/>
            <w:tcBorders>
              <w:bottom w:val="single" w:sz="8" w:color="auto"/>
            </w:tcBorders>
          </w:tcPr>
          <w:p>
            <w:pPr>
              <w:spacing w:after="0" w:line="20" w:lineRule="exact"/>
              <w:rPr>
                <w:sz w:val="1"/>
                <w:szCs w:val="1"/>
                <w:color w:val="auto"/>
              </w:rPr>
            </w:pPr>
          </w:p>
        </w:tc>
      </w:tr>
    </w:tbl>
    <w:p>
      <w:pPr>
        <w:spacing w:after="0" w:line="200" w:lineRule="exact"/>
        <w:rPr>
          <w:sz w:val="20"/>
          <w:szCs w:val="20"/>
          <w:color w:val="auto"/>
        </w:rPr>
      </w:pPr>
    </w:p>
    <w:p>
      <w:pPr>
        <w:spacing w:after="0" w:line="265" w:lineRule="exact"/>
        <w:rPr>
          <w:sz w:val="20"/>
          <w:szCs w:val="20"/>
          <w:color w:val="auto"/>
        </w:rPr>
      </w:pPr>
    </w:p>
    <w:p>
      <w:pPr>
        <w:ind w:right="80"/>
        <w:spacing w:after="0" w:line="249" w:lineRule="auto"/>
        <w:rPr>
          <w:sz w:val="20"/>
          <w:szCs w:val="20"/>
          <w:color w:val="auto"/>
        </w:rPr>
      </w:pPr>
      <w:r>
        <w:rPr>
          <w:rFonts w:ascii="Calibri" w:cs="Calibri" w:eastAsia="Calibri" w:hAnsi="Calibri"/>
          <w:sz w:val="20"/>
          <w:szCs w:val="20"/>
          <w:color w:val="auto"/>
        </w:rPr>
        <w:t>Notes: This table reports the results of OLS regressions, where the dependent variable is either the average score that the judge assigned a project along a range of different dimensions. All specifications include individual judge fixed effects and controls outlined in Table 2. Each of the 120 projects is divided into one of four categories (1) those that were funded by the crowd and were deemed good enough to receive at least 75% of their funding goal by experts (2) those that were given at least 75% of their funding goal by experts but not funded by the crowd (c) those that the crowd funded but were not highly funded by experts and (d) those that did not reach their goal either from the crowd or experts. The first three coefficients are estimated relative to the fourth category. We report robust standard errors that are clustered by judge and *, ** and *** refer to significance at the 10%, 5% and 1% respectively.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43</w:t>
      </w:r>
    </w:p>
    <w:p>
      <w:pPr>
        <w:sectPr>
          <w:pgSz w:w="15840" w:h="12240" w:orient="landscape"/>
          <w:cols w:equalWidth="0" w:num="1">
            <w:col w:w="12960"/>
          </w:cols>
          <w:pgMar w:left="1440" w:top="1440" w:right="1440" w:bottom="474" w:gutter="0" w:footer="0" w:header="0"/>
        </w:sectPr>
      </w:pPr>
    </w:p>
    <w:bookmarkStart w:id="44" w:name="page45"/>
    <w:bookmarkEnd w:id="44"/>
    <w:p>
      <w:pPr>
        <w:spacing w:after="0" w:line="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914400</wp:posOffset>
                </wp:positionH>
                <wp:positionV relativeFrom="page">
                  <wp:posOffset>917575</wp:posOffset>
                </wp:positionV>
                <wp:extent cx="8230870"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2308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pt,72.25pt" to="720.1pt,72.25pt" o:allowincell="f" strokecolor="#000000" strokeweight="0.4799pt">
                <w10:wrap anchorx="page" anchory="page"/>
              </v:line>
            </w:pict>
          </mc:Fallback>
        </mc:AlternateContent>
      </w:r>
    </w:p>
    <w:p>
      <w:pPr>
        <w:jc w:val="center"/>
        <w:spacing w:after="0"/>
        <w:rPr>
          <w:sz w:val="20"/>
          <w:szCs w:val="20"/>
          <w:color w:val="auto"/>
        </w:rPr>
      </w:pPr>
      <w:r>
        <w:rPr>
          <w:rFonts w:ascii="Calibri" w:cs="Calibri" w:eastAsia="Calibri" w:hAnsi="Calibri"/>
          <w:sz w:val="28"/>
          <w:szCs w:val="28"/>
          <w:b w:val="1"/>
          <w:bCs w:val="1"/>
          <w:color w:val="auto"/>
        </w:rPr>
        <w:t>Table 6</w:t>
      </w:r>
    </w:p>
    <w:p>
      <w:pPr>
        <w:spacing w:after="0" w:line="1" w:lineRule="exact"/>
        <w:rPr>
          <w:sz w:val="20"/>
          <w:szCs w:val="20"/>
          <w:color w:val="auto"/>
        </w:rPr>
      </w:pPr>
    </w:p>
    <w:p>
      <w:pPr>
        <w:jc w:val="center"/>
        <w:spacing w:after="0"/>
        <w:rPr>
          <w:sz w:val="20"/>
          <w:szCs w:val="20"/>
          <w:color w:val="auto"/>
        </w:rPr>
      </w:pPr>
      <w:r>
        <w:rPr>
          <w:rFonts w:ascii="Calibri" w:cs="Calibri" w:eastAsia="Calibri" w:hAnsi="Calibri"/>
          <w:sz w:val="28"/>
          <w:szCs w:val="28"/>
          <w:b w:val="1"/>
          <w:bCs w:val="1"/>
          <w:color w:val="auto"/>
        </w:rPr>
        <w:t>Outcome of projects Funded by Experts and Crowds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136525</wp:posOffset>
                </wp:positionV>
                <wp:extent cx="8230870"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23087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75pt" to="648.1pt,10.75pt" o:allowincell="f" strokecolor="#000000" strokeweight="0.48pt"/>
            </w:pict>
          </mc:Fallback>
        </mc:AlternateContent>
      </w:r>
    </w:p>
    <w:p>
      <w:pPr>
        <w:spacing w:after="0" w:line="195" w:lineRule="exact"/>
        <w:rPr>
          <w:sz w:val="20"/>
          <w:szCs w:val="20"/>
          <w:color w:val="auto"/>
        </w:rPr>
      </w:pPr>
    </w:p>
    <w:tbl>
      <w:tblPr>
        <w:tblLayout w:type="fixed"/>
        <w:tblInd w:w="0" w:type="dxa"/>
        <w:tblCellMar>
          <w:top w:w="0" w:type="dxa"/>
          <w:left w:w="0" w:type="dxa"/>
          <w:bottom w:w="0" w:type="dxa"/>
          <w:right w:w="0" w:type="dxa"/>
        </w:tblCellMar>
      </w:tblPr>
      <w:tr>
        <w:trPr>
          <w:trHeight w:val="220"/>
        </w:trPr>
        <w:tc>
          <w:tcPr>
            <w:tcW w:w="1520" w:type="dxa"/>
            <w:vAlign w:val="bottom"/>
          </w:tcPr>
          <w:p>
            <w:pPr>
              <w:ind w:left="200"/>
              <w:spacing w:after="0"/>
              <w:rPr>
                <w:sz w:val="20"/>
                <w:szCs w:val="20"/>
                <w:color w:val="auto"/>
              </w:rPr>
            </w:pPr>
            <w:r>
              <w:rPr>
                <w:rFonts w:ascii="Calibri" w:cs="Calibri" w:eastAsia="Calibri" w:hAnsi="Calibri"/>
                <w:sz w:val="18"/>
                <w:szCs w:val="18"/>
                <w:b w:val="1"/>
                <w:bCs w:val="1"/>
                <w:color w:val="auto"/>
              </w:rPr>
              <w:t>Classification</w:t>
            </w:r>
          </w:p>
        </w:tc>
        <w:tc>
          <w:tcPr>
            <w:tcW w:w="2460" w:type="dxa"/>
            <w:vAlign w:val="bottom"/>
            <w:gridSpan w:val="2"/>
          </w:tcPr>
          <w:p>
            <w:pPr>
              <w:ind w:left="720"/>
              <w:spacing w:after="0"/>
              <w:rPr>
                <w:sz w:val="20"/>
                <w:szCs w:val="20"/>
                <w:color w:val="auto"/>
              </w:rPr>
            </w:pPr>
            <w:r>
              <w:rPr>
                <w:rFonts w:ascii="Calibri" w:cs="Calibri" w:eastAsia="Calibri" w:hAnsi="Calibri"/>
                <w:sz w:val="18"/>
                <w:szCs w:val="18"/>
                <w:color w:val="auto"/>
              </w:rPr>
              <w:t>Project Type</w:t>
            </w:r>
          </w:p>
        </w:tc>
        <w:tc>
          <w:tcPr>
            <w:tcW w:w="1820" w:type="dxa"/>
            <w:vAlign w:val="bottom"/>
          </w:tcPr>
          <w:p>
            <w:pPr>
              <w:jc w:val="center"/>
              <w:ind w:left="15"/>
              <w:spacing w:after="0"/>
              <w:rPr>
                <w:sz w:val="20"/>
                <w:szCs w:val="20"/>
                <w:color w:val="auto"/>
              </w:rPr>
            </w:pPr>
            <w:r>
              <w:rPr>
                <w:rFonts w:ascii="Calibri" w:cs="Calibri" w:eastAsia="Calibri" w:hAnsi="Calibri"/>
                <w:sz w:val="18"/>
                <w:szCs w:val="18"/>
                <w:color w:val="auto"/>
              </w:rPr>
              <w:t>Ranked best among 6</w:t>
            </w:r>
          </w:p>
        </w:tc>
        <w:tc>
          <w:tcPr>
            <w:tcW w:w="220" w:type="dxa"/>
            <w:vAlign w:val="bottom"/>
          </w:tcPr>
          <w:p>
            <w:pPr>
              <w:spacing w:after="0"/>
              <w:rPr>
                <w:sz w:val="19"/>
                <w:szCs w:val="19"/>
                <w:color w:val="auto"/>
              </w:rPr>
            </w:pPr>
          </w:p>
        </w:tc>
        <w:tc>
          <w:tcPr>
            <w:tcW w:w="4680" w:type="dxa"/>
            <w:vAlign w:val="bottom"/>
          </w:tcPr>
          <w:p>
            <w:pPr>
              <w:ind w:left="1560"/>
              <w:spacing w:after="0"/>
              <w:rPr>
                <w:sz w:val="20"/>
                <w:szCs w:val="20"/>
                <w:color w:val="auto"/>
              </w:rPr>
            </w:pPr>
            <w:r>
              <w:rPr>
                <w:rFonts w:ascii="Calibri" w:cs="Calibri" w:eastAsia="Calibri" w:hAnsi="Calibri"/>
                <w:sz w:val="18"/>
                <w:szCs w:val="18"/>
                <w:color w:val="auto"/>
              </w:rPr>
              <w:t>Commercial outcome</w:t>
            </w:r>
          </w:p>
        </w:tc>
        <w:tc>
          <w:tcPr>
            <w:tcW w:w="220" w:type="dxa"/>
            <w:vAlign w:val="bottom"/>
          </w:tcPr>
          <w:p>
            <w:pPr>
              <w:spacing w:after="0"/>
              <w:rPr>
                <w:sz w:val="19"/>
                <w:szCs w:val="19"/>
                <w:color w:val="auto"/>
              </w:rPr>
            </w:pPr>
          </w:p>
        </w:tc>
        <w:tc>
          <w:tcPr>
            <w:tcW w:w="2040" w:type="dxa"/>
            <w:vAlign w:val="bottom"/>
            <w:gridSpan w:val="2"/>
          </w:tcPr>
          <w:p>
            <w:pPr>
              <w:ind w:left="360"/>
              <w:spacing w:after="0"/>
              <w:rPr>
                <w:sz w:val="20"/>
                <w:szCs w:val="20"/>
                <w:color w:val="auto"/>
              </w:rPr>
            </w:pPr>
            <w:r>
              <w:rPr>
                <w:rFonts w:ascii="Calibri" w:cs="Calibri" w:eastAsia="Calibri" w:hAnsi="Calibri"/>
                <w:sz w:val="18"/>
                <w:szCs w:val="18"/>
                <w:color w:val="auto"/>
              </w:rPr>
              <w:t>Critical outcome</w:t>
            </w:r>
          </w:p>
        </w:tc>
        <w:tc>
          <w:tcPr>
            <w:tcW w:w="0" w:type="dxa"/>
            <w:vAlign w:val="bottom"/>
          </w:tcPr>
          <w:p>
            <w:pPr>
              <w:spacing w:after="0"/>
              <w:rPr>
                <w:sz w:val="1"/>
                <w:szCs w:val="1"/>
                <w:color w:val="auto"/>
              </w:rPr>
            </w:pPr>
          </w:p>
        </w:tc>
      </w:tr>
      <w:tr>
        <w:trPr>
          <w:trHeight w:val="221"/>
        </w:trPr>
        <w:tc>
          <w:tcPr>
            <w:tcW w:w="1520" w:type="dxa"/>
            <w:vAlign w:val="bottom"/>
          </w:tcPr>
          <w:p>
            <w:pPr>
              <w:spacing w:after="0"/>
              <w:rPr>
                <w:sz w:val="19"/>
                <w:szCs w:val="19"/>
                <w:color w:val="auto"/>
              </w:rPr>
            </w:pPr>
          </w:p>
        </w:tc>
        <w:tc>
          <w:tcPr>
            <w:tcW w:w="23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1820" w:type="dxa"/>
            <w:vAlign w:val="bottom"/>
          </w:tcPr>
          <w:p>
            <w:pPr>
              <w:jc w:val="center"/>
              <w:ind w:left="15"/>
              <w:spacing w:after="0"/>
              <w:rPr>
                <w:sz w:val="20"/>
                <w:szCs w:val="20"/>
                <w:color w:val="auto"/>
              </w:rPr>
            </w:pPr>
            <w:r>
              <w:rPr>
                <w:rFonts w:ascii="Calibri" w:cs="Calibri" w:eastAsia="Calibri" w:hAnsi="Calibri"/>
                <w:sz w:val="18"/>
                <w:szCs w:val="18"/>
                <w:color w:val="auto"/>
                <w:w w:val="98"/>
              </w:rPr>
              <w:t>projects by (most</w:t>
            </w:r>
          </w:p>
        </w:tc>
        <w:tc>
          <w:tcPr>
            <w:tcW w:w="220" w:type="dxa"/>
            <w:vAlign w:val="bottom"/>
          </w:tcPr>
          <w:p>
            <w:pPr>
              <w:spacing w:after="0"/>
              <w:rPr>
                <w:sz w:val="19"/>
                <w:szCs w:val="19"/>
                <w:color w:val="auto"/>
              </w:rPr>
            </w:pPr>
          </w:p>
        </w:tc>
        <w:tc>
          <w:tcPr>
            <w:tcW w:w="468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194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8"/>
        </w:trPr>
        <w:tc>
          <w:tcPr>
            <w:tcW w:w="1520" w:type="dxa"/>
            <w:vAlign w:val="bottom"/>
          </w:tcPr>
          <w:p>
            <w:pPr>
              <w:spacing w:after="0"/>
              <w:rPr>
                <w:sz w:val="18"/>
                <w:szCs w:val="18"/>
                <w:color w:val="auto"/>
              </w:rPr>
            </w:pPr>
          </w:p>
        </w:tc>
        <w:tc>
          <w:tcPr>
            <w:tcW w:w="23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820" w:type="dxa"/>
            <w:vAlign w:val="bottom"/>
          </w:tcPr>
          <w:p>
            <w:pPr>
              <w:jc w:val="center"/>
              <w:ind w:left="15"/>
              <w:spacing w:after="0" w:line="218" w:lineRule="exact"/>
              <w:rPr>
                <w:sz w:val="20"/>
                <w:szCs w:val="20"/>
                <w:color w:val="auto"/>
              </w:rPr>
            </w:pPr>
            <w:r>
              <w:rPr>
                <w:rFonts w:ascii="Calibri" w:cs="Calibri" w:eastAsia="Calibri" w:hAnsi="Calibri"/>
                <w:sz w:val="18"/>
                <w:szCs w:val="18"/>
                <w:color w:val="auto"/>
                <w:w w:val="98"/>
              </w:rPr>
              <w:t>favorable) judge?</w:t>
            </w:r>
          </w:p>
        </w:tc>
        <w:tc>
          <w:tcPr>
            <w:tcW w:w="220" w:type="dxa"/>
            <w:vAlign w:val="bottom"/>
          </w:tcPr>
          <w:p>
            <w:pPr>
              <w:spacing w:after="0"/>
              <w:rPr>
                <w:sz w:val="18"/>
                <w:szCs w:val="18"/>
                <w:color w:val="auto"/>
              </w:rPr>
            </w:pPr>
          </w:p>
        </w:tc>
        <w:tc>
          <w:tcPr>
            <w:tcW w:w="468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19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57"/>
        </w:trPr>
        <w:tc>
          <w:tcPr>
            <w:tcW w:w="1520" w:type="dxa"/>
            <w:vAlign w:val="bottom"/>
            <w:tcBorders>
              <w:bottom w:val="single" w:sz="8" w:color="auto"/>
            </w:tcBorders>
          </w:tcPr>
          <w:p>
            <w:pPr>
              <w:spacing w:after="0"/>
              <w:rPr>
                <w:sz w:val="13"/>
                <w:szCs w:val="13"/>
                <w:color w:val="auto"/>
              </w:rPr>
            </w:pPr>
          </w:p>
        </w:tc>
        <w:tc>
          <w:tcPr>
            <w:tcW w:w="2360" w:type="dxa"/>
            <w:vAlign w:val="bottom"/>
            <w:tcBorders>
              <w:bottom w:val="single" w:sz="8" w:color="auto"/>
            </w:tcBorders>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1820" w:type="dxa"/>
            <w:vAlign w:val="bottom"/>
            <w:tcBorders>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4680" w:type="dxa"/>
            <w:vAlign w:val="bottom"/>
            <w:tcBorders>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1940" w:type="dxa"/>
            <w:vAlign w:val="bottom"/>
            <w:tcBorders>
              <w:bottom w:val="single" w:sz="8" w:color="auto"/>
            </w:tcBorders>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256"/>
        </w:trPr>
        <w:tc>
          <w:tcPr>
            <w:tcW w:w="1520" w:type="dxa"/>
            <w:vAlign w:val="bottom"/>
          </w:tcPr>
          <w:p>
            <w:pPr>
              <w:ind w:left="100"/>
              <w:spacing w:after="0" w:line="256" w:lineRule="exact"/>
              <w:rPr>
                <w:sz w:val="20"/>
                <w:szCs w:val="20"/>
                <w:color w:val="auto"/>
              </w:rPr>
            </w:pPr>
            <w:r>
              <w:rPr>
                <w:rFonts w:ascii="Calibri" w:cs="Calibri" w:eastAsia="Calibri" w:hAnsi="Calibri"/>
                <w:sz w:val="22"/>
                <w:szCs w:val="22"/>
                <w:b w:val="1"/>
                <w:bCs w:val="1"/>
                <w:color w:val="auto"/>
              </w:rPr>
              <w:t>Success</w:t>
            </w:r>
          </w:p>
        </w:tc>
        <w:tc>
          <w:tcPr>
            <w:tcW w:w="2460" w:type="dxa"/>
            <w:vAlign w:val="bottom"/>
            <w:gridSpan w:val="2"/>
          </w:tcPr>
          <w:p>
            <w:pPr>
              <w:spacing w:after="0" w:line="256" w:lineRule="exact"/>
              <w:rPr>
                <w:sz w:val="20"/>
                <w:szCs w:val="20"/>
                <w:color w:val="auto"/>
              </w:rPr>
            </w:pPr>
            <w:r>
              <w:rPr>
                <w:rFonts w:ascii="Calibri" w:cs="Calibri" w:eastAsia="Calibri" w:hAnsi="Calibri"/>
                <w:sz w:val="22"/>
                <w:szCs w:val="22"/>
                <w:color w:val="auto"/>
              </w:rPr>
              <w:t>Bringing play to festival</w:t>
            </w:r>
          </w:p>
        </w:tc>
        <w:tc>
          <w:tcPr>
            <w:tcW w:w="1820" w:type="dxa"/>
            <w:vAlign w:val="bottom"/>
          </w:tcPr>
          <w:p>
            <w:pPr>
              <w:jc w:val="center"/>
              <w:ind w:left="15"/>
              <w:spacing w:after="0" w:line="256" w:lineRule="exact"/>
              <w:rPr>
                <w:sz w:val="20"/>
                <w:szCs w:val="20"/>
                <w:color w:val="auto"/>
              </w:rPr>
            </w:pPr>
            <w:r>
              <w:rPr>
                <w:rFonts w:ascii="Calibri" w:cs="Calibri" w:eastAsia="Calibri" w:hAnsi="Calibri"/>
                <w:sz w:val="22"/>
                <w:szCs w:val="22"/>
                <w:color w:val="auto"/>
                <w:w w:val="98"/>
              </w:rPr>
              <w:t>Yes</w:t>
            </w:r>
          </w:p>
        </w:tc>
        <w:tc>
          <w:tcPr>
            <w:tcW w:w="220" w:type="dxa"/>
            <w:vAlign w:val="bottom"/>
          </w:tcPr>
          <w:p>
            <w:pPr>
              <w:spacing w:after="0"/>
              <w:rPr>
                <w:sz w:val="22"/>
                <w:szCs w:val="22"/>
                <w:color w:val="auto"/>
              </w:rPr>
            </w:pPr>
          </w:p>
        </w:tc>
        <w:tc>
          <w:tcPr>
            <w:tcW w:w="4680" w:type="dxa"/>
            <w:vAlign w:val="bottom"/>
          </w:tcPr>
          <w:p>
            <w:pPr>
              <w:spacing w:after="0" w:line="215" w:lineRule="exact"/>
              <w:rPr>
                <w:sz w:val="20"/>
                <w:szCs w:val="20"/>
                <w:color w:val="auto"/>
              </w:rPr>
            </w:pPr>
            <w:r>
              <w:rPr>
                <w:rFonts w:ascii="Calibri" w:cs="Calibri" w:eastAsia="Calibri" w:hAnsi="Calibri"/>
                <w:sz w:val="18"/>
                <w:szCs w:val="18"/>
                <w:color w:val="auto"/>
                <w:w w:val="99"/>
              </w:rPr>
              <w:t>Several small sold out shows at the festival. Two offers for tours</w:t>
            </w:r>
          </w:p>
        </w:tc>
        <w:tc>
          <w:tcPr>
            <w:tcW w:w="220" w:type="dxa"/>
            <w:vAlign w:val="bottom"/>
          </w:tcPr>
          <w:p>
            <w:pPr>
              <w:spacing w:after="0"/>
              <w:rPr>
                <w:sz w:val="22"/>
                <w:szCs w:val="22"/>
                <w:color w:val="auto"/>
              </w:rPr>
            </w:pPr>
          </w:p>
        </w:tc>
        <w:tc>
          <w:tcPr>
            <w:tcW w:w="2040" w:type="dxa"/>
            <w:vAlign w:val="bottom"/>
            <w:gridSpan w:val="2"/>
          </w:tcPr>
          <w:p>
            <w:pPr>
              <w:spacing w:after="0" w:line="215" w:lineRule="exact"/>
              <w:rPr>
                <w:sz w:val="20"/>
                <w:szCs w:val="20"/>
                <w:color w:val="auto"/>
              </w:rPr>
            </w:pPr>
            <w:r>
              <w:rPr>
                <w:rFonts w:ascii="Calibri" w:cs="Calibri" w:eastAsia="Calibri" w:hAnsi="Calibri"/>
                <w:sz w:val="18"/>
                <w:szCs w:val="18"/>
                <w:color w:val="auto"/>
              </w:rPr>
              <w:t>Mixed reviews in national</w:t>
            </w:r>
          </w:p>
        </w:tc>
        <w:tc>
          <w:tcPr>
            <w:tcW w:w="0" w:type="dxa"/>
            <w:vAlign w:val="bottom"/>
          </w:tcPr>
          <w:p>
            <w:pPr>
              <w:spacing w:after="0"/>
              <w:rPr>
                <w:sz w:val="1"/>
                <w:szCs w:val="1"/>
                <w:color w:val="auto"/>
              </w:rPr>
            </w:pPr>
          </w:p>
        </w:tc>
      </w:tr>
      <w:tr>
        <w:trPr>
          <w:trHeight w:val="179"/>
        </w:trPr>
        <w:tc>
          <w:tcPr>
            <w:tcW w:w="1520" w:type="dxa"/>
            <w:vAlign w:val="bottom"/>
          </w:tcPr>
          <w:p>
            <w:pPr>
              <w:spacing w:after="0"/>
              <w:rPr>
                <w:sz w:val="15"/>
                <w:szCs w:val="15"/>
                <w:color w:val="auto"/>
              </w:rPr>
            </w:pPr>
          </w:p>
        </w:tc>
        <w:tc>
          <w:tcPr>
            <w:tcW w:w="236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82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4680" w:type="dxa"/>
            <w:vAlign w:val="bottom"/>
          </w:tcPr>
          <w:p>
            <w:pPr>
              <w:spacing w:after="0" w:line="179" w:lineRule="exact"/>
              <w:rPr>
                <w:sz w:val="20"/>
                <w:szCs w:val="20"/>
                <w:color w:val="auto"/>
              </w:rPr>
            </w:pPr>
            <w:r>
              <w:rPr>
                <w:rFonts w:ascii="Calibri" w:cs="Calibri" w:eastAsia="Calibri" w:hAnsi="Calibri"/>
                <w:sz w:val="18"/>
                <w:szCs w:val="18"/>
                <w:color w:val="auto"/>
              </w:rPr>
              <w:t>afterward</w:t>
            </w:r>
          </w:p>
        </w:tc>
        <w:tc>
          <w:tcPr>
            <w:tcW w:w="220" w:type="dxa"/>
            <w:vAlign w:val="bottom"/>
          </w:tcPr>
          <w:p>
            <w:pPr>
              <w:spacing w:after="0"/>
              <w:rPr>
                <w:sz w:val="15"/>
                <w:szCs w:val="15"/>
                <w:color w:val="auto"/>
              </w:rPr>
            </w:pPr>
          </w:p>
        </w:tc>
        <w:tc>
          <w:tcPr>
            <w:tcW w:w="2040" w:type="dxa"/>
            <w:vAlign w:val="bottom"/>
            <w:gridSpan w:val="2"/>
          </w:tcPr>
          <w:p>
            <w:pPr>
              <w:spacing w:after="0" w:line="179" w:lineRule="exact"/>
              <w:rPr>
                <w:sz w:val="20"/>
                <w:szCs w:val="20"/>
                <w:color w:val="auto"/>
              </w:rPr>
            </w:pPr>
            <w:r>
              <w:rPr>
                <w:rFonts w:ascii="Calibri" w:cs="Calibri" w:eastAsia="Calibri" w:hAnsi="Calibri"/>
                <w:sz w:val="18"/>
                <w:szCs w:val="18"/>
                <w:color w:val="auto"/>
              </w:rPr>
              <w:t>press.</w:t>
            </w:r>
          </w:p>
        </w:tc>
        <w:tc>
          <w:tcPr>
            <w:tcW w:w="0" w:type="dxa"/>
            <w:vAlign w:val="bottom"/>
          </w:tcPr>
          <w:p>
            <w:pPr>
              <w:spacing w:after="0"/>
              <w:rPr>
                <w:sz w:val="1"/>
                <w:szCs w:val="1"/>
                <w:color w:val="auto"/>
              </w:rPr>
            </w:pPr>
          </w:p>
        </w:tc>
      </w:tr>
      <w:tr>
        <w:trPr>
          <w:trHeight w:val="141"/>
        </w:trPr>
        <w:tc>
          <w:tcPr>
            <w:tcW w:w="1520" w:type="dxa"/>
            <w:vAlign w:val="bottom"/>
          </w:tcPr>
          <w:p>
            <w:pPr>
              <w:spacing w:after="0"/>
              <w:rPr>
                <w:sz w:val="12"/>
                <w:szCs w:val="12"/>
                <w:color w:val="auto"/>
              </w:rPr>
            </w:pPr>
          </w:p>
        </w:tc>
        <w:tc>
          <w:tcPr>
            <w:tcW w:w="23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8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468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9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21"/>
        </w:trPr>
        <w:tc>
          <w:tcPr>
            <w:tcW w:w="1520" w:type="dxa"/>
            <w:vAlign w:val="bottom"/>
            <w:shd w:val="clear" w:color="auto" w:fill="F2F2F2"/>
          </w:tcPr>
          <w:p>
            <w:pPr>
              <w:ind w:left="100"/>
              <w:spacing w:after="0" w:line="221" w:lineRule="exact"/>
              <w:rPr>
                <w:sz w:val="20"/>
                <w:szCs w:val="20"/>
                <w:color w:val="auto"/>
              </w:rPr>
            </w:pPr>
            <w:r>
              <w:rPr>
                <w:rFonts w:ascii="Calibri" w:cs="Calibri" w:eastAsia="Calibri" w:hAnsi="Calibri"/>
                <w:sz w:val="22"/>
                <w:szCs w:val="22"/>
                <w:b w:val="1"/>
                <w:bCs w:val="1"/>
                <w:color w:val="auto"/>
              </w:rPr>
              <w:t>Success</w:t>
            </w:r>
          </w:p>
        </w:tc>
        <w:tc>
          <w:tcPr>
            <w:tcW w:w="2360" w:type="dxa"/>
            <w:vAlign w:val="bottom"/>
            <w:shd w:val="clear" w:color="auto" w:fill="F2F2F2"/>
          </w:tcPr>
          <w:p>
            <w:pPr>
              <w:spacing w:after="0" w:line="221" w:lineRule="exact"/>
              <w:rPr>
                <w:sz w:val="20"/>
                <w:szCs w:val="20"/>
                <w:color w:val="auto"/>
              </w:rPr>
            </w:pPr>
            <w:r>
              <w:rPr>
                <w:rFonts w:ascii="Calibri" w:cs="Calibri" w:eastAsia="Calibri" w:hAnsi="Calibri"/>
                <w:sz w:val="22"/>
                <w:szCs w:val="22"/>
                <w:color w:val="auto"/>
              </w:rPr>
              <w:t>Extending run of one</w:t>
            </w:r>
          </w:p>
        </w:tc>
        <w:tc>
          <w:tcPr>
            <w:tcW w:w="100" w:type="dxa"/>
            <w:vAlign w:val="bottom"/>
            <w:shd w:val="clear" w:color="auto" w:fill="F2F2F2"/>
          </w:tcPr>
          <w:p>
            <w:pPr>
              <w:spacing w:after="0"/>
              <w:rPr>
                <w:sz w:val="19"/>
                <w:szCs w:val="19"/>
                <w:color w:val="auto"/>
              </w:rPr>
            </w:pPr>
          </w:p>
        </w:tc>
        <w:tc>
          <w:tcPr>
            <w:tcW w:w="1820" w:type="dxa"/>
            <w:vAlign w:val="bottom"/>
            <w:shd w:val="clear" w:color="auto" w:fill="F2F2F2"/>
          </w:tcPr>
          <w:p>
            <w:pPr>
              <w:jc w:val="center"/>
              <w:ind w:left="15"/>
              <w:spacing w:after="0" w:line="221" w:lineRule="exact"/>
              <w:rPr>
                <w:sz w:val="20"/>
                <w:szCs w:val="20"/>
                <w:color w:val="auto"/>
              </w:rPr>
            </w:pPr>
            <w:r>
              <w:rPr>
                <w:rFonts w:ascii="Calibri" w:cs="Calibri" w:eastAsia="Calibri" w:hAnsi="Calibri"/>
                <w:sz w:val="22"/>
                <w:szCs w:val="22"/>
                <w:color w:val="auto"/>
                <w:w w:val="98"/>
              </w:rPr>
              <w:t>Yes</w:t>
            </w:r>
          </w:p>
        </w:tc>
        <w:tc>
          <w:tcPr>
            <w:tcW w:w="220" w:type="dxa"/>
            <w:vAlign w:val="bottom"/>
            <w:shd w:val="clear" w:color="auto" w:fill="F2F2F2"/>
          </w:tcPr>
          <w:p>
            <w:pPr>
              <w:spacing w:after="0"/>
              <w:rPr>
                <w:sz w:val="19"/>
                <w:szCs w:val="19"/>
                <w:color w:val="auto"/>
              </w:rPr>
            </w:pPr>
          </w:p>
        </w:tc>
        <w:tc>
          <w:tcPr>
            <w:tcW w:w="4680" w:type="dxa"/>
            <w:vAlign w:val="bottom"/>
            <w:shd w:val="clear" w:color="auto" w:fill="F2F2F2"/>
          </w:tcPr>
          <w:p>
            <w:pPr>
              <w:spacing w:after="0" w:line="215" w:lineRule="exact"/>
              <w:rPr>
                <w:sz w:val="20"/>
                <w:szCs w:val="20"/>
                <w:color w:val="auto"/>
              </w:rPr>
            </w:pPr>
            <w:r>
              <w:rPr>
                <w:rFonts w:ascii="Calibri" w:cs="Calibri" w:eastAsia="Calibri" w:hAnsi="Calibri"/>
                <w:sz w:val="18"/>
                <w:szCs w:val="18"/>
                <w:color w:val="auto"/>
              </w:rPr>
              <w:t>Sold out 10 shows at 60 seats each show</w:t>
            </w:r>
          </w:p>
        </w:tc>
        <w:tc>
          <w:tcPr>
            <w:tcW w:w="220" w:type="dxa"/>
            <w:vAlign w:val="bottom"/>
            <w:shd w:val="clear" w:color="auto" w:fill="F2F2F2"/>
          </w:tcPr>
          <w:p>
            <w:pPr>
              <w:spacing w:after="0"/>
              <w:rPr>
                <w:sz w:val="19"/>
                <w:szCs w:val="19"/>
                <w:color w:val="auto"/>
              </w:rPr>
            </w:pPr>
          </w:p>
        </w:tc>
        <w:tc>
          <w:tcPr>
            <w:tcW w:w="1940" w:type="dxa"/>
            <w:vAlign w:val="bottom"/>
            <w:shd w:val="clear" w:color="auto" w:fill="F2F2F2"/>
          </w:tcPr>
          <w:p>
            <w:pPr>
              <w:spacing w:after="0" w:line="215" w:lineRule="exact"/>
              <w:rPr>
                <w:sz w:val="20"/>
                <w:szCs w:val="20"/>
                <w:color w:val="auto"/>
              </w:rPr>
            </w:pPr>
            <w:r>
              <w:rPr>
                <w:rFonts w:ascii="Calibri" w:cs="Calibri" w:eastAsia="Calibri" w:hAnsi="Calibri"/>
                <w:sz w:val="18"/>
                <w:szCs w:val="18"/>
                <w:color w:val="auto"/>
                <w:shd w:val="clear" w:color="auto" w:fill="F2F2F2"/>
              </w:rPr>
              <w:t>Mixed reviews in national</w:t>
            </w:r>
          </w:p>
        </w:tc>
        <w:tc>
          <w:tcPr>
            <w:tcW w:w="100" w:type="dxa"/>
            <w:vAlign w:val="bottom"/>
            <w:shd w:val="clear" w:color="auto" w:fill="F2F2F2"/>
          </w:tcPr>
          <w:p>
            <w:pPr>
              <w:spacing w:after="0"/>
              <w:rPr>
                <w:sz w:val="19"/>
                <w:szCs w:val="19"/>
                <w:color w:val="auto"/>
              </w:rPr>
            </w:pPr>
          </w:p>
        </w:tc>
        <w:tc>
          <w:tcPr>
            <w:tcW w:w="0" w:type="dxa"/>
            <w:vAlign w:val="bottom"/>
          </w:tcPr>
          <w:p>
            <w:pPr>
              <w:spacing w:after="0"/>
              <w:rPr>
                <w:sz w:val="1"/>
                <w:szCs w:val="1"/>
                <w:color w:val="auto"/>
              </w:rPr>
            </w:pPr>
          </w:p>
        </w:tc>
      </w:tr>
      <w:tr>
        <w:trPr>
          <w:trHeight w:val="215"/>
        </w:trPr>
        <w:tc>
          <w:tcPr>
            <w:tcW w:w="1520" w:type="dxa"/>
            <w:vAlign w:val="bottom"/>
            <w:shd w:val="clear" w:color="auto" w:fill="F2F2F2"/>
          </w:tcPr>
          <w:p>
            <w:pPr>
              <w:spacing w:after="0"/>
              <w:rPr>
                <w:sz w:val="18"/>
                <w:szCs w:val="18"/>
                <w:color w:val="auto"/>
              </w:rPr>
            </w:pPr>
          </w:p>
        </w:tc>
        <w:tc>
          <w:tcPr>
            <w:tcW w:w="2360" w:type="dxa"/>
            <w:vAlign w:val="bottom"/>
            <w:vMerge w:val="restart"/>
            <w:shd w:val="clear" w:color="auto" w:fill="F2F2F2"/>
          </w:tcPr>
          <w:p>
            <w:pPr>
              <w:spacing w:after="0"/>
              <w:rPr>
                <w:sz w:val="20"/>
                <w:szCs w:val="20"/>
                <w:color w:val="auto"/>
              </w:rPr>
            </w:pPr>
            <w:r>
              <w:rPr>
                <w:rFonts w:ascii="Calibri" w:cs="Calibri" w:eastAsia="Calibri" w:hAnsi="Calibri"/>
                <w:sz w:val="22"/>
                <w:szCs w:val="22"/>
                <w:color w:val="auto"/>
              </w:rPr>
              <w:t>woman play</w:t>
            </w:r>
          </w:p>
        </w:tc>
        <w:tc>
          <w:tcPr>
            <w:tcW w:w="100" w:type="dxa"/>
            <w:vAlign w:val="bottom"/>
            <w:shd w:val="clear" w:color="auto" w:fill="F2F2F2"/>
          </w:tcPr>
          <w:p>
            <w:pPr>
              <w:spacing w:after="0"/>
              <w:rPr>
                <w:sz w:val="18"/>
                <w:szCs w:val="18"/>
                <w:color w:val="auto"/>
              </w:rPr>
            </w:pPr>
          </w:p>
        </w:tc>
        <w:tc>
          <w:tcPr>
            <w:tcW w:w="1820" w:type="dxa"/>
            <w:vAlign w:val="bottom"/>
            <w:shd w:val="clear" w:color="auto" w:fill="F2F2F2"/>
          </w:tcPr>
          <w:p>
            <w:pPr>
              <w:spacing w:after="0"/>
              <w:rPr>
                <w:sz w:val="18"/>
                <w:szCs w:val="18"/>
                <w:color w:val="auto"/>
              </w:rPr>
            </w:pPr>
          </w:p>
        </w:tc>
        <w:tc>
          <w:tcPr>
            <w:tcW w:w="220" w:type="dxa"/>
            <w:vAlign w:val="bottom"/>
            <w:shd w:val="clear" w:color="auto" w:fill="F2F2F2"/>
          </w:tcPr>
          <w:p>
            <w:pPr>
              <w:spacing w:after="0"/>
              <w:rPr>
                <w:sz w:val="18"/>
                <w:szCs w:val="18"/>
                <w:color w:val="auto"/>
              </w:rPr>
            </w:pPr>
          </w:p>
        </w:tc>
        <w:tc>
          <w:tcPr>
            <w:tcW w:w="4680" w:type="dxa"/>
            <w:vAlign w:val="bottom"/>
            <w:shd w:val="clear" w:color="auto" w:fill="F2F2F2"/>
          </w:tcPr>
          <w:p>
            <w:pPr>
              <w:spacing w:after="0"/>
              <w:rPr>
                <w:sz w:val="18"/>
                <w:szCs w:val="18"/>
                <w:color w:val="auto"/>
              </w:rPr>
            </w:pPr>
          </w:p>
        </w:tc>
        <w:tc>
          <w:tcPr>
            <w:tcW w:w="220" w:type="dxa"/>
            <w:vAlign w:val="bottom"/>
            <w:shd w:val="clear" w:color="auto" w:fill="F2F2F2"/>
          </w:tcPr>
          <w:p>
            <w:pPr>
              <w:spacing w:after="0"/>
              <w:rPr>
                <w:sz w:val="18"/>
                <w:szCs w:val="18"/>
                <w:color w:val="auto"/>
              </w:rPr>
            </w:pPr>
          </w:p>
        </w:tc>
        <w:tc>
          <w:tcPr>
            <w:tcW w:w="1940" w:type="dxa"/>
            <w:vAlign w:val="bottom"/>
            <w:shd w:val="clear" w:color="auto" w:fill="F2F2F2"/>
          </w:tcPr>
          <w:p>
            <w:pPr>
              <w:spacing w:after="0" w:line="215" w:lineRule="exact"/>
              <w:rPr>
                <w:sz w:val="20"/>
                <w:szCs w:val="20"/>
                <w:color w:val="auto"/>
              </w:rPr>
            </w:pPr>
            <w:r>
              <w:rPr>
                <w:rFonts w:ascii="Calibri" w:cs="Calibri" w:eastAsia="Calibri" w:hAnsi="Calibri"/>
                <w:sz w:val="18"/>
                <w:szCs w:val="18"/>
                <w:color w:val="auto"/>
              </w:rPr>
              <w:t>press.</w:t>
            </w:r>
          </w:p>
        </w:tc>
        <w:tc>
          <w:tcPr>
            <w:tcW w:w="100" w:type="dxa"/>
            <w:vAlign w:val="bottom"/>
            <w:shd w:val="clear" w:color="auto" w:fill="F2F2F2"/>
          </w:tcPr>
          <w:p>
            <w:pPr>
              <w:spacing w:after="0"/>
              <w:rPr>
                <w:sz w:val="18"/>
                <w:szCs w:val="18"/>
                <w:color w:val="auto"/>
              </w:rPr>
            </w:pPr>
          </w:p>
        </w:tc>
        <w:tc>
          <w:tcPr>
            <w:tcW w:w="0" w:type="dxa"/>
            <w:vAlign w:val="bottom"/>
          </w:tcPr>
          <w:p>
            <w:pPr>
              <w:spacing w:after="0"/>
              <w:rPr>
                <w:sz w:val="1"/>
                <w:szCs w:val="1"/>
                <w:color w:val="auto"/>
              </w:rPr>
            </w:pPr>
          </w:p>
        </w:tc>
      </w:tr>
      <w:tr>
        <w:trPr>
          <w:trHeight w:val="94"/>
        </w:trPr>
        <w:tc>
          <w:tcPr>
            <w:tcW w:w="1520" w:type="dxa"/>
            <w:vAlign w:val="bottom"/>
            <w:shd w:val="clear" w:color="auto" w:fill="F2F2F2"/>
          </w:tcPr>
          <w:p>
            <w:pPr>
              <w:spacing w:after="0"/>
              <w:rPr>
                <w:sz w:val="8"/>
                <w:szCs w:val="8"/>
                <w:color w:val="auto"/>
              </w:rPr>
            </w:pPr>
          </w:p>
        </w:tc>
        <w:tc>
          <w:tcPr>
            <w:tcW w:w="2360" w:type="dxa"/>
            <w:vAlign w:val="bottom"/>
            <w:vMerge w:val="continue"/>
            <w:shd w:val="clear" w:color="auto" w:fill="F2F2F2"/>
          </w:tcPr>
          <w:p>
            <w:pPr>
              <w:spacing w:after="0"/>
              <w:rPr>
                <w:sz w:val="8"/>
                <w:szCs w:val="8"/>
                <w:color w:val="auto"/>
              </w:rPr>
            </w:pPr>
          </w:p>
        </w:tc>
        <w:tc>
          <w:tcPr>
            <w:tcW w:w="100" w:type="dxa"/>
            <w:vAlign w:val="bottom"/>
            <w:shd w:val="clear" w:color="auto" w:fill="F2F2F2"/>
          </w:tcPr>
          <w:p>
            <w:pPr>
              <w:spacing w:after="0"/>
              <w:rPr>
                <w:sz w:val="8"/>
                <w:szCs w:val="8"/>
                <w:color w:val="auto"/>
              </w:rPr>
            </w:pPr>
          </w:p>
        </w:tc>
        <w:tc>
          <w:tcPr>
            <w:tcW w:w="1820" w:type="dxa"/>
            <w:vAlign w:val="bottom"/>
            <w:shd w:val="clear" w:color="auto" w:fill="F2F2F2"/>
          </w:tcPr>
          <w:p>
            <w:pPr>
              <w:spacing w:after="0"/>
              <w:rPr>
                <w:sz w:val="8"/>
                <w:szCs w:val="8"/>
                <w:color w:val="auto"/>
              </w:rPr>
            </w:pPr>
          </w:p>
        </w:tc>
        <w:tc>
          <w:tcPr>
            <w:tcW w:w="220" w:type="dxa"/>
            <w:vAlign w:val="bottom"/>
            <w:shd w:val="clear" w:color="auto" w:fill="F2F2F2"/>
          </w:tcPr>
          <w:p>
            <w:pPr>
              <w:spacing w:after="0"/>
              <w:rPr>
                <w:sz w:val="8"/>
                <w:szCs w:val="8"/>
                <w:color w:val="auto"/>
              </w:rPr>
            </w:pPr>
          </w:p>
        </w:tc>
        <w:tc>
          <w:tcPr>
            <w:tcW w:w="4680" w:type="dxa"/>
            <w:vAlign w:val="bottom"/>
            <w:shd w:val="clear" w:color="auto" w:fill="F2F2F2"/>
          </w:tcPr>
          <w:p>
            <w:pPr>
              <w:spacing w:after="0"/>
              <w:rPr>
                <w:sz w:val="8"/>
                <w:szCs w:val="8"/>
                <w:color w:val="auto"/>
              </w:rPr>
            </w:pPr>
          </w:p>
        </w:tc>
        <w:tc>
          <w:tcPr>
            <w:tcW w:w="220" w:type="dxa"/>
            <w:vAlign w:val="bottom"/>
            <w:shd w:val="clear" w:color="auto" w:fill="F2F2F2"/>
          </w:tcPr>
          <w:p>
            <w:pPr>
              <w:spacing w:after="0"/>
              <w:rPr>
                <w:sz w:val="8"/>
                <w:szCs w:val="8"/>
                <w:color w:val="auto"/>
              </w:rPr>
            </w:pPr>
          </w:p>
        </w:tc>
        <w:tc>
          <w:tcPr>
            <w:tcW w:w="1940" w:type="dxa"/>
            <w:vAlign w:val="bottom"/>
            <w:shd w:val="clear" w:color="auto" w:fill="F2F2F2"/>
          </w:tcPr>
          <w:p>
            <w:pPr>
              <w:spacing w:after="0"/>
              <w:rPr>
                <w:sz w:val="8"/>
                <w:szCs w:val="8"/>
                <w:color w:val="auto"/>
              </w:rPr>
            </w:pPr>
          </w:p>
        </w:tc>
        <w:tc>
          <w:tcPr>
            <w:tcW w:w="100" w:type="dxa"/>
            <w:vAlign w:val="bottom"/>
            <w:shd w:val="clear" w:color="auto" w:fill="F2F2F2"/>
          </w:tcPr>
          <w:p>
            <w:pPr>
              <w:spacing w:after="0"/>
              <w:rPr>
                <w:sz w:val="8"/>
                <w:szCs w:val="8"/>
                <w:color w:val="auto"/>
              </w:rPr>
            </w:pPr>
          </w:p>
        </w:tc>
        <w:tc>
          <w:tcPr>
            <w:tcW w:w="0" w:type="dxa"/>
            <w:vAlign w:val="bottom"/>
          </w:tcPr>
          <w:p>
            <w:pPr>
              <w:spacing w:after="0"/>
              <w:rPr>
                <w:sz w:val="1"/>
                <w:szCs w:val="1"/>
                <w:color w:val="auto"/>
              </w:rPr>
            </w:pPr>
          </w:p>
        </w:tc>
      </w:tr>
      <w:tr>
        <w:trPr>
          <w:trHeight w:val="335"/>
        </w:trPr>
        <w:tc>
          <w:tcPr>
            <w:tcW w:w="1520" w:type="dxa"/>
            <w:vAlign w:val="bottom"/>
            <w:shd w:val="clear" w:color="auto" w:fill="F2F2F2"/>
          </w:tcPr>
          <w:p>
            <w:pPr>
              <w:spacing w:after="0"/>
              <w:rPr>
                <w:sz w:val="24"/>
                <w:szCs w:val="24"/>
                <w:color w:val="auto"/>
              </w:rPr>
            </w:pPr>
          </w:p>
        </w:tc>
        <w:tc>
          <w:tcPr>
            <w:tcW w:w="2360" w:type="dxa"/>
            <w:vAlign w:val="bottom"/>
            <w:shd w:val="clear" w:color="auto" w:fill="F2F2F2"/>
          </w:tcPr>
          <w:p>
            <w:pPr>
              <w:spacing w:after="0"/>
              <w:rPr>
                <w:sz w:val="24"/>
                <w:szCs w:val="24"/>
                <w:color w:val="auto"/>
              </w:rPr>
            </w:pPr>
          </w:p>
        </w:tc>
        <w:tc>
          <w:tcPr>
            <w:tcW w:w="100" w:type="dxa"/>
            <w:vAlign w:val="bottom"/>
            <w:shd w:val="clear" w:color="auto" w:fill="F2F2F2"/>
          </w:tcPr>
          <w:p>
            <w:pPr>
              <w:spacing w:after="0"/>
              <w:rPr>
                <w:sz w:val="24"/>
                <w:szCs w:val="24"/>
                <w:color w:val="auto"/>
              </w:rPr>
            </w:pPr>
          </w:p>
        </w:tc>
        <w:tc>
          <w:tcPr>
            <w:tcW w:w="1820" w:type="dxa"/>
            <w:vAlign w:val="bottom"/>
            <w:shd w:val="clear" w:color="auto" w:fill="F2F2F2"/>
          </w:tcPr>
          <w:p>
            <w:pPr>
              <w:spacing w:after="0"/>
              <w:rPr>
                <w:sz w:val="24"/>
                <w:szCs w:val="24"/>
                <w:color w:val="auto"/>
              </w:rPr>
            </w:pPr>
          </w:p>
        </w:tc>
        <w:tc>
          <w:tcPr>
            <w:tcW w:w="220" w:type="dxa"/>
            <w:vAlign w:val="bottom"/>
            <w:shd w:val="clear" w:color="auto" w:fill="F2F2F2"/>
          </w:tcPr>
          <w:p>
            <w:pPr>
              <w:spacing w:after="0"/>
              <w:rPr>
                <w:sz w:val="24"/>
                <w:szCs w:val="24"/>
                <w:color w:val="auto"/>
              </w:rPr>
            </w:pPr>
          </w:p>
        </w:tc>
        <w:tc>
          <w:tcPr>
            <w:tcW w:w="4680" w:type="dxa"/>
            <w:vAlign w:val="bottom"/>
            <w:shd w:val="clear" w:color="auto" w:fill="F2F2F2"/>
          </w:tcPr>
          <w:p>
            <w:pPr>
              <w:spacing w:after="0"/>
              <w:rPr>
                <w:sz w:val="24"/>
                <w:szCs w:val="24"/>
                <w:color w:val="auto"/>
              </w:rPr>
            </w:pPr>
          </w:p>
        </w:tc>
        <w:tc>
          <w:tcPr>
            <w:tcW w:w="220" w:type="dxa"/>
            <w:vAlign w:val="bottom"/>
            <w:shd w:val="clear" w:color="auto" w:fill="F2F2F2"/>
          </w:tcPr>
          <w:p>
            <w:pPr>
              <w:spacing w:after="0"/>
              <w:rPr>
                <w:sz w:val="24"/>
                <w:szCs w:val="24"/>
                <w:color w:val="auto"/>
              </w:rPr>
            </w:pPr>
          </w:p>
        </w:tc>
        <w:tc>
          <w:tcPr>
            <w:tcW w:w="1940" w:type="dxa"/>
            <w:vAlign w:val="bottom"/>
            <w:shd w:val="clear" w:color="auto" w:fill="F2F2F2"/>
          </w:tcPr>
          <w:p>
            <w:pPr>
              <w:spacing w:after="0"/>
              <w:rPr>
                <w:sz w:val="24"/>
                <w:szCs w:val="24"/>
                <w:color w:val="auto"/>
              </w:rPr>
            </w:pPr>
          </w:p>
        </w:tc>
        <w:tc>
          <w:tcPr>
            <w:tcW w:w="100" w:type="dxa"/>
            <w:vAlign w:val="bottom"/>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256"/>
        </w:trPr>
        <w:tc>
          <w:tcPr>
            <w:tcW w:w="1520" w:type="dxa"/>
            <w:vAlign w:val="bottom"/>
          </w:tcPr>
          <w:p>
            <w:pPr>
              <w:ind w:left="100"/>
              <w:spacing w:after="0" w:line="256" w:lineRule="exact"/>
              <w:rPr>
                <w:sz w:val="20"/>
                <w:szCs w:val="20"/>
                <w:color w:val="auto"/>
              </w:rPr>
            </w:pPr>
            <w:r>
              <w:rPr>
                <w:rFonts w:ascii="Calibri" w:cs="Calibri" w:eastAsia="Calibri" w:hAnsi="Calibri"/>
                <w:sz w:val="22"/>
                <w:szCs w:val="22"/>
                <w:b w:val="1"/>
                <w:bCs w:val="1"/>
                <w:color w:val="auto"/>
              </w:rPr>
              <w:t>Success</w:t>
            </w:r>
          </w:p>
        </w:tc>
        <w:tc>
          <w:tcPr>
            <w:tcW w:w="2460" w:type="dxa"/>
            <w:vAlign w:val="bottom"/>
            <w:gridSpan w:val="2"/>
          </w:tcPr>
          <w:p>
            <w:pPr>
              <w:spacing w:after="0" w:line="256" w:lineRule="exact"/>
              <w:rPr>
                <w:sz w:val="20"/>
                <w:szCs w:val="20"/>
                <w:color w:val="auto"/>
              </w:rPr>
            </w:pPr>
            <w:r>
              <w:rPr>
                <w:rFonts w:ascii="Calibri" w:cs="Calibri" w:eastAsia="Calibri" w:hAnsi="Calibri"/>
                <w:sz w:val="22"/>
                <w:szCs w:val="22"/>
                <w:color w:val="auto"/>
              </w:rPr>
              <w:t>Launching a pop-up</w:t>
            </w:r>
          </w:p>
        </w:tc>
        <w:tc>
          <w:tcPr>
            <w:tcW w:w="1820" w:type="dxa"/>
            <w:vAlign w:val="bottom"/>
          </w:tcPr>
          <w:p>
            <w:pPr>
              <w:jc w:val="center"/>
              <w:ind w:left="15"/>
              <w:spacing w:after="0" w:line="256" w:lineRule="exact"/>
              <w:rPr>
                <w:sz w:val="20"/>
                <w:szCs w:val="20"/>
                <w:color w:val="auto"/>
              </w:rPr>
            </w:pPr>
            <w:r>
              <w:rPr>
                <w:rFonts w:ascii="Calibri" w:cs="Calibri" w:eastAsia="Calibri" w:hAnsi="Calibri"/>
                <w:sz w:val="22"/>
                <w:szCs w:val="22"/>
                <w:color w:val="auto"/>
                <w:w w:val="98"/>
              </w:rPr>
              <w:t>Yes</w:t>
            </w:r>
          </w:p>
        </w:tc>
        <w:tc>
          <w:tcPr>
            <w:tcW w:w="220" w:type="dxa"/>
            <w:vAlign w:val="bottom"/>
          </w:tcPr>
          <w:p>
            <w:pPr>
              <w:spacing w:after="0"/>
              <w:rPr>
                <w:sz w:val="22"/>
                <w:szCs w:val="22"/>
                <w:color w:val="auto"/>
              </w:rPr>
            </w:pPr>
          </w:p>
        </w:tc>
        <w:tc>
          <w:tcPr>
            <w:tcW w:w="4680" w:type="dxa"/>
            <w:vAlign w:val="bottom"/>
          </w:tcPr>
          <w:p>
            <w:pPr>
              <w:spacing w:after="0" w:line="215" w:lineRule="exact"/>
              <w:rPr>
                <w:sz w:val="20"/>
                <w:szCs w:val="20"/>
                <w:color w:val="auto"/>
              </w:rPr>
            </w:pPr>
            <w:r>
              <w:rPr>
                <w:rFonts w:ascii="Calibri" w:cs="Calibri" w:eastAsia="Calibri" w:hAnsi="Calibri"/>
                <w:sz w:val="18"/>
                <w:szCs w:val="18"/>
                <w:color w:val="auto"/>
              </w:rPr>
              <w:t>Launched a new theater company with a new play with over</w:t>
            </w:r>
          </w:p>
        </w:tc>
        <w:tc>
          <w:tcPr>
            <w:tcW w:w="220" w:type="dxa"/>
            <w:vAlign w:val="bottom"/>
          </w:tcPr>
          <w:p>
            <w:pPr>
              <w:spacing w:after="0"/>
              <w:rPr>
                <w:sz w:val="22"/>
                <w:szCs w:val="22"/>
                <w:color w:val="auto"/>
              </w:rPr>
            </w:pPr>
          </w:p>
        </w:tc>
        <w:tc>
          <w:tcPr>
            <w:tcW w:w="2040" w:type="dxa"/>
            <w:vAlign w:val="bottom"/>
            <w:gridSpan w:val="2"/>
          </w:tcPr>
          <w:p>
            <w:pPr>
              <w:spacing w:after="0" w:line="215" w:lineRule="exact"/>
              <w:rPr>
                <w:sz w:val="20"/>
                <w:szCs w:val="20"/>
                <w:color w:val="auto"/>
              </w:rPr>
            </w:pPr>
            <w:r>
              <w:rPr>
                <w:rFonts w:ascii="Calibri" w:cs="Calibri" w:eastAsia="Calibri" w:hAnsi="Calibri"/>
                <w:sz w:val="18"/>
                <w:szCs w:val="18"/>
                <w:color w:val="auto"/>
              </w:rPr>
              <w:t>Positive local press.</w:t>
            </w:r>
          </w:p>
        </w:tc>
        <w:tc>
          <w:tcPr>
            <w:tcW w:w="0" w:type="dxa"/>
            <w:vAlign w:val="bottom"/>
          </w:tcPr>
          <w:p>
            <w:pPr>
              <w:spacing w:after="0"/>
              <w:rPr>
                <w:sz w:val="1"/>
                <w:szCs w:val="1"/>
                <w:color w:val="auto"/>
              </w:rPr>
            </w:pPr>
          </w:p>
        </w:tc>
      </w:tr>
      <w:tr>
        <w:trPr>
          <w:trHeight w:val="179"/>
        </w:trPr>
        <w:tc>
          <w:tcPr>
            <w:tcW w:w="1520" w:type="dxa"/>
            <w:vAlign w:val="bottom"/>
          </w:tcPr>
          <w:p>
            <w:pPr>
              <w:spacing w:after="0"/>
              <w:rPr>
                <w:sz w:val="15"/>
                <w:szCs w:val="15"/>
                <w:color w:val="auto"/>
              </w:rPr>
            </w:pPr>
          </w:p>
        </w:tc>
        <w:tc>
          <w:tcPr>
            <w:tcW w:w="2460" w:type="dxa"/>
            <w:vAlign w:val="bottom"/>
            <w:gridSpan w:val="2"/>
            <w:vMerge w:val="restart"/>
          </w:tcPr>
          <w:p>
            <w:pPr>
              <w:spacing w:after="0"/>
              <w:rPr>
                <w:sz w:val="20"/>
                <w:szCs w:val="20"/>
                <w:color w:val="auto"/>
              </w:rPr>
            </w:pPr>
            <w:r>
              <w:rPr>
                <w:rFonts w:ascii="Calibri" w:cs="Calibri" w:eastAsia="Calibri" w:hAnsi="Calibri"/>
                <w:sz w:val="22"/>
                <w:szCs w:val="22"/>
                <w:color w:val="auto"/>
              </w:rPr>
              <w:t>theater company with an</w:t>
            </w:r>
          </w:p>
        </w:tc>
        <w:tc>
          <w:tcPr>
            <w:tcW w:w="182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4680" w:type="dxa"/>
            <w:vAlign w:val="bottom"/>
          </w:tcPr>
          <w:p>
            <w:pPr>
              <w:spacing w:after="0" w:line="179" w:lineRule="exact"/>
              <w:rPr>
                <w:sz w:val="20"/>
                <w:szCs w:val="20"/>
                <w:color w:val="auto"/>
              </w:rPr>
            </w:pPr>
            <w:r>
              <w:rPr>
                <w:rFonts w:ascii="Calibri" w:cs="Calibri" w:eastAsia="Calibri" w:hAnsi="Calibri"/>
                <w:sz w:val="18"/>
                <w:szCs w:val="18"/>
                <w:color w:val="auto"/>
              </w:rPr>
              <w:t>90% of the seats filled. Sold 314 tickets, made a profit of over</w:t>
            </w:r>
          </w:p>
        </w:tc>
        <w:tc>
          <w:tcPr>
            <w:tcW w:w="220" w:type="dxa"/>
            <w:vAlign w:val="bottom"/>
          </w:tcPr>
          <w:p>
            <w:pPr>
              <w:spacing w:after="0"/>
              <w:rPr>
                <w:sz w:val="15"/>
                <w:szCs w:val="15"/>
                <w:color w:val="auto"/>
              </w:rPr>
            </w:pPr>
          </w:p>
        </w:tc>
        <w:tc>
          <w:tcPr>
            <w:tcW w:w="194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94"/>
        </w:trPr>
        <w:tc>
          <w:tcPr>
            <w:tcW w:w="1520" w:type="dxa"/>
            <w:vAlign w:val="bottom"/>
          </w:tcPr>
          <w:p>
            <w:pPr>
              <w:spacing w:after="0"/>
              <w:rPr>
                <w:sz w:val="8"/>
                <w:szCs w:val="8"/>
                <w:color w:val="auto"/>
              </w:rPr>
            </w:pPr>
          </w:p>
        </w:tc>
        <w:tc>
          <w:tcPr>
            <w:tcW w:w="2460" w:type="dxa"/>
            <w:vAlign w:val="bottom"/>
            <w:gridSpan w:val="2"/>
            <w:vMerge w:val="continue"/>
          </w:tcPr>
          <w:p>
            <w:pPr>
              <w:spacing w:after="0"/>
              <w:rPr>
                <w:sz w:val="8"/>
                <w:szCs w:val="8"/>
                <w:color w:val="auto"/>
              </w:rPr>
            </w:pPr>
          </w:p>
        </w:tc>
        <w:tc>
          <w:tcPr>
            <w:tcW w:w="1820" w:type="dxa"/>
            <w:vAlign w:val="bottom"/>
          </w:tcPr>
          <w:p>
            <w:pPr>
              <w:spacing w:after="0"/>
              <w:rPr>
                <w:sz w:val="8"/>
                <w:szCs w:val="8"/>
                <w:color w:val="auto"/>
              </w:rPr>
            </w:pPr>
          </w:p>
        </w:tc>
        <w:tc>
          <w:tcPr>
            <w:tcW w:w="4900" w:type="dxa"/>
            <w:vAlign w:val="bottom"/>
            <w:gridSpan w:val="2"/>
            <w:vMerge w:val="restart"/>
          </w:tcPr>
          <w:p>
            <w:pPr>
              <w:ind w:left="220"/>
              <w:spacing w:after="0" w:line="218" w:lineRule="exact"/>
              <w:rPr>
                <w:sz w:val="20"/>
                <w:szCs w:val="20"/>
                <w:color w:val="auto"/>
              </w:rPr>
            </w:pPr>
            <w:r>
              <w:rPr>
                <w:rFonts w:ascii="Calibri" w:cs="Calibri" w:eastAsia="Calibri" w:hAnsi="Calibri"/>
                <w:sz w:val="18"/>
                <w:szCs w:val="18"/>
                <w:color w:val="auto"/>
              </w:rPr>
              <w:t>$4,000.</w:t>
            </w:r>
          </w:p>
        </w:tc>
        <w:tc>
          <w:tcPr>
            <w:tcW w:w="220" w:type="dxa"/>
            <w:vAlign w:val="bottom"/>
          </w:tcPr>
          <w:p>
            <w:pPr>
              <w:spacing w:after="0"/>
              <w:rPr>
                <w:sz w:val="8"/>
                <w:szCs w:val="8"/>
                <w:color w:val="auto"/>
              </w:rPr>
            </w:pPr>
          </w:p>
        </w:tc>
        <w:tc>
          <w:tcPr>
            <w:tcW w:w="1940" w:type="dxa"/>
            <w:vAlign w:val="bottom"/>
          </w:tcPr>
          <w:p>
            <w:pPr>
              <w:spacing w:after="0"/>
              <w:rPr>
                <w:sz w:val="8"/>
                <w:szCs w:val="8"/>
                <w:color w:val="auto"/>
              </w:rPr>
            </w:pPr>
          </w:p>
        </w:tc>
        <w:tc>
          <w:tcPr>
            <w:tcW w:w="1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24"/>
        </w:trPr>
        <w:tc>
          <w:tcPr>
            <w:tcW w:w="1520" w:type="dxa"/>
            <w:vAlign w:val="bottom"/>
          </w:tcPr>
          <w:p>
            <w:pPr>
              <w:spacing w:after="0"/>
              <w:rPr>
                <w:sz w:val="10"/>
                <w:szCs w:val="10"/>
                <w:color w:val="auto"/>
              </w:rPr>
            </w:pPr>
          </w:p>
        </w:tc>
        <w:tc>
          <w:tcPr>
            <w:tcW w:w="2460" w:type="dxa"/>
            <w:vAlign w:val="bottom"/>
            <w:gridSpan w:val="2"/>
            <w:vMerge w:val="restart"/>
          </w:tcPr>
          <w:p>
            <w:pPr>
              <w:spacing w:after="0"/>
              <w:rPr>
                <w:sz w:val="20"/>
                <w:szCs w:val="20"/>
                <w:color w:val="auto"/>
              </w:rPr>
            </w:pPr>
            <w:r>
              <w:rPr>
                <w:rFonts w:ascii="Calibri" w:cs="Calibri" w:eastAsia="Calibri" w:hAnsi="Calibri"/>
                <w:sz w:val="22"/>
                <w:szCs w:val="22"/>
                <w:color w:val="auto"/>
              </w:rPr>
              <w:t>original play</w:t>
            </w:r>
          </w:p>
        </w:tc>
        <w:tc>
          <w:tcPr>
            <w:tcW w:w="1820" w:type="dxa"/>
            <w:vAlign w:val="bottom"/>
          </w:tcPr>
          <w:p>
            <w:pPr>
              <w:spacing w:after="0"/>
              <w:rPr>
                <w:sz w:val="10"/>
                <w:szCs w:val="10"/>
                <w:color w:val="auto"/>
              </w:rPr>
            </w:pPr>
          </w:p>
        </w:tc>
        <w:tc>
          <w:tcPr>
            <w:tcW w:w="4900" w:type="dxa"/>
            <w:vAlign w:val="bottom"/>
            <w:gridSpan w:val="2"/>
            <w:vMerge w:val="continue"/>
          </w:tcPr>
          <w:p>
            <w:pPr>
              <w:spacing w:after="0"/>
              <w:rPr>
                <w:sz w:val="10"/>
                <w:szCs w:val="10"/>
                <w:color w:val="auto"/>
              </w:rPr>
            </w:pPr>
          </w:p>
        </w:tc>
        <w:tc>
          <w:tcPr>
            <w:tcW w:w="220" w:type="dxa"/>
            <w:vAlign w:val="bottom"/>
          </w:tcPr>
          <w:p>
            <w:pPr>
              <w:spacing w:after="0"/>
              <w:rPr>
                <w:sz w:val="10"/>
                <w:szCs w:val="10"/>
                <w:color w:val="auto"/>
              </w:rPr>
            </w:pPr>
          </w:p>
        </w:tc>
        <w:tc>
          <w:tcPr>
            <w:tcW w:w="19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49"/>
        </w:trPr>
        <w:tc>
          <w:tcPr>
            <w:tcW w:w="1520" w:type="dxa"/>
            <w:vAlign w:val="bottom"/>
          </w:tcPr>
          <w:p>
            <w:pPr>
              <w:spacing w:after="0"/>
              <w:rPr>
                <w:sz w:val="12"/>
                <w:szCs w:val="12"/>
                <w:color w:val="auto"/>
              </w:rPr>
            </w:pPr>
          </w:p>
        </w:tc>
        <w:tc>
          <w:tcPr>
            <w:tcW w:w="2460" w:type="dxa"/>
            <w:vAlign w:val="bottom"/>
            <w:gridSpan w:val="2"/>
            <w:vMerge w:val="continue"/>
          </w:tcPr>
          <w:p>
            <w:pPr>
              <w:spacing w:after="0"/>
              <w:rPr>
                <w:sz w:val="12"/>
                <w:szCs w:val="12"/>
                <w:color w:val="auto"/>
              </w:rPr>
            </w:pPr>
          </w:p>
        </w:tc>
        <w:tc>
          <w:tcPr>
            <w:tcW w:w="18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468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9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23"/>
        </w:trPr>
        <w:tc>
          <w:tcPr>
            <w:tcW w:w="1520" w:type="dxa"/>
            <w:vAlign w:val="bottom"/>
            <w:shd w:val="clear" w:color="auto" w:fill="F2F2F2"/>
          </w:tcPr>
          <w:p>
            <w:pPr>
              <w:ind w:left="100"/>
              <w:spacing w:after="0" w:line="222" w:lineRule="exact"/>
              <w:rPr>
                <w:sz w:val="20"/>
                <w:szCs w:val="20"/>
                <w:color w:val="auto"/>
              </w:rPr>
            </w:pPr>
            <w:r>
              <w:rPr>
                <w:rFonts w:ascii="Calibri" w:cs="Calibri" w:eastAsia="Calibri" w:hAnsi="Calibri"/>
                <w:sz w:val="22"/>
                <w:szCs w:val="22"/>
                <w:b w:val="1"/>
                <w:bCs w:val="1"/>
                <w:color w:val="auto"/>
              </w:rPr>
              <w:t>Success</w:t>
            </w:r>
          </w:p>
        </w:tc>
        <w:tc>
          <w:tcPr>
            <w:tcW w:w="2360" w:type="dxa"/>
            <w:vAlign w:val="bottom"/>
            <w:shd w:val="clear" w:color="auto" w:fill="F2F2F2"/>
          </w:tcPr>
          <w:p>
            <w:pPr>
              <w:spacing w:after="0" w:line="222" w:lineRule="exact"/>
              <w:rPr>
                <w:sz w:val="20"/>
                <w:szCs w:val="20"/>
                <w:color w:val="auto"/>
              </w:rPr>
            </w:pPr>
            <w:r>
              <w:rPr>
                <w:rFonts w:ascii="Calibri" w:cs="Calibri" w:eastAsia="Calibri" w:hAnsi="Calibri"/>
                <w:sz w:val="22"/>
                <w:szCs w:val="22"/>
                <w:color w:val="auto"/>
              </w:rPr>
              <w:t>Play featuring shelter</w:t>
            </w:r>
          </w:p>
        </w:tc>
        <w:tc>
          <w:tcPr>
            <w:tcW w:w="100" w:type="dxa"/>
            <w:vAlign w:val="bottom"/>
            <w:shd w:val="clear" w:color="auto" w:fill="F2F2F2"/>
          </w:tcPr>
          <w:p>
            <w:pPr>
              <w:spacing w:after="0"/>
              <w:rPr>
                <w:sz w:val="19"/>
                <w:szCs w:val="19"/>
                <w:color w:val="auto"/>
              </w:rPr>
            </w:pPr>
          </w:p>
        </w:tc>
        <w:tc>
          <w:tcPr>
            <w:tcW w:w="1820" w:type="dxa"/>
            <w:vAlign w:val="bottom"/>
            <w:shd w:val="clear" w:color="auto" w:fill="F2F2F2"/>
          </w:tcPr>
          <w:p>
            <w:pPr>
              <w:jc w:val="center"/>
              <w:ind w:left="15"/>
              <w:spacing w:after="0" w:line="222" w:lineRule="exact"/>
              <w:rPr>
                <w:sz w:val="20"/>
                <w:szCs w:val="20"/>
                <w:color w:val="auto"/>
              </w:rPr>
            </w:pPr>
            <w:r>
              <w:rPr>
                <w:rFonts w:ascii="Calibri" w:cs="Calibri" w:eastAsia="Calibri" w:hAnsi="Calibri"/>
                <w:sz w:val="22"/>
                <w:szCs w:val="22"/>
                <w:color w:val="auto"/>
                <w:w w:val="98"/>
              </w:rPr>
              <w:t>Yes</w:t>
            </w:r>
          </w:p>
        </w:tc>
        <w:tc>
          <w:tcPr>
            <w:tcW w:w="220" w:type="dxa"/>
            <w:vAlign w:val="bottom"/>
            <w:shd w:val="clear" w:color="auto" w:fill="F2F2F2"/>
          </w:tcPr>
          <w:p>
            <w:pPr>
              <w:spacing w:after="0"/>
              <w:rPr>
                <w:sz w:val="19"/>
                <w:szCs w:val="19"/>
                <w:color w:val="auto"/>
              </w:rPr>
            </w:pPr>
          </w:p>
        </w:tc>
        <w:tc>
          <w:tcPr>
            <w:tcW w:w="4680" w:type="dxa"/>
            <w:vAlign w:val="bottom"/>
            <w:shd w:val="clear" w:color="auto" w:fill="F2F2F2"/>
          </w:tcPr>
          <w:p>
            <w:pPr>
              <w:spacing w:after="0" w:line="218" w:lineRule="exact"/>
              <w:rPr>
                <w:sz w:val="20"/>
                <w:szCs w:val="20"/>
                <w:color w:val="auto"/>
              </w:rPr>
            </w:pPr>
            <w:r>
              <w:rPr>
                <w:rFonts w:ascii="Calibri" w:cs="Calibri" w:eastAsia="Calibri" w:hAnsi="Calibri"/>
                <w:sz w:val="18"/>
                <w:szCs w:val="18"/>
                <w:color w:val="auto"/>
              </w:rPr>
              <w:t>Ran for one month. Broke even.</w:t>
            </w:r>
          </w:p>
        </w:tc>
        <w:tc>
          <w:tcPr>
            <w:tcW w:w="220" w:type="dxa"/>
            <w:vAlign w:val="bottom"/>
            <w:shd w:val="clear" w:color="auto" w:fill="F2F2F2"/>
          </w:tcPr>
          <w:p>
            <w:pPr>
              <w:spacing w:after="0"/>
              <w:rPr>
                <w:sz w:val="19"/>
                <w:szCs w:val="19"/>
                <w:color w:val="auto"/>
              </w:rPr>
            </w:pPr>
          </w:p>
        </w:tc>
        <w:tc>
          <w:tcPr>
            <w:tcW w:w="1940" w:type="dxa"/>
            <w:vAlign w:val="bottom"/>
            <w:shd w:val="clear" w:color="auto" w:fill="F2F2F2"/>
          </w:tcPr>
          <w:p>
            <w:pPr>
              <w:spacing w:after="0" w:line="218" w:lineRule="exact"/>
              <w:rPr>
                <w:sz w:val="20"/>
                <w:szCs w:val="20"/>
                <w:color w:val="auto"/>
              </w:rPr>
            </w:pPr>
            <w:r>
              <w:rPr>
                <w:rFonts w:ascii="Calibri" w:cs="Calibri" w:eastAsia="Calibri" w:hAnsi="Calibri"/>
                <w:sz w:val="18"/>
                <w:szCs w:val="18"/>
                <w:color w:val="auto"/>
                <w:shd w:val="clear" w:color="auto" w:fill="F2F2F2"/>
              </w:rPr>
              <w:t>Covered but not reviewed</w:t>
            </w:r>
          </w:p>
        </w:tc>
        <w:tc>
          <w:tcPr>
            <w:tcW w:w="100" w:type="dxa"/>
            <w:vAlign w:val="bottom"/>
            <w:shd w:val="clear" w:color="auto" w:fill="F2F2F2"/>
          </w:tcPr>
          <w:p>
            <w:pPr>
              <w:spacing w:after="0"/>
              <w:rPr>
                <w:sz w:val="19"/>
                <w:szCs w:val="19"/>
                <w:color w:val="auto"/>
              </w:rPr>
            </w:pPr>
          </w:p>
        </w:tc>
        <w:tc>
          <w:tcPr>
            <w:tcW w:w="0" w:type="dxa"/>
            <w:vAlign w:val="bottom"/>
          </w:tcPr>
          <w:p>
            <w:pPr>
              <w:spacing w:after="0"/>
              <w:rPr>
                <w:sz w:val="1"/>
                <w:szCs w:val="1"/>
                <w:color w:val="auto"/>
              </w:rPr>
            </w:pPr>
          </w:p>
        </w:tc>
      </w:tr>
      <w:tr>
        <w:trPr>
          <w:trHeight w:val="214"/>
        </w:trPr>
        <w:tc>
          <w:tcPr>
            <w:tcW w:w="1520" w:type="dxa"/>
            <w:vAlign w:val="bottom"/>
            <w:shd w:val="clear" w:color="auto" w:fill="F2F2F2"/>
          </w:tcPr>
          <w:p>
            <w:pPr>
              <w:spacing w:after="0"/>
              <w:rPr>
                <w:sz w:val="18"/>
                <w:szCs w:val="18"/>
                <w:color w:val="auto"/>
              </w:rPr>
            </w:pPr>
          </w:p>
        </w:tc>
        <w:tc>
          <w:tcPr>
            <w:tcW w:w="2360" w:type="dxa"/>
            <w:vAlign w:val="bottom"/>
            <w:vMerge w:val="restart"/>
            <w:shd w:val="clear" w:color="auto" w:fill="F2F2F2"/>
          </w:tcPr>
          <w:p>
            <w:pPr>
              <w:spacing w:after="0"/>
              <w:rPr>
                <w:sz w:val="20"/>
                <w:szCs w:val="20"/>
                <w:color w:val="auto"/>
              </w:rPr>
            </w:pPr>
            <w:r>
              <w:rPr>
                <w:rFonts w:ascii="Calibri" w:cs="Calibri" w:eastAsia="Calibri" w:hAnsi="Calibri"/>
                <w:sz w:val="22"/>
                <w:szCs w:val="22"/>
                <w:color w:val="auto"/>
              </w:rPr>
              <w:t>dogs</w:t>
            </w:r>
          </w:p>
        </w:tc>
        <w:tc>
          <w:tcPr>
            <w:tcW w:w="100" w:type="dxa"/>
            <w:vAlign w:val="bottom"/>
            <w:shd w:val="clear" w:color="auto" w:fill="F2F2F2"/>
          </w:tcPr>
          <w:p>
            <w:pPr>
              <w:spacing w:after="0"/>
              <w:rPr>
                <w:sz w:val="18"/>
                <w:szCs w:val="18"/>
                <w:color w:val="auto"/>
              </w:rPr>
            </w:pPr>
          </w:p>
        </w:tc>
        <w:tc>
          <w:tcPr>
            <w:tcW w:w="1820" w:type="dxa"/>
            <w:vAlign w:val="bottom"/>
            <w:shd w:val="clear" w:color="auto" w:fill="F2F2F2"/>
          </w:tcPr>
          <w:p>
            <w:pPr>
              <w:spacing w:after="0"/>
              <w:rPr>
                <w:sz w:val="18"/>
                <w:szCs w:val="18"/>
                <w:color w:val="auto"/>
              </w:rPr>
            </w:pPr>
          </w:p>
        </w:tc>
        <w:tc>
          <w:tcPr>
            <w:tcW w:w="220" w:type="dxa"/>
            <w:vAlign w:val="bottom"/>
            <w:shd w:val="clear" w:color="auto" w:fill="F2F2F2"/>
          </w:tcPr>
          <w:p>
            <w:pPr>
              <w:spacing w:after="0"/>
              <w:rPr>
                <w:sz w:val="18"/>
                <w:szCs w:val="18"/>
                <w:color w:val="auto"/>
              </w:rPr>
            </w:pPr>
          </w:p>
        </w:tc>
        <w:tc>
          <w:tcPr>
            <w:tcW w:w="4680" w:type="dxa"/>
            <w:vAlign w:val="bottom"/>
            <w:shd w:val="clear" w:color="auto" w:fill="F2F2F2"/>
          </w:tcPr>
          <w:p>
            <w:pPr>
              <w:spacing w:after="0"/>
              <w:rPr>
                <w:sz w:val="18"/>
                <w:szCs w:val="18"/>
                <w:color w:val="auto"/>
              </w:rPr>
            </w:pPr>
          </w:p>
        </w:tc>
        <w:tc>
          <w:tcPr>
            <w:tcW w:w="220" w:type="dxa"/>
            <w:vAlign w:val="bottom"/>
            <w:shd w:val="clear" w:color="auto" w:fill="F2F2F2"/>
          </w:tcPr>
          <w:p>
            <w:pPr>
              <w:spacing w:after="0"/>
              <w:rPr>
                <w:sz w:val="18"/>
                <w:szCs w:val="18"/>
                <w:color w:val="auto"/>
              </w:rPr>
            </w:pPr>
          </w:p>
        </w:tc>
        <w:tc>
          <w:tcPr>
            <w:tcW w:w="1940" w:type="dxa"/>
            <w:vAlign w:val="bottom"/>
            <w:shd w:val="clear" w:color="auto" w:fill="F2F2F2"/>
          </w:tcPr>
          <w:p>
            <w:pPr>
              <w:spacing w:after="0" w:line="215" w:lineRule="exact"/>
              <w:rPr>
                <w:sz w:val="20"/>
                <w:szCs w:val="20"/>
                <w:color w:val="auto"/>
              </w:rPr>
            </w:pPr>
            <w:r>
              <w:rPr>
                <w:rFonts w:ascii="Calibri" w:cs="Calibri" w:eastAsia="Calibri" w:hAnsi="Calibri"/>
                <w:sz w:val="18"/>
                <w:szCs w:val="18"/>
                <w:color w:val="auto"/>
              </w:rPr>
              <w:t>by national and local</w:t>
            </w:r>
          </w:p>
        </w:tc>
        <w:tc>
          <w:tcPr>
            <w:tcW w:w="100" w:type="dxa"/>
            <w:vAlign w:val="bottom"/>
            <w:shd w:val="clear" w:color="auto" w:fill="F2F2F2"/>
          </w:tcPr>
          <w:p>
            <w:pPr>
              <w:spacing w:after="0"/>
              <w:rPr>
                <w:sz w:val="18"/>
                <w:szCs w:val="18"/>
                <w:color w:val="auto"/>
              </w:rPr>
            </w:pPr>
          </w:p>
        </w:tc>
        <w:tc>
          <w:tcPr>
            <w:tcW w:w="0" w:type="dxa"/>
            <w:vAlign w:val="bottom"/>
          </w:tcPr>
          <w:p>
            <w:pPr>
              <w:spacing w:after="0"/>
              <w:rPr>
                <w:sz w:val="1"/>
                <w:szCs w:val="1"/>
                <w:color w:val="auto"/>
              </w:rPr>
            </w:pPr>
          </w:p>
        </w:tc>
      </w:tr>
      <w:tr>
        <w:trPr>
          <w:trHeight w:val="96"/>
        </w:trPr>
        <w:tc>
          <w:tcPr>
            <w:tcW w:w="1520" w:type="dxa"/>
            <w:vAlign w:val="bottom"/>
            <w:shd w:val="clear" w:color="auto" w:fill="F2F2F2"/>
          </w:tcPr>
          <w:p>
            <w:pPr>
              <w:spacing w:after="0"/>
              <w:rPr>
                <w:sz w:val="8"/>
                <w:szCs w:val="8"/>
                <w:color w:val="auto"/>
              </w:rPr>
            </w:pPr>
          </w:p>
        </w:tc>
        <w:tc>
          <w:tcPr>
            <w:tcW w:w="2360" w:type="dxa"/>
            <w:vAlign w:val="bottom"/>
            <w:vMerge w:val="continue"/>
            <w:shd w:val="clear" w:color="auto" w:fill="F2F2F2"/>
          </w:tcPr>
          <w:p>
            <w:pPr>
              <w:spacing w:after="0"/>
              <w:rPr>
                <w:sz w:val="8"/>
                <w:szCs w:val="8"/>
                <w:color w:val="auto"/>
              </w:rPr>
            </w:pPr>
          </w:p>
        </w:tc>
        <w:tc>
          <w:tcPr>
            <w:tcW w:w="100" w:type="dxa"/>
            <w:vAlign w:val="bottom"/>
            <w:shd w:val="clear" w:color="auto" w:fill="F2F2F2"/>
          </w:tcPr>
          <w:p>
            <w:pPr>
              <w:spacing w:after="0"/>
              <w:rPr>
                <w:sz w:val="8"/>
                <w:szCs w:val="8"/>
                <w:color w:val="auto"/>
              </w:rPr>
            </w:pPr>
          </w:p>
        </w:tc>
        <w:tc>
          <w:tcPr>
            <w:tcW w:w="1820" w:type="dxa"/>
            <w:vAlign w:val="bottom"/>
            <w:shd w:val="clear" w:color="auto" w:fill="F2F2F2"/>
          </w:tcPr>
          <w:p>
            <w:pPr>
              <w:spacing w:after="0"/>
              <w:rPr>
                <w:sz w:val="8"/>
                <w:szCs w:val="8"/>
                <w:color w:val="auto"/>
              </w:rPr>
            </w:pPr>
          </w:p>
        </w:tc>
        <w:tc>
          <w:tcPr>
            <w:tcW w:w="220" w:type="dxa"/>
            <w:vAlign w:val="bottom"/>
            <w:shd w:val="clear" w:color="auto" w:fill="F2F2F2"/>
          </w:tcPr>
          <w:p>
            <w:pPr>
              <w:spacing w:after="0"/>
              <w:rPr>
                <w:sz w:val="8"/>
                <w:szCs w:val="8"/>
                <w:color w:val="auto"/>
              </w:rPr>
            </w:pPr>
          </w:p>
        </w:tc>
        <w:tc>
          <w:tcPr>
            <w:tcW w:w="4680" w:type="dxa"/>
            <w:vAlign w:val="bottom"/>
            <w:shd w:val="clear" w:color="auto" w:fill="F2F2F2"/>
          </w:tcPr>
          <w:p>
            <w:pPr>
              <w:spacing w:after="0"/>
              <w:rPr>
                <w:sz w:val="8"/>
                <w:szCs w:val="8"/>
                <w:color w:val="auto"/>
              </w:rPr>
            </w:pPr>
          </w:p>
        </w:tc>
        <w:tc>
          <w:tcPr>
            <w:tcW w:w="220" w:type="dxa"/>
            <w:vAlign w:val="bottom"/>
            <w:shd w:val="clear" w:color="auto" w:fill="F2F2F2"/>
          </w:tcPr>
          <w:p>
            <w:pPr>
              <w:spacing w:after="0"/>
              <w:rPr>
                <w:sz w:val="8"/>
                <w:szCs w:val="8"/>
                <w:color w:val="auto"/>
              </w:rPr>
            </w:pPr>
          </w:p>
        </w:tc>
        <w:tc>
          <w:tcPr>
            <w:tcW w:w="1940" w:type="dxa"/>
            <w:vAlign w:val="bottom"/>
            <w:vMerge w:val="restart"/>
            <w:shd w:val="clear" w:color="auto" w:fill="F2F2F2"/>
          </w:tcPr>
          <w:p>
            <w:pPr>
              <w:spacing w:after="0"/>
              <w:rPr>
                <w:sz w:val="20"/>
                <w:szCs w:val="20"/>
                <w:color w:val="auto"/>
              </w:rPr>
            </w:pPr>
            <w:r>
              <w:rPr>
                <w:rFonts w:ascii="Calibri" w:cs="Calibri" w:eastAsia="Calibri" w:hAnsi="Calibri"/>
                <w:sz w:val="18"/>
                <w:szCs w:val="18"/>
                <w:color w:val="auto"/>
              </w:rPr>
              <w:t>press.</w:t>
            </w:r>
          </w:p>
        </w:tc>
        <w:tc>
          <w:tcPr>
            <w:tcW w:w="100" w:type="dxa"/>
            <w:vAlign w:val="bottom"/>
            <w:shd w:val="clear" w:color="auto" w:fill="F2F2F2"/>
          </w:tcPr>
          <w:p>
            <w:pPr>
              <w:spacing w:after="0"/>
              <w:rPr>
                <w:sz w:val="8"/>
                <w:szCs w:val="8"/>
                <w:color w:val="auto"/>
              </w:rPr>
            </w:pPr>
          </w:p>
        </w:tc>
        <w:tc>
          <w:tcPr>
            <w:tcW w:w="0" w:type="dxa"/>
            <w:vAlign w:val="bottom"/>
          </w:tcPr>
          <w:p>
            <w:pPr>
              <w:spacing w:after="0"/>
              <w:rPr>
                <w:sz w:val="1"/>
                <w:szCs w:val="1"/>
                <w:color w:val="auto"/>
              </w:rPr>
            </w:pPr>
          </w:p>
        </w:tc>
      </w:tr>
      <w:tr>
        <w:trPr>
          <w:trHeight w:val="128"/>
        </w:trPr>
        <w:tc>
          <w:tcPr>
            <w:tcW w:w="1520" w:type="dxa"/>
            <w:vAlign w:val="bottom"/>
            <w:shd w:val="clear" w:color="auto" w:fill="F2F2F2"/>
          </w:tcPr>
          <w:p>
            <w:pPr>
              <w:spacing w:after="0"/>
              <w:rPr>
                <w:sz w:val="11"/>
                <w:szCs w:val="11"/>
                <w:color w:val="auto"/>
              </w:rPr>
            </w:pPr>
          </w:p>
        </w:tc>
        <w:tc>
          <w:tcPr>
            <w:tcW w:w="2360" w:type="dxa"/>
            <w:vAlign w:val="bottom"/>
            <w:shd w:val="clear" w:color="auto" w:fill="F2F2F2"/>
          </w:tcPr>
          <w:p>
            <w:pPr>
              <w:spacing w:after="0"/>
              <w:rPr>
                <w:sz w:val="11"/>
                <w:szCs w:val="11"/>
                <w:color w:val="auto"/>
              </w:rPr>
            </w:pPr>
          </w:p>
        </w:tc>
        <w:tc>
          <w:tcPr>
            <w:tcW w:w="100" w:type="dxa"/>
            <w:vAlign w:val="bottom"/>
            <w:shd w:val="clear" w:color="auto" w:fill="F2F2F2"/>
          </w:tcPr>
          <w:p>
            <w:pPr>
              <w:spacing w:after="0"/>
              <w:rPr>
                <w:sz w:val="11"/>
                <w:szCs w:val="11"/>
                <w:color w:val="auto"/>
              </w:rPr>
            </w:pPr>
          </w:p>
        </w:tc>
        <w:tc>
          <w:tcPr>
            <w:tcW w:w="1820" w:type="dxa"/>
            <w:vAlign w:val="bottom"/>
            <w:shd w:val="clear" w:color="auto" w:fill="F2F2F2"/>
          </w:tcPr>
          <w:p>
            <w:pPr>
              <w:spacing w:after="0"/>
              <w:rPr>
                <w:sz w:val="11"/>
                <w:szCs w:val="11"/>
                <w:color w:val="auto"/>
              </w:rPr>
            </w:pPr>
          </w:p>
        </w:tc>
        <w:tc>
          <w:tcPr>
            <w:tcW w:w="220" w:type="dxa"/>
            <w:vAlign w:val="bottom"/>
            <w:shd w:val="clear" w:color="auto" w:fill="F2F2F2"/>
          </w:tcPr>
          <w:p>
            <w:pPr>
              <w:spacing w:after="0"/>
              <w:rPr>
                <w:sz w:val="11"/>
                <w:szCs w:val="11"/>
                <w:color w:val="auto"/>
              </w:rPr>
            </w:pPr>
          </w:p>
        </w:tc>
        <w:tc>
          <w:tcPr>
            <w:tcW w:w="4680" w:type="dxa"/>
            <w:vAlign w:val="bottom"/>
            <w:shd w:val="clear" w:color="auto" w:fill="F2F2F2"/>
          </w:tcPr>
          <w:p>
            <w:pPr>
              <w:spacing w:after="0"/>
              <w:rPr>
                <w:sz w:val="11"/>
                <w:szCs w:val="11"/>
                <w:color w:val="auto"/>
              </w:rPr>
            </w:pPr>
          </w:p>
        </w:tc>
        <w:tc>
          <w:tcPr>
            <w:tcW w:w="220" w:type="dxa"/>
            <w:vAlign w:val="bottom"/>
            <w:shd w:val="clear" w:color="auto" w:fill="F2F2F2"/>
          </w:tcPr>
          <w:p>
            <w:pPr>
              <w:spacing w:after="0"/>
              <w:rPr>
                <w:sz w:val="11"/>
                <w:szCs w:val="11"/>
                <w:color w:val="auto"/>
              </w:rPr>
            </w:pPr>
          </w:p>
        </w:tc>
        <w:tc>
          <w:tcPr>
            <w:tcW w:w="1940" w:type="dxa"/>
            <w:vAlign w:val="bottom"/>
            <w:vMerge w:val="continue"/>
            <w:shd w:val="clear" w:color="auto" w:fill="F2F2F2"/>
          </w:tcPr>
          <w:p>
            <w:pPr>
              <w:spacing w:after="0"/>
              <w:rPr>
                <w:sz w:val="11"/>
                <w:szCs w:val="11"/>
                <w:color w:val="auto"/>
              </w:rPr>
            </w:pPr>
          </w:p>
        </w:tc>
        <w:tc>
          <w:tcPr>
            <w:tcW w:w="100" w:type="dxa"/>
            <w:vAlign w:val="bottom"/>
            <w:shd w:val="clear" w:color="auto" w:fill="F2F2F2"/>
          </w:tcPr>
          <w:p>
            <w:pPr>
              <w:spacing w:after="0"/>
              <w:rPr>
                <w:sz w:val="11"/>
                <w:szCs w:val="11"/>
                <w:color w:val="auto"/>
              </w:rPr>
            </w:pPr>
          </w:p>
        </w:tc>
        <w:tc>
          <w:tcPr>
            <w:tcW w:w="0" w:type="dxa"/>
            <w:vAlign w:val="bottom"/>
          </w:tcPr>
          <w:p>
            <w:pPr>
              <w:spacing w:after="0"/>
              <w:rPr>
                <w:sz w:val="1"/>
                <w:szCs w:val="1"/>
                <w:color w:val="auto"/>
              </w:rPr>
            </w:pPr>
          </w:p>
        </w:tc>
      </w:tr>
      <w:tr>
        <w:trPr>
          <w:trHeight w:val="256"/>
        </w:trPr>
        <w:tc>
          <w:tcPr>
            <w:tcW w:w="1520" w:type="dxa"/>
            <w:vAlign w:val="bottom"/>
          </w:tcPr>
          <w:p>
            <w:pPr>
              <w:ind w:left="100"/>
              <w:spacing w:after="0" w:line="256" w:lineRule="exact"/>
              <w:rPr>
                <w:sz w:val="20"/>
                <w:szCs w:val="20"/>
                <w:color w:val="auto"/>
              </w:rPr>
            </w:pPr>
            <w:r>
              <w:rPr>
                <w:rFonts w:ascii="Calibri" w:cs="Calibri" w:eastAsia="Calibri" w:hAnsi="Calibri"/>
                <w:sz w:val="22"/>
                <w:szCs w:val="22"/>
                <w:b w:val="1"/>
                <w:bCs w:val="1"/>
                <w:color w:val="auto"/>
              </w:rPr>
              <w:t>Success</w:t>
            </w:r>
          </w:p>
        </w:tc>
        <w:tc>
          <w:tcPr>
            <w:tcW w:w="2460" w:type="dxa"/>
            <w:vAlign w:val="bottom"/>
            <w:gridSpan w:val="2"/>
          </w:tcPr>
          <w:p>
            <w:pPr>
              <w:spacing w:after="0" w:line="256" w:lineRule="exact"/>
              <w:rPr>
                <w:sz w:val="20"/>
                <w:szCs w:val="20"/>
                <w:color w:val="auto"/>
              </w:rPr>
            </w:pPr>
            <w:r>
              <w:rPr>
                <w:rFonts w:ascii="Calibri" w:cs="Calibri" w:eastAsia="Calibri" w:hAnsi="Calibri"/>
                <w:sz w:val="22"/>
                <w:szCs w:val="22"/>
                <w:color w:val="auto"/>
              </w:rPr>
              <w:t>Original musical</w:t>
            </w:r>
          </w:p>
        </w:tc>
        <w:tc>
          <w:tcPr>
            <w:tcW w:w="1820" w:type="dxa"/>
            <w:vAlign w:val="bottom"/>
          </w:tcPr>
          <w:p>
            <w:pPr>
              <w:jc w:val="center"/>
              <w:ind w:left="15"/>
              <w:spacing w:after="0" w:line="256" w:lineRule="exact"/>
              <w:rPr>
                <w:sz w:val="20"/>
                <w:szCs w:val="20"/>
                <w:color w:val="auto"/>
              </w:rPr>
            </w:pPr>
            <w:r>
              <w:rPr>
                <w:rFonts w:ascii="Calibri" w:cs="Calibri" w:eastAsia="Calibri" w:hAnsi="Calibri"/>
                <w:sz w:val="22"/>
                <w:szCs w:val="22"/>
                <w:color w:val="auto"/>
              </w:rPr>
              <w:t>No</w:t>
            </w:r>
          </w:p>
        </w:tc>
        <w:tc>
          <w:tcPr>
            <w:tcW w:w="220" w:type="dxa"/>
            <w:vAlign w:val="bottom"/>
          </w:tcPr>
          <w:p>
            <w:pPr>
              <w:spacing w:after="0"/>
              <w:rPr>
                <w:sz w:val="22"/>
                <w:szCs w:val="22"/>
                <w:color w:val="auto"/>
              </w:rPr>
            </w:pPr>
          </w:p>
        </w:tc>
        <w:tc>
          <w:tcPr>
            <w:tcW w:w="4680" w:type="dxa"/>
            <w:vAlign w:val="bottom"/>
          </w:tcPr>
          <w:p>
            <w:pPr>
              <w:spacing w:after="0" w:line="215" w:lineRule="exact"/>
              <w:rPr>
                <w:sz w:val="20"/>
                <w:szCs w:val="20"/>
                <w:color w:val="auto"/>
              </w:rPr>
            </w:pPr>
            <w:r>
              <w:rPr>
                <w:rFonts w:ascii="Calibri" w:cs="Calibri" w:eastAsia="Calibri" w:hAnsi="Calibri"/>
                <w:sz w:val="18"/>
                <w:szCs w:val="18"/>
                <w:color w:val="auto"/>
              </w:rPr>
              <w:t>Ran for one month, sold 600 seats, with a profit of about</w:t>
            </w:r>
          </w:p>
        </w:tc>
        <w:tc>
          <w:tcPr>
            <w:tcW w:w="220" w:type="dxa"/>
            <w:vAlign w:val="bottom"/>
          </w:tcPr>
          <w:p>
            <w:pPr>
              <w:spacing w:after="0"/>
              <w:rPr>
                <w:sz w:val="22"/>
                <w:szCs w:val="22"/>
                <w:color w:val="auto"/>
              </w:rPr>
            </w:pPr>
          </w:p>
        </w:tc>
        <w:tc>
          <w:tcPr>
            <w:tcW w:w="2040" w:type="dxa"/>
            <w:vAlign w:val="bottom"/>
            <w:gridSpan w:val="2"/>
          </w:tcPr>
          <w:p>
            <w:pPr>
              <w:spacing w:after="0" w:line="215" w:lineRule="exact"/>
              <w:rPr>
                <w:sz w:val="20"/>
                <w:szCs w:val="20"/>
                <w:color w:val="auto"/>
              </w:rPr>
            </w:pPr>
            <w:r>
              <w:rPr>
                <w:rFonts w:ascii="Calibri" w:cs="Calibri" w:eastAsia="Calibri" w:hAnsi="Calibri"/>
                <w:sz w:val="18"/>
                <w:szCs w:val="18"/>
                <w:color w:val="auto"/>
              </w:rPr>
              <w:t>Positively covered in local</w:t>
            </w:r>
          </w:p>
        </w:tc>
        <w:tc>
          <w:tcPr>
            <w:tcW w:w="0" w:type="dxa"/>
            <w:vAlign w:val="bottom"/>
          </w:tcPr>
          <w:p>
            <w:pPr>
              <w:spacing w:after="0"/>
              <w:rPr>
                <w:sz w:val="1"/>
                <w:szCs w:val="1"/>
                <w:color w:val="auto"/>
              </w:rPr>
            </w:pPr>
          </w:p>
        </w:tc>
      </w:tr>
      <w:tr>
        <w:trPr>
          <w:trHeight w:val="179"/>
        </w:trPr>
        <w:tc>
          <w:tcPr>
            <w:tcW w:w="1520" w:type="dxa"/>
            <w:vAlign w:val="bottom"/>
          </w:tcPr>
          <w:p>
            <w:pPr>
              <w:spacing w:after="0"/>
              <w:rPr>
                <w:sz w:val="15"/>
                <w:szCs w:val="15"/>
                <w:color w:val="auto"/>
              </w:rPr>
            </w:pPr>
          </w:p>
        </w:tc>
        <w:tc>
          <w:tcPr>
            <w:tcW w:w="236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82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4680" w:type="dxa"/>
            <w:vAlign w:val="bottom"/>
          </w:tcPr>
          <w:p>
            <w:pPr>
              <w:spacing w:after="0" w:line="179" w:lineRule="exact"/>
              <w:rPr>
                <w:sz w:val="20"/>
                <w:szCs w:val="20"/>
                <w:color w:val="auto"/>
              </w:rPr>
            </w:pPr>
            <w:r>
              <w:rPr>
                <w:rFonts w:ascii="Calibri" w:cs="Calibri" w:eastAsia="Calibri" w:hAnsi="Calibri"/>
                <w:sz w:val="18"/>
                <w:szCs w:val="18"/>
                <w:color w:val="auto"/>
              </w:rPr>
              <w:t>$15,000, "significantly below expectations"</w:t>
            </w:r>
          </w:p>
        </w:tc>
        <w:tc>
          <w:tcPr>
            <w:tcW w:w="220" w:type="dxa"/>
            <w:vAlign w:val="bottom"/>
          </w:tcPr>
          <w:p>
            <w:pPr>
              <w:spacing w:after="0"/>
              <w:rPr>
                <w:sz w:val="15"/>
                <w:szCs w:val="15"/>
                <w:color w:val="auto"/>
              </w:rPr>
            </w:pPr>
          </w:p>
        </w:tc>
        <w:tc>
          <w:tcPr>
            <w:tcW w:w="2040" w:type="dxa"/>
            <w:vAlign w:val="bottom"/>
            <w:gridSpan w:val="2"/>
          </w:tcPr>
          <w:p>
            <w:pPr>
              <w:spacing w:after="0" w:line="179" w:lineRule="exact"/>
              <w:rPr>
                <w:sz w:val="20"/>
                <w:szCs w:val="20"/>
                <w:color w:val="auto"/>
              </w:rPr>
            </w:pPr>
            <w:r>
              <w:rPr>
                <w:rFonts w:ascii="Calibri" w:cs="Calibri" w:eastAsia="Calibri" w:hAnsi="Calibri"/>
                <w:sz w:val="18"/>
                <w:szCs w:val="18"/>
                <w:color w:val="auto"/>
              </w:rPr>
              <w:t>press, no review.</w:t>
            </w:r>
          </w:p>
        </w:tc>
        <w:tc>
          <w:tcPr>
            <w:tcW w:w="0" w:type="dxa"/>
            <w:vAlign w:val="bottom"/>
          </w:tcPr>
          <w:p>
            <w:pPr>
              <w:spacing w:after="0"/>
              <w:rPr>
                <w:sz w:val="1"/>
                <w:szCs w:val="1"/>
                <w:color w:val="auto"/>
              </w:rPr>
            </w:pPr>
          </w:p>
        </w:tc>
      </w:tr>
      <w:tr>
        <w:trPr>
          <w:trHeight w:val="429"/>
        </w:trPr>
        <w:tc>
          <w:tcPr>
            <w:tcW w:w="1520" w:type="dxa"/>
            <w:vAlign w:val="bottom"/>
          </w:tcPr>
          <w:p>
            <w:pPr>
              <w:spacing w:after="0"/>
              <w:rPr>
                <w:sz w:val="24"/>
                <w:szCs w:val="24"/>
                <w:color w:val="auto"/>
              </w:rPr>
            </w:pPr>
          </w:p>
        </w:tc>
        <w:tc>
          <w:tcPr>
            <w:tcW w:w="2460" w:type="dxa"/>
            <w:vAlign w:val="bottom"/>
            <w:gridSpan w:val="2"/>
          </w:tcPr>
          <w:p>
            <w:pPr>
              <w:spacing w:after="0"/>
              <w:rPr>
                <w:sz w:val="24"/>
                <w:szCs w:val="24"/>
                <w:color w:val="auto"/>
              </w:rPr>
            </w:pPr>
          </w:p>
        </w:tc>
        <w:tc>
          <w:tcPr>
            <w:tcW w:w="18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6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40" w:type="dxa"/>
            <w:vAlign w:val="bottom"/>
            <w:gridSpan w:val="2"/>
          </w:tcPr>
          <w:p>
            <w:pPr>
              <w:spacing w:after="0"/>
              <w:rPr>
                <w:sz w:val="24"/>
                <w:szCs w:val="24"/>
                <w:color w:val="auto"/>
              </w:rPr>
            </w:pPr>
          </w:p>
        </w:tc>
        <w:tc>
          <w:tcPr>
            <w:tcW w:w="0" w:type="dxa"/>
            <w:vAlign w:val="bottom"/>
          </w:tcPr>
          <w:p>
            <w:pPr>
              <w:spacing w:after="0"/>
              <w:rPr>
                <w:sz w:val="1"/>
                <w:szCs w:val="1"/>
                <w:color w:val="auto"/>
              </w:rPr>
            </w:pPr>
          </w:p>
        </w:tc>
      </w:tr>
      <w:tr>
        <w:trPr>
          <w:trHeight w:val="221"/>
        </w:trPr>
        <w:tc>
          <w:tcPr>
            <w:tcW w:w="1520" w:type="dxa"/>
            <w:vAlign w:val="bottom"/>
            <w:shd w:val="clear" w:color="auto" w:fill="F2F2F2"/>
          </w:tcPr>
          <w:p>
            <w:pPr>
              <w:ind w:left="100"/>
              <w:spacing w:after="0" w:line="221" w:lineRule="exact"/>
              <w:rPr>
                <w:sz w:val="20"/>
                <w:szCs w:val="20"/>
                <w:color w:val="auto"/>
              </w:rPr>
            </w:pPr>
            <w:r>
              <w:rPr>
                <w:rFonts w:ascii="Calibri" w:cs="Calibri" w:eastAsia="Calibri" w:hAnsi="Calibri"/>
                <w:sz w:val="22"/>
                <w:szCs w:val="22"/>
                <w:b w:val="1"/>
                <w:bCs w:val="1"/>
                <w:color w:val="auto"/>
              </w:rPr>
              <w:t>Success</w:t>
            </w:r>
          </w:p>
        </w:tc>
        <w:tc>
          <w:tcPr>
            <w:tcW w:w="2360" w:type="dxa"/>
            <w:vAlign w:val="bottom"/>
            <w:shd w:val="clear" w:color="auto" w:fill="F2F2F2"/>
          </w:tcPr>
          <w:p>
            <w:pPr>
              <w:spacing w:after="0" w:line="221" w:lineRule="exact"/>
              <w:rPr>
                <w:sz w:val="20"/>
                <w:szCs w:val="20"/>
                <w:color w:val="auto"/>
              </w:rPr>
            </w:pPr>
            <w:r>
              <w:rPr>
                <w:rFonts w:ascii="Calibri" w:cs="Calibri" w:eastAsia="Calibri" w:hAnsi="Calibri"/>
                <w:sz w:val="22"/>
                <w:szCs w:val="22"/>
                <w:color w:val="auto"/>
              </w:rPr>
              <w:t>Original play</w:t>
            </w:r>
          </w:p>
        </w:tc>
        <w:tc>
          <w:tcPr>
            <w:tcW w:w="100" w:type="dxa"/>
            <w:vAlign w:val="bottom"/>
            <w:shd w:val="clear" w:color="auto" w:fill="F2F2F2"/>
          </w:tcPr>
          <w:p>
            <w:pPr>
              <w:spacing w:after="0"/>
              <w:rPr>
                <w:sz w:val="19"/>
                <w:szCs w:val="19"/>
                <w:color w:val="auto"/>
              </w:rPr>
            </w:pPr>
          </w:p>
        </w:tc>
        <w:tc>
          <w:tcPr>
            <w:tcW w:w="1820" w:type="dxa"/>
            <w:vAlign w:val="bottom"/>
            <w:shd w:val="clear" w:color="auto" w:fill="F2F2F2"/>
          </w:tcPr>
          <w:p>
            <w:pPr>
              <w:jc w:val="center"/>
              <w:ind w:left="15"/>
              <w:spacing w:after="0" w:line="221" w:lineRule="exact"/>
              <w:rPr>
                <w:sz w:val="20"/>
                <w:szCs w:val="20"/>
                <w:color w:val="auto"/>
              </w:rPr>
            </w:pPr>
            <w:r>
              <w:rPr>
                <w:rFonts w:ascii="Calibri" w:cs="Calibri" w:eastAsia="Calibri" w:hAnsi="Calibri"/>
                <w:sz w:val="22"/>
                <w:szCs w:val="22"/>
                <w:color w:val="auto"/>
              </w:rPr>
              <w:t>No</w:t>
            </w:r>
          </w:p>
        </w:tc>
        <w:tc>
          <w:tcPr>
            <w:tcW w:w="220" w:type="dxa"/>
            <w:vAlign w:val="bottom"/>
            <w:shd w:val="clear" w:color="auto" w:fill="F2F2F2"/>
          </w:tcPr>
          <w:p>
            <w:pPr>
              <w:spacing w:after="0"/>
              <w:rPr>
                <w:sz w:val="19"/>
                <w:szCs w:val="19"/>
                <w:color w:val="auto"/>
              </w:rPr>
            </w:pPr>
          </w:p>
        </w:tc>
        <w:tc>
          <w:tcPr>
            <w:tcW w:w="4680" w:type="dxa"/>
            <w:vAlign w:val="bottom"/>
            <w:shd w:val="clear" w:color="auto" w:fill="F2F2F2"/>
          </w:tcPr>
          <w:p>
            <w:pPr>
              <w:spacing w:after="0" w:line="215" w:lineRule="exact"/>
              <w:rPr>
                <w:sz w:val="20"/>
                <w:szCs w:val="20"/>
                <w:color w:val="auto"/>
              </w:rPr>
            </w:pPr>
            <w:r>
              <w:rPr>
                <w:rFonts w:ascii="Calibri" w:cs="Calibri" w:eastAsia="Calibri" w:hAnsi="Calibri"/>
                <w:sz w:val="18"/>
                <w:szCs w:val="18"/>
                <w:color w:val="auto"/>
              </w:rPr>
              <w:t>Ran for one month, 2,660 tickets sold, profit of $45,000</w:t>
            </w:r>
          </w:p>
        </w:tc>
        <w:tc>
          <w:tcPr>
            <w:tcW w:w="220" w:type="dxa"/>
            <w:vAlign w:val="bottom"/>
            <w:shd w:val="clear" w:color="auto" w:fill="F2F2F2"/>
          </w:tcPr>
          <w:p>
            <w:pPr>
              <w:spacing w:after="0"/>
              <w:rPr>
                <w:sz w:val="19"/>
                <w:szCs w:val="19"/>
                <w:color w:val="auto"/>
              </w:rPr>
            </w:pPr>
          </w:p>
        </w:tc>
        <w:tc>
          <w:tcPr>
            <w:tcW w:w="1940" w:type="dxa"/>
            <w:vAlign w:val="bottom"/>
            <w:shd w:val="clear" w:color="auto" w:fill="F2F2F2"/>
          </w:tcPr>
          <w:p>
            <w:pPr>
              <w:spacing w:after="0" w:line="215" w:lineRule="exact"/>
              <w:rPr>
                <w:sz w:val="20"/>
                <w:szCs w:val="20"/>
                <w:color w:val="auto"/>
              </w:rPr>
            </w:pPr>
            <w:r>
              <w:rPr>
                <w:rFonts w:ascii="Calibri" w:cs="Calibri" w:eastAsia="Calibri" w:hAnsi="Calibri"/>
                <w:sz w:val="18"/>
                <w:szCs w:val="18"/>
                <w:color w:val="auto"/>
              </w:rPr>
              <w:t>Positive reviews in local</w:t>
            </w:r>
          </w:p>
        </w:tc>
        <w:tc>
          <w:tcPr>
            <w:tcW w:w="100" w:type="dxa"/>
            <w:vAlign w:val="bottom"/>
            <w:shd w:val="clear" w:color="auto" w:fill="F2F2F2"/>
          </w:tcPr>
          <w:p>
            <w:pPr>
              <w:spacing w:after="0"/>
              <w:rPr>
                <w:sz w:val="19"/>
                <w:szCs w:val="19"/>
                <w:color w:val="auto"/>
              </w:rPr>
            </w:pPr>
          </w:p>
        </w:tc>
        <w:tc>
          <w:tcPr>
            <w:tcW w:w="0" w:type="dxa"/>
            <w:vAlign w:val="bottom"/>
          </w:tcPr>
          <w:p>
            <w:pPr>
              <w:spacing w:after="0"/>
              <w:rPr>
                <w:sz w:val="1"/>
                <w:szCs w:val="1"/>
                <w:color w:val="auto"/>
              </w:rPr>
            </w:pPr>
          </w:p>
        </w:tc>
      </w:tr>
      <w:tr>
        <w:trPr>
          <w:trHeight w:val="214"/>
        </w:trPr>
        <w:tc>
          <w:tcPr>
            <w:tcW w:w="1520" w:type="dxa"/>
            <w:vAlign w:val="bottom"/>
            <w:shd w:val="clear" w:color="auto" w:fill="F2F2F2"/>
          </w:tcPr>
          <w:p>
            <w:pPr>
              <w:spacing w:after="0"/>
              <w:rPr>
                <w:sz w:val="18"/>
                <w:szCs w:val="18"/>
                <w:color w:val="auto"/>
              </w:rPr>
            </w:pPr>
          </w:p>
        </w:tc>
        <w:tc>
          <w:tcPr>
            <w:tcW w:w="2360" w:type="dxa"/>
            <w:vAlign w:val="bottom"/>
            <w:shd w:val="clear" w:color="auto" w:fill="F2F2F2"/>
          </w:tcPr>
          <w:p>
            <w:pPr>
              <w:spacing w:after="0"/>
              <w:rPr>
                <w:sz w:val="18"/>
                <w:szCs w:val="18"/>
                <w:color w:val="auto"/>
              </w:rPr>
            </w:pPr>
          </w:p>
        </w:tc>
        <w:tc>
          <w:tcPr>
            <w:tcW w:w="100" w:type="dxa"/>
            <w:vAlign w:val="bottom"/>
            <w:shd w:val="clear" w:color="auto" w:fill="F2F2F2"/>
          </w:tcPr>
          <w:p>
            <w:pPr>
              <w:spacing w:after="0"/>
              <w:rPr>
                <w:sz w:val="18"/>
                <w:szCs w:val="18"/>
                <w:color w:val="auto"/>
              </w:rPr>
            </w:pPr>
          </w:p>
        </w:tc>
        <w:tc>
          <w:tcPr>
            <w:tcW w:w="1820" w:type="dxa"/>
            <w:vAlign w:val="bottom"/>
            <w:shd w:val="clear" w:color="auto" w:fill="F2F2F2"/>
          </w:tcPr>
          <w:p>
            <w:pPr>
              <w:spacing w:after="0"/>
              <w:rPr>
                <w:sz w:val="18"/>
                <w:szCs w:val="18"/>
                <w:color w:val="auto"/>
              </w:rPr>
            </w:pPr>
          </w:p>
        </w:tc>
        <w:tc>
          <w:tcPr>
            <w:tcW w:w="220" w:type="dxa"/>
            <w:vAlign w:val="bottom"/>
            <w:shd w:val="clear" w:color="auto" w:fill="F2F2F2"/>
          </w:tcPr>
          <w:p>
            <w:pPr>
              <w:spacing w:after="0"/>
              <w:rPr>
                <w:sz w:val="18"/>
                <w:szCs w:val="18"/>
                <w:color w:val="auto"/>
              </w:rPr>
            </w:pPr>
          </w:p>
        </w:tc>
        <w:tc>
          <w:tcPr>
            <w:tcW w:w="4680" w:type="dxa"/>
            <w:vAlign w:val="bottom"/>
            <w:shd w:val="clear" w:color="auto" w:fill="F2F2F2"/>
          </w:tcPr>
          <w:p>
            <w:pPr>
              <w:spacing w:after="0"/>
              <w:rPr>
                <w:sz w:val="18"/>
                <w:szCs w:val="18"/>
                <w:color w:val="auto"/>
              </w:rPr>
            </w:pPr>
          </w:p>
        </w:tc>
        <w:tc>
          <w:tcPr>
            <w:tcW w:w="220" w:type="dxa"/>
            <w:vAlign w:val="bottom"/>
            <w:shd w:val="clear" w:color="auto" w:fill="F2F2F2"/>
          </w:tcPr>
          <w:p>
            <w:pPr>
              <w:spacing w:after="0"/>
              <w:rPr>
                <w:sz w:val="18"/>
                <w:szCs w:val="18"/>
                <w:color w:val="auto"/>
              </w:rPr>
            </w:pPr>
          </w:p>
        </w:tc>
        <w:tc>
          <w:tcPr>
            <w:tcW w:w="1940" w:type="dxa"/>
            <w:vAlign w:val="bottom"/>
            <w:shd w:val="clear" w:color="auto" w:fill="F2F2F2"/>
          </w:tcPr>
          <w:p>
            <w:pPr>
              <w:spacing w:after="0" w:line="215" w:lineRule="exact"/>
              <w:rPr>
                <w:sz w:val="20"/>
                <w:szCs w:val="20"/>
                <w:color w:val="auto"/>
              </w:rPr>
            </w:pPr>
            <w:r>
              <w:rPr>
                <w:rFonts w:ascii="Calibri" w:cs="Calibri" w:eastAsia="Calibri" w:hAnsi="Calibri"/>
                <w:sz w:val="18"/>
                <w:szCs w:val="18"/>
                <w:color w:val="auto"/>
              </w:rPr>
              <w:t>press.</w:t>
            </w:r>
          </w:p>
        </w:tc>
        <w:tc>
          <w:tcPr>
            <w:tcW w:w="100" w:type="dxa"/>
            <w:vAlign w:val="bottom"/>
            <w:shd w:val="clear" w:color="auto" w:fill="F2F2F2"/>
          </w:tcPr>
          <w:p>
            <w:pPr>
              <w:spacing w:after="0"/>
              <w:rPr>
                <w:sz w:val="18"/>
                <w:szCs w:val="18"/>
                <w:color w:val="auto"/>
              </w:rPr>
            </w:pPr>
          </w:p>
        </w:tc>
        <w:tc>
          <w:tcPr>
            <w:tcW w:w="0" w:type="dxa"/>
            <w:vAlign w:val="bottom"/>
          </w:tcPr>
          <w:p>
            <w:pPr>
              <w:spacing w:after="0"/>
              <w:rPr>
                <w:sz w:val="1"/>
                <w:szCs w:val="1"/>
                <w:color w:val="auto"/>
              </w:rPr>
            </w:pPr>
          </w:p>
        </w:tc>
      </w:tr>
      <w:tr>
        <w:trPr>
          <w:trHeight w:val="429"/>
        </w:trPr>
        <w:tc>
          <w:tcPr>
            <w:tcW w:w="1520" w:type="dxa"/>
            <w:vAlign w:val="bottom"/>
            <w:shd w:val="clear" w:color="auto" w:fill="F2F2F2"/>
          </w:tcPr>
          <w:p>
            <w:pPr>
              <w:spacing w:after="0"/>
              <w:rPr>
                <w:sz w:val="24"/>
                <w:szCs w:val="24"/>
                <w:color w:val="auto"/>
              </w:rPr>
            </w:pPr>
          </w:p>
        </w:tc>
        <w:tc>
          <w:tcPr>
            <w:tcW w:w="2360" w:type="dxa"/>
            <w:vAlign w:val="bottom"/>
            <w:shd w:val="clear" w:color="auto" w:fill="F2F2F2"/>
          </w:tcPr>
          <w:p>
            <w:pPr>
              <w:spacing w:after="0"/>
              <w:rPr>
                <w:sz w:val="24"/>
                <w:szCs w:val="24"/>
                <w:color w:val="auto"/>
              </w:rPr>
            </w:pPr>
          </w:p>
        </w:tc>
        <w:tc>
          <w:tcPr>
            <w:tcW w:w="100" w:type="dxa"/>
            <w:vAlign w:val="bottom"/>
            <w:shd w:val="clear" w:color="auto" w:fill="F2F2F2"/>
          </w:tcPr>
          <w:p>
            <w:pPr>
              <w:spacing w:after="0"/>
              <w:rPr>
                <w:sz w:val="24"/>
                <w:szCs w:val="24"/>
                <w:color w:val="auto"/>
              </w:rPr>
            </w:pPr>
          </w:p>
        </w:tc>
        <w:tc>
          <w:tcPr>
            <w:tcW w:w="1820" w:type="dxa"/>
            <w:vAlign w:val="bottom"/>
            <w:shd w:val="clear" w:color="auto" w:fill="F2F2F2"/>
          </w:tcPr>
          <w:p>
            <w:pPr>
              <w:spacing w:after="0"/>
              <w:rPr>
                <w:sz w:val="24"/>
                <w:szCs w:val="24"/>
                <w:color w:val="auto"/>
              </w:rPr>
            </w:pPr>
          </w:p>
        </w:tc>
        <w:tc>
          <w:tcPr>
            <w:tcW w:w="220" w:type="dxa"/>
            <w:vAlign w:val="bottom"/>
            <w:shd w:val="clear" w:color="auto" w:fill="F2F2F2"/>
          </w:tcPr>
          <w:p>
            <w:pPr>
              <w:spacing w:after="0"/>
              <w:rPr>
                <w:sz w:val="24"/>
                <w:szCs w:val="24"/>
                <w:color w:val="auto"/>
              </w:rPr>
            </w:pPr>
          </w:p>
        </w:tc>
        <w:tc>
          <w:tcPr>
            <w:tcW w:w="4680" w:type="dxa"/>
            <w:vAlign w:val="bottom"/>
            <w:shd w:val="clear" w:color="auto" w:fill="F2F2F2"/>
          </w:tcPr>
          <w:p>
            <w:pPr>
              <w:spacing w:after="0"/>
              <w:rPr>
                <w:sz w:val="24"/>
                <w:szCs w:val="24"/>
                <w:color w:val="auto"/>
              </w:rPr>
            </w:pPr>
          </w:p>
        </w:tc>
        <w:tc>
          <w:tcPr>
            <w:tcW w:w="220" w:type="dxa"/>
            <w:vAlign w:val="bottom"/>
            <w:shd w:val="clear" w:color="auto" w:fill="F2F2F2"/>
          </w:tcPr>
          <w:p>
            <w:pPr>
              <w:spacing w:after="0"/>
              <w:rPr>
                <w:sz w:val="24"/>
                <w:szCs w:val="24"/>
                <w:color w:val="auto"/>
              </w:rPr>
            </w:pPr>
          </w:p>
        </w:tc>
        <w:tc>
          <w:tcPr>
            <w:tcW w:w="1940" w:type="dxa"/>
            <w:vAlign w:val="bottom"/>
            <w:shd w:val="clear" w:color="auto" w:fill="F2F2F2"/>
          </w:tcPr>
          <w:p>
            <w:pPr>
              <w:spacing w:after="0"/>
              <w:rPr>
                <w:sz w:val="24"/>
                <w:szCs w:val="24"/>
                <w:color w:val="auto"/>
              </w:rPr>
            </w:pPr>
          </w:p>
        </w:tc>
        <w:tc>
          <w:tcPr>
            <w:tcW w:w="100" w:type="dxa"/>
            <w:vAlign w:val="bottom"/>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256"/>
        </w:trPr>
        <w:tc>
          <w:tcPr>
            <w:tcW w:w="1520" w:type="dxa"/>
            <w:vAlign w:val="bottom"/>
          </w:tcPr>
          <w:p>
            <w:pPr>
              <w:ind w:left="100"/>
              <w:spacing w:after="0" w:line="256" w:lineRule="exact"/>
              <w:rPr>
                <w:sz w:val="20"/>
                <w:szCs w:val="20"/>
                <w:color w:val="auto"/>
              </w:rPr>
            </w:pPr>
            <w:r>
              <w:rPr>
                <w:rFonts w:ascii="Calibri" w:cs="Calibri" w:eastAsia="Calibri" w:hAnsi="Calibri"/>
                <w:sz w:val="22"/>
                <w:szCs w:val="22"/>
                <w:b w:val="1"/>
                <w:bCs w:val="1"/>
                <w:color w:val="auto"/>
              </w:rPr>
              <w:t>Success</w:t>
            </w:r>
          </w:p>
        </w:tc>
        <w:tc>
          <w:tcPr>
            <w:tcW w:w="2460" w:type="dxa"/>
            <w:vAlign w:val="bottom"/>
            <w:gridSpan w:val="2"/>
          </w:tcPr>
          <w:p>
            <w:pPr>
              <w:spacing w:after="0" w:line="256" w:lineRule="exact"/>
              <w:rPr>
                <w:sz w:val="20"/>
                <w:szCs w:val="20"/>
                <w:color w:val="auto"/>
              </w:rPr>
            </w:pPr>
            <w:r>
              <w:rPr>
                <w:rFonts w:ascii="Calibri" w:cs="Calibri" w:eastAsia="Calibri" w:hAnsi="Calibri"/>
                <w:sz w:val="22"/>
                <w:szCs w:val="22"/>
                <w:color w:val="auto"/>
              </w:rPr>
              <w:t>Revival of Tony award-</w:t>
            </w:r>
          </w:p>
        </w:tc>
        <w:tc>
          <w:tcPr>
            <w:tcW w:w="1820" w:type="dxa"/>
            <w:vAlign w:val="bottom"/>
          </w:tcPr>
          <w:p>
            <w:pPr>
              <w:jc w:val="center"/>
              <w:ind w:left="15"/>
              <w:spacing w:after="0" w:line="256" w:lineRule="exact"/>
              <w:rPr>
                <w:sz w:val="20"/>
                <w:szCs w:val="20"/>
                <w:color w:val="auto"/>
              </w:rPr>
            </w:pPr>
            <w:r>
              <w:rPr>
                <w:rFonts w:ascii="Calibri" w:cs="Calibri" w:eastAsia="Calibri" w:hAnsi="Calibri"/>
                <w:sz w:val="22"/>
                <w:szCs w:val="22"/>
                <w:color w:val="auto"/>
              </w:rPr>
              <w:t>No</w:t>
            </w:r>
          </w:p>
        </w:tc>
        <w:tc>
          <w:tcPr>
            <w:tcW w:w="220" w:type="dxa"/>
            <w:vAlign w:val="bottom"/>
          </w:tcPr>
          <w:p>
            <w:pPr>
              <w:spacing w:after="0"/>
              <w:rPr>
                <w:sz w:val="22"/>
                <w:szCs w:val="22"/>
                <w:color w:val="auto"/>
              </w:rPr>
            </w:pPr>
          </w:p>
        </w:tc>
        <w:tc>
          <w:tcPr>
            <w:tcW w:w="4680" w:type="dxa"/>
            <w:vAlign w:val="bottom"/>
          </w:tcPr>
          <w:p>
            <w:pPr>
              <w:spacing w:after="0" w:line="215" w:lineRule="exact"/>
              <w:rPr>
                <w:sz w:val="20"/>
                <w:szCs w:val="20"/>
                <w:color w:val="auto"/>
              </w:rPr>
            </w:pPr>
            <w:r>
              <w:rPr>
                <w:rFonts w:ascii="Calibri" w:cs="Calibri" w:eastAsia="Calibri" w:hAnsi="Calibri"/>
                <w:sz w:val="18"/>
                <w:szCs w:val="18"/>
                <w:color w:val="auto"/>
              </w:rPr>
              <w:t>3 week run in New York. 12 shows in a 50 seat theater. The last</w:t>
            </w:r>
          </w:p>
        </w:tc>
        <w:tc>
          <w:tcPr>
            <w:tcW w:w="220" w:type="dxa"/>
            <w:vAlign w:val="bottom"/>
          </w:tcPr>
          <w:p>
            <w:pPr>
              <w:spacing w:after="0"/>
              <w:rPr>
                <w:sz w:val="22"/>
                <w:szCs w:val="22"/>
                <w:color w:val="auto"/>
              </w:rPr>
            </w:pPr>
          </w:p>
        </w:tc>
        <w:tc>
          <w:tcPr>
            <w:tcW w:w="2040" w:type="dxa"/>
            <w:vAlign w:val="bottom"/>
            <w:gridSpan w:val="2"/>
          </w:tcPr>
          <w:p>
            <w:pPr>
              <w:spacing w:after="0" w:line="215" w:lineRule="exact"/>
              <w:rPr>
                <w:sz w:val="20"/>
                <w:szCs w:val="20"/>
                <w:color w:val="auto"/>
              </w:rPr>
            </w:pPr>
            <w:r>
              <w:rPr>
                <w:rFonts w:ascii="Calibri" w:cs="Calibri" w:eastAsia="Calibri" w:hAnsi="Calibri"/>
                <w:sz w:val="18"/>
                <w:szCs w:val="18"/>
                <w:color w:val="auto"/>
              </w:rPr>
              <w:t>No official coverage in</w:t>
            </w:r>
          </w:p>
        </w:tc>
        <w:tc>
          <w:tcPr>
            <w:tcW w:w="0" w:type="dxa"/>
            <w:vAlign w:val="bottom"/>
          </w:tcPr>
          <w:p>
            <w:pPr>
              <w:spacing w:after="0"/>
              <w:rPr>
                <w:sz w:val="1"/>
                <w:szCs w:val="1"/>
                <w:color w:val="auto"/>
              </w:rPr>
            </w:pPr>
          </w:p>
        </w:tc>
      </w:tr>
      <w:tr>
        <w:trPr>
          <w:trHeight w:val="179"/>
        </w:trPr>
        <w:tc>
          <w:tcPr>
            <w:tcW w:w="1520" w:type="dxa"/>
            <w:vAlign w:val="bottom"/>
          </w:tcPr>
          <w:p>
            <w:pPr>
              <w:spacing w:after="0"/>
              <w:rPr>
                <w:sz w:val="15"/>
                <w:szCs w:val="15"/>
                <w:color w:val="auto"/>
              </w:rPr>
            </w:pPr>
          </w:p>
        </w:tc>
        <w:tc>
          <w:tcPr>
            <w:tcW w:w="2460" w:type="dxa"/>
            <w:vAlign w:val="bottom"/>
            <w:gridSpan w:val="2"/>
            <w:vMerge w:val="restart"/>
          </w:tcPr>
          <w:p>
            <w:pPr>
              <w:spacing w:after="0"/>
              <w:rPr>
                <w:sz w:val="20"/>
                <w:szCs w:val="20"/>
                <w:color w:val="auto"/>
              </w:rPr>
            </w:pPr>
            <w:r>
              <w:rPr>
                <w:rFonts w:ascii="Calibri" w:cs="Calibri" w:eastAsia="Calibri" w:hAnsi="Calibri"/>
                <w:sz w:val="22"/>
                <w:szCs w:val="22"/>
                <w:color w:val="auto"/>
              </w:rPr>
              <w:t>winning play</w:t>
            </w:r>
          </w:p>
        </w:tc>
        <w:tc>
          <w:tcPr>
            <w:tcW w:w="182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4680" w:type="dxa"/>
            <w:vAlign w:val="bottom"/>
          </w:tcPr>
          <w:p>
            <w:pPr>
              <w:spacing w:after="0" w:line="179" w:lineRule="exact"/>
              <w:rPr>
                <w:sz w:val="20"/>
                <w:szCs w:val="20"/>
                <w:color w:val="auto"/>
              </w:rPr>
            </w:pPr>
            <w:r>
              <w:rPr>
                <w:rFonts w:ascii="Calibri" w:cs="Calibri" w:eastAsia="Calibri" w:hAnsi="Calibri"/>
                <w:sz w:val="18"/>
                <w:szCs w:val="18"/>
                <w:color w:val="auto"/>
              </w:rPr>
              <w:t>three were sold out, the shows prior were about half to two</w:t>
            </w:r>
          </w:p>
        </w:tc>
        <w:tc>
          <w:tcPr>
            <w:tcW w:w="220" w:type="dxa"/>
            <w:vAlign w:val="bottom"/>
          </w:tcPr>
          <w:p>
            <w:pPr>
              <w:spacing w:after="0"/>
              <w:rPr>
                <w:sz w:val="15"/>
                <w:szCs w:val="15"/>
                <w:color w:val="auto"/>
              </w:rPr>
            </w:pPr>
          </w:p>
        </w:tc>
        <w:tc>
          <w:tcPr>
            <w:tcW w:w="2040" w:type="dxa"/>
            <w:vAlign w:val="bottom"/>
            <w:gridSpan w:val="2"/>
          </w:tcPr>
          <w:p>
            <w:pPr>
              <w:spacing w:after="0" w:line="179" w:lineRule="exact"/>
              <w:rPr>
                <w:sz w:val="20"/>
                <w:szCs w:val="20"/>
                <w:color w:val="auto"/>
              </w:rPr>
            </w:pPr>
            <w:r>
              <w:rPr>
                <w:rFonts w:ascii="Calibri" w:cs="Calibri" w:eastAsia="Calibri" w:hAnsi="Calibri"/>
                <w:sz w:val="18"/>
                <w:szCs w:val="18"/>
                <w:color w:val="auto"/>
              </w:rPr>
              <w:t>publications</w:t>
            </w:r>
          </w:p>
        </w:tc>
        <w:tc>
          <w:tcPr>
            <w:tcW w:w="0" w:type="dxa"/>
            <w:vAlign w:val="bottom"/>
          </w:tcPr>
          <w:p>
            <w:pPr>
              <w:spacing w:after="0"/>
              <w:rPr>
                <w:sz w:val="1"/>
                <w:szCs w:val="1"/>
                <w:color w:val="auto"/>
              </w:rPr>
            </w:pPr>
          </w:p>
        </w:tc>
      </w:tr>
      <w:tr>
        <w:trPr>
          <w:trHeight w:val="94"/>
        </w:trPr>
        <w:tc>
          <w:tcPr>
            <w:tcW w:w="1520" w:type="dxa"/>
            <w:vAlign w:val="bottom"/>
          </w:tcPr>
          <w:p>
            <w:pPr>
              <w:spacing w:after="0"/>
              <w:rPr>
                <w:sz w:val="8"/>
                <w:szCs w:val="8"/>
                <w:color w:val="auto"/>
              </w:rPr>
            </w:pPr>
          </w:p>
        </w:tc>
        <w:tc>
          <w:tcPr>
            <w:tcW w:w="2460" w:type="dxa"/>
            <w:vAlign w:val="bottom"/>
            <w:gridSpan w:val="2"/>
            <w:vMerge w:val="continue"/>
          </w:tcPr>
          <w:p>
            <w:pPr>
              <w:spacing w:after="0"/>
              <w:rPr>
                <w:sz w:val="8"/>
                <w:szCs w:val="8"/>
                <w:color w:val="auto"/>
              </w:rPr>
            </w:pPr>
          </w:p>
        </w:tc>
        <w:tc>
          <w:tcPr>
            <w:tcW w:w="1820" w:type="dxa"/>
            <w:vAlign w:val="bottom"/>
          </w:tcPr>
          <w:p>
            <w:pPr>
              <w:spacing w:after="0"/>
              <w:rPr>
                <w:sz w:val="8"/>
                <w:szCs w:val="8"/>
                <w:color w:val="auto"/>
              </w:rPr>
            </w:pPr>
          </w:p>
        </w:tc>
        <w:tc>
          <w:tcPr>
            <w:tcW w:w="220" w:type="dxa"/>
            <w:vAlign w:val="bottom"/>
          </w:tcPr>
          <w:p>
            <w:pPr>
              <w:spacing w:after="0"/>
              <w:rPr>
                <w:sz w:val="8"/>
                <w:szCs w:val="8"/>
                <w:color w:val="auto"/>
              </w:rPr>
            </w:pPr>
          </w:p>
        </w:tc>
        <w:tc>
          <w:tcPr>
            <w:tcW w:w="4680" w:type="dxa"/>
            <w:vAlign w:val="bottom"/>
            <w:vMerge w:val="restart"/>
          </w:tcPr>
          <w:p>
            <w:pPr>
              <w:spacing w:after="0" w:line="218" w:lineRule="exact"/>
              <w:rPr>
                <w:sz w:val="20"/>
                <w:szCs w:val="20"/>
                <w:color w:val="auto"/>
              </w:rPr>
            </w:pPr>
            <w:r>
              <w:rPr>
                <w:rFonts w:ascii="Calibri" w:cs="Calibri" w:eastAsia="Calibri" w:hAnsi="Calibri"/>
                <w:sz w:val="18"/>
                <w:szCs w:val="18"/>
                <w:color w:val="auto"/>
              </w:rPr>
              <w:t>thirds full.</w:t>
            </w:r>
          </w:p>
        </w:tc>
        <w:tc>
          <w:tcPr>
            <w:tcW w:w="220" w:type="dxa"/>
            <w:vAlign w:val="bottom"/>
          </w:tcPr>
          <w:p>
            <w:pPr>
              <w:spacing w:after="0"/>
              <w:rPr>
                <w:sz w:val="8"/>
                <w:szCs w:val="8"/>
                <w:color w:val="auto"/>
              </w:rPr>
            </w:pPr>
          </w:p>
        </w:tc>
        <w:tc>
          <w:tcPr>
            <w:tcW w:w="1940" w:type="dxa"/>
            <w:vAlign w:val="bottom"/>
          </w:tcPr>
          <w:p>
            <w:pPr>
              <w:spacing w:after="0"/>
              <w:rPr>
                <w:sz w:val="8"/>
                <w:szCs w:val="8"/>
                <w:color w:val="auto"/>
              </w:rPr>
            </w:pPr>
          </w:p>
        </w:tc>
        <w:tc>
          <w:tcPr>
            <w:tcW w:w="1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24"/>
        </w:trPr>
        <w:tc>
          <w:tcPr>
            <w:tcW w:w="1520" w:type="dxa"/>
            <w:vAlign w:val="bottom"/>
          </w:tcPr>
          <w:p>
            <w:pPr>
              <w:spacing w:after="0"/>
              <w:rPr>
                <w:sz w:val="10"/>
                <w:szCs w:val="10"/>
                <w:color w:val="auto"/>
              </w:rPr>
            </w:pPr>
          </w:p>
        </w:tc>
        <w:tc>
          <w:tcPr>
            <w:tcW w:w="236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82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4680" w:type="dxa"/>
            <w:vAlign w:val="bottom"/>
            <w:vMerge w:val="continue"/>
          </w:tcPr>
          <w:p>
            <w:pPr>
              <w:spacing w:after="0"/>
              <w:rPr>
                <w:sz w:val="10"/>
                <w:szCs w:val="10"/>
                <w:color w:val="auto"/>
              </w:rPr>
            </w:pPr>
          </w:p>
        </w:tc>
        <w:tc>
          <w:tcPr>
            <w:tcW w:w="220" w:type="dxa"/>
            <w:vAlign w:val="bottom"/>
          </w:tcPr>
          <w:p>
            <w:pPr>
              <w:spacing w:after="0"/>
              <w:rPr>
                <w:sz w:val="10"/>
                <w:szCs w:val="10"/>
                <w:color w:val="auto"/>
              </w:rPr>
            </w:pPr>
          </w:p>
        </w:tc>
        <w:tc>
          <w:tcPr>
            <w:tcW w:w="19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99"/>
        </w:trPr>
        <w:tc>
          <w:tcPr>
            <w:tcW w:w="1520" w:type="dxa"/>
            <w:vAlign w:val="bottom"/>
          </w:tcPr>
          <w:p>
            <w:pPr>
              <w:spacing w:after="0"/>
              <w:rPr>
                <w:sz w:val="24"/>
                <w:szCs w:val="24"/>
                <w:color w:val="auto"/>
              </w:rPr>
            </w:pPr>
          </w:p>
        </w:tc>
        <w:tc>
          <w:tcPr>
            <w:tcW w:w="2460" w:type="dxa"/>
            <w:vAlign w:val="bottom"/>
            <w:gridSpan w:val="2"/>
          </w:tcPr>
          <w:p>
            <w:pPr>
              <w:spacing w:after="0"/>
              <w:rPr>
                <w:sz w:val="24"/>
                <w:szCs w:val="24"/>
                <w:color w:val="auto"/>
              </w:rPr>
            </w:pPr>
          </w:p>
        </w:tc>
        <w:tc>
          <w:tcPr>
            <w:tcW w:w="18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6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40" w:type="dxa"/>
            <w:vAlign w:val="bottom"/>
            <w:gridSpan w:val="2"/>
          </w:tcPr>
          <w:p>
            <w:pPr>
              <w:spacing w:after="0"/>
              <w:rPr>
                <w:sz w:val="24"/>
                <w:szCs w:val="24"/>
                <w:color w:val="auto"/>
              </w:rPr>
            </w:pPr>
          </w:p>
        </w:tc>
        <w:tc>
          <w:tcPr>
            <w:tcW w:w="0" w:type="dxa"/>
            <w:vAlign w:val="bottom"/>
          </w:tcPr>
          <w:p>
            <w:pPr>
              <w:spacing w:after="0"/>
              <w:rPr>
                <w:sz w:val="1"/>
                <w:szCs w:val="1"/>
                <w:color w:val="auto"/>
              </w:rPr>
            </w:pPr>
          </w:p>
        </w:tc>
      </w:tr>
      <w:tr>
        <w:trPr>
          <w:trHeight w:val="221"/>
        </w:trPr>
        <w:tc>
          <w:tcPr>
            <w:tcW w:w="1520" w:type="dxa"/>
            <w:vAlign w:val="bottom"/>
            <w:shd w:val="clear" w:color="auto" w:fill="F2F2F2"/>
          </w:tcPr>
          <w:p>
            <w:pPr>
              <w:ind w:left="100"/>
              <w:spacing w:after="0" w:line="221" w:lineRule="exact"/>
              <w:rPr>
                <w:sz w:val="20"/>
                <w:szCs w:val="20"/>
                <w:color w:val="auto"/>
              </w:rPr>
            </w:pPr>
            <w:r>
              <w:rPr>
                <w:rFonts w:ascii="Calibri" w:cs="Calibri" w:eastAsia="Calibri" w:hAnsi="Calibri"/>
                <w:sz w:val="22"/>
                <w:szCs w:val="22"/>
                <w:b w:val="1"/>
                <w:bCs w:val="1"/>
                <w:color w:val="auto"/>
              </w:rPr>
              <w:t>Success</w:t>
            </w:r>
          </w:p>
        </w:tc>
        <w:tc>
          <w:tcPr>
            <w:tcW w:w="2360" w:type="dxa"/>
            <w:vAlign w:val="bottom"/>
            <w:shd w:val="clear" w:color="auto" w:fill="F2F2F2"/>
          </w:tcPr>
          <w:p>
            <w:pPr>
              <w:spacing w:after="0" w:line="221" w:lineRule="exact"/>
              <w:rPr>
                <w:sz w:val="20"/>
                <w:szCs w:val="20"/>
                <w:color w:val="auto"/>
              </w:rPr>
            </w:pPr>
            <w:r>
              <w:rPr>
                <w:rFonts w:ascii="Calibri" w:cs="Calibri" w:eastAsia="Calibri" w:hAnsi="Calibri"/>
                <w:sz w:val="22"/>
                <w:szCs w:val="22"/>
                <w:color w:val="auto"/>
                <w:shd w:val="clear" w:color="auto" w:fill="F2F2F2"/>
              </w:rPr>
              <w:t>Interpretation of Hamlet</w:t>
            </w:r>
          </w:p>
        </w:tc>
        <w:tc>
          <w:tcPr>
            <w:tcW w:w="100" w:type="dxa"/>
            <w:vAlign w:val="bottom"/>
            <w:shd w:val="clear" w:color="auto" w:fill="F2F2F2"/>
          </w:tcPr>
          <w:p>
            <w:pPr>
              <w:spacing w:after="0"/>
              <w:rPr>
                <w:sz w:val="19"/>
                <w:szCs w:val="19"/>
                <w:color w:val="auto"/>
              </w:rPr>
            </w:pPr>
          </w:p>
        </w:tc>
        <w:tc>
          <w:tcPr>
            <w:tcW w:w="1820" w:type="dxa"/>
            <w:vAlign w:val="bottom"/>
            <w:shd w:val="clear" w:color="auto" w:fill="F2F2F2"/>
          </w:tcPr>
          <w:p>
            <w:pPr>
              <w:jc w:val="center"/>
              <w:ind w:left="15"/>
              <w:spacing w:after="0" w:line="221" w:lineRule="exact"/>
              <w:rPr>
                <w:sz w:val="20"/>
                <w:szCs w:val="20"/>
                <w:color w:val="auto"/>
              </w:rPr>
            </w:pPr>
            <w:r>
              <w:rPr>
                <w:rFonts w:ascii="Calibri" w:cs="Calibri" w:eastAsia="Calibri" w:hAnsi="Calibri"/>
                <w:sz w:val="22"/>
                <w:szCs w:val="22"/>
                <w:color w:val="auto"/>
              </w:rPr>
              <w:t>No</w:t>
            </w:r>
          </w:p>
        </w:tc>
        <w:tc>
          <w:tcPr>
            <w:tcW w:w="220" w:type="dxa"/>
            <w:vAlign w:val="bottom"/>
            <w:shd w:val="clear" w:color="auto" w:fill="F2F2F2"/>
          </w:tcPr>
          <w:p>
            <w:pPr>
              <w:spacing w:after="0"/>
              <w:rPr>
                <w:sz w:val="19"/>
                <w:szCs w:val="19"/>
                <w:color w:val="auto"/>
              </w:rPr>
            </w:pPr>
          </w:p>
        </w:tc>
        <w:tc>
          <w:tcPr>
            <w:tcW w:w="4680" w:type="dxa"/>
            <w:vAlign w:val="bottom"/>
            <w:shd w:val="clear" w:color="auto" w:fill="F2F2F2"/>
          </w:tcPr>
          <w:p>
            <w:pPr>
              <w:spacing w:after="0" w:line="215" w:lineRule="exact"/>
              <w:rPr>
                <w:sz w:val="20"/>
                <w:szCs w:val="20"/>
                <w:color w:val="auto"/>
              </w:rPr>
            </w:pPr>
            <w:r>
              <w:rPr>
                <w:rFonts w:ascii="Calibri" w:cs="Calibri" w:eastAsia="Calibri" w:hAnsi="Calibri"/>
                <w:sz w:val="18"/>
                <w:szCs w:val="18"/>
                <w:color w:val="auto"/>
              </w:rPr>
              <w:t>Toured for one year through various theaters</w:t>
            </w:r>
          </w:p>
        </w:tc>
        <w:tc>
          <w:tcPr>
            <w:tcW w:w="220" w:type="dxa"/>
            <w:vAlign w:val="bottom"/>
            <w:shd w:val="clear" w:color="auto" w:fill="F2F2F2"/>
          </w:tcPr>
          <w:p>
            <w:pPr>
              <w:spacing w:after="0"/>
              <w:rPr>
                <w:sz w:val="19"/>
                <w:szCs w:val="19"/>
                <w:color w:val="auto"/>
              </w:rPr>
            </w:pPr>
          </w:p>
        </w:tc>
        <w:tc>
          <w:tcPr>
            <w:tcW w:w="1940" w:type="dxa"/>
            <w:vAlign w:val="bottom"/>
            <w:shd w:val="clear" w:color="auto" w:fill="F2F2F2"/>
          </w:tcPr>
          <w:p>
            <w:pPr>
              <w:spacing w:after="0" w:line="215" w:lineRule="exact"/>
              <w:rPr>
                <w:sz w:val="20"/>
                <w:szCs w:val="20"/>
                <w:color w:val="auto"/>
              </w:rPr>
            </w:pPr>
            <w:r>
              <w:rPr>
                <w:rFonts w:ascii="Calibri" w:cs="Calibri" w:eastAsia="Calibri" w:hAnsi="Calibri"/>
                <w:sz w:val="18"/>
                <w:szCs w:val="18"/>
                <w:color w:val="auto"/>
                <w:shd w:val="clear" w:color="auto" w:fill="F2F2F2"/>
              </w:rPr>
              <w:t>Mixed reviews in national</w:t>
            </w:r>
          </w:p>
        </w:tc>
        <w:tc>
          <w:tcPr>
            <w:tcW w:w="100" w:type="dxa"/>
            <w:vAlign w:val="bottom"/>
            <w:shd w:val="clear" w:color="auto" w:fill="F2F2F2"/>
          </w:tcPr>
          <w:p>
            <w:pPr>
              <w:spacing w:after="0"/>
              <w:rPr>
                <w:sz w:val="19"/>
                <w:szCs w:val="19"/>
                <w:color w:val="auto"/>
              </w:rPr>
            </w:pPr>
          </w:p>
        </w:tc>
        <w:tc>
          <w:tcPr>
            <w:tcW w:w="0" w:type="dxa"/>
            <w:vAlign w:val="bottom"/>
          </w:tcPr>
          <w:p>
            <w:pPr>
              <w:spacing w:after="0"/>
              <w:rPr>
                <w:sz w:val="1"/>
                <w:szCs w:val="1"/>
                <w:color w:val="auto"/>
              </w:rPr>
            </w:pPr>
          </w:p>
        </w:tc>
      </w:tr>
      <w:tr>
        <w:trPr>
          <w:trHeight w:val="215"/>
        </w:trPr>
        <w:tc>
          <w:tcPr>
            <w:tcW w:w="1520" w:type="dxa"/>
            <w:vAlign w:val="bottom"/>
            <w:shd w:val="clear" w:color="auto" w:fill="F2F2F2"/>
          </w:tcPr>
          <w:p>
            <w:pPr>
              <w:spacing w:after="0"/>
              <w:rPr>
                <w:sz w:val="18"/>
                <w:szCs w:val="18"/>
                <w:color w:val="auto"/>
              </w:rPr>
            </w:pPr>
          </w:p>
        </w:tc>
        <w:tc>
          <w:tcPr>
            <w:tcW w:w="2360" w:type="dxa"/>
            <w:vAlign w:val="bottom"/>
            <w:shd w:val="clear" w:color="auto" w:fill="F2F2F2"/>
          </w:tcPr>
          <w:p>
            <w:pPr>
              <w:spacing w:after="0"/>
              <w:rPr>
                <w:sz w:val="18"/>
                <w:szCs w:val="18"/>
                <w:color w:val="auto"/>
              </w:rPr>
            </w:pPr>
          </w:p>
        </w:tc>
        <w:tc>
          <w:tcPr>
            <w:tcW w:w="100" w:type="dxa"/>
            <w:vAlign w:val="bottom"/>
            <w:shd w:val="clear" w:color="auto" w:fill="F2F2F2"/>
          </w:tcPr>
          <w:p>
            <w:pPr>
              <w:spacing w:after="0"/>
              <w:rPr>
                <w:sz w:val="18"/>
                <w:szCs w:val="18"/>
                <w:color w:val="auto"/>
              </w:rPr>
            </w:pPr>
          </w:p>
        </w:tc>
        <w:tc>
          <w:tcPr>
            <w:tcW w:w="1820" w:type="dxa"/>
            <w:vAlign w:val="bottom"/>
            <w:shd w:val="clear" w:color="auto" w:fill="F2F2F2"/>
          </w:tcPr>
          <w:p>
            <w:pPr>
              <w:spacing w:after="0"/>
              <w:rPr>
                <w:sz w:val="18"/>
                <w:szCs w:val="18"/>
                <w:color w:val="auto"/>
              </w:rPr>
            </w:pPr>
          </w:p>
        </w:tc>
        <w:tc>
          <w:tcPr>
            <w:tcW w:w="220" w:type="dxa"/>
            <w:vAlign w:val="bottom"/>
            <w:shd w:val="clear" w:color="auto" w:fill="F2F2F2"/>
          </w:tcPr>
          <w:p>
            <w:pPr>
              <w:spacing w:after="0"/>
              <w:rPr>
                <w:sz w:val="18"/>
                <w:szCs w:val="18"/>
                <w:color w:val="auto"/>
              </w:rPr>
            </w:pPr>
          </w:p>
        </w:tc>
        <w:tc>
          <w:tcPr>
            <w:tcW w:w="4680" w:type="dxa"/>
            <w:vAlign w:val="bottom"/>
            <w:shd w:val="clear" w:color="auto" w:fill="F2F2F2"/>
          </w:tcPr>
          <w:p>
            <w:pPr>
              <w:spacing w:after="0"/>
              <w:rPr>
                <w:sz w:val="18"/>
                <w:szCs w:val="18"/>
                <w:color w:val="auto"/>
              </w:rPr>
            </w:pPr>
          </w:p>
        </w:tc>
        <w:tc>
          <w:tcPr>
            <w:tcW w:w="220" w:type="dxa"/>
            <w:vAlign w:val="bottom"/>
            <w:shd w:val="clear" w:color="auto" w:fill="F2F2F2"/>
          </w:tcPr>
          <w:p>
            <w:pPr>
              <w:spacing w:after="0"/>
              <w:rPr>
                <w:sz w:val="18"/>
                <w:szCs w:val="18"/>
                <w:color w:val="auto"/>
              </w:rPr>
            </w:pPr>
          </w:p>
        </w:tc>
        <w:tc>
          <w:tcPr>
            <w:tcW w:w="1940" w:type="dxa"/>
            <w:vAlign w:val="bottom"/>
            <w:shd w:val="clear" w:color="auto" w:fill="F2F2F2"/>
          </w:tcPr>
          <w:p>
            <w:pPr>
              <w:spacing w:after="0" w:line="215" w:lineRule="exact"/>
              <w:rPr>
                <w:sz w:val="20"/>
                <w:szCs w:val="20"/>
                <w:color w:val="auto"/>
              </w:rPr>
            </w:pPr>
            <w:r>
              <w:rPr>
                <w:rFonts w:ascii="Calibri" w:cs="Calibri" w:eastAsia="Calibri" w:hAnsi="Calibri"/>
                <w:sz w:val="18"/>
                <w:szCs w:val="18"/>
                <w:color w:val="auto"/>
              </w:rPr>
              <w:t>press.</w:t>
            </w:r>
          </w:p>
        </w:tc>
        <w:tc>
          <w:tcPr>
            <w:tcW w:w="100" w:type="dxa"/>
            <w:vAlign w:val="bottom"/>
            <w:shd w:val="clear" w:color="auto" w:fill="F2F2F2"/>
          </w:tcPr>
          <w:p>
            <w:pPr>
              <w:spacing w:after="0"/>
              <w:rPr>
                <w:sz w:val="18"/>
                <w:szCs w:val="18"/>
                <w:color w:val="auto"/>
              </w:rPr>
            </w:pPr>
          </w:p>
        </w:tc>
        <w:tc>
          <w:tcPr>
            <w:tcW w:w="0" w:type="dxa"/>
            <w:vAlign w:val="bottom"/>
          </w:tcPr>
          <w:p>
            <w:pPr>
              <w:spacing w:after="0"/>
              <w:rPr>
                <w:sz w:val="1"/>
                <w:szCs w:val="1"/>
                <w:color w:val="auto"/>
              </w:rPr>
            </w:pPr>
          </w:p>
        </w:tc>
      </w:tr>
      <w:tr>
        <w:trPr>
          <w:trHeight w:val="141"/>
        </w:trPr>
        <w:tc>
          <w:tcPr>
            <w:tcW w:w="1520" w:type="dxa"/>
            <w:vAlign w:val="bottom"/>
            <w:shd w:val="clear" w:color="auto" w:fill="F2F2F2"/>
          </w:tcPr>
          <w:p>
            <w:pPr>
              <w:spacing w:after="0"/>
              <w:rPr>
                <w:sz w:val="12"/>
                <w:szCs w:val="12"/>
                <w:color w:val="auto"/>
              </w:rPr>
            </w:pPr>
          </w:p>
        </w:tc>
        <w:tc>
          <w:tcPr>
            <w:tcW w:w="2360" w:type="dxa"/>
            <w:vAlign w:val="bottom"/>
            <w:shd w:val="clear" w:color="auto" w:fill="F2F2F2"/>
          </w:tcPr>
          <w:p>
            <w:pPr>
              <w:spacing w:after="0"/>
              <w:rPr>
                <w:sz w:val="12"/>
                <w:szCs w:val="12"/>
                <w:color w:val="auto"/>
              </w:rPr>
            </w:pPr>
          </w:p>
        </w:tc>
        <w:tc>
          <w:tcPr>
            <w:tcW w:w="100" w:type="dxa"/>
            <w:vAlign w:val="bottom"/>
            <w:shd w:val="clear" w:color="auto" w:fill="F2F2F2"/>
          </w:tcPr>
          <w:p>
            <w:pPr>
              <w:spacing w:after="0"/>
              <w:rPr>
                <w:sz w:val="12"/>
                <w:szCs w:val="12"/>
                <w:color w:val="auto"/>
              </w:rPr>
            </w:pPr>
          </w:p>
        </w:tc>
        <w:tc>
          <w:tcPr>
            <w:tcW w:w="1820" w:type="dxa"/>
            <w:vAlign w:val="bottom"/>
            <w:shd w:val="clear" w:color="auto" w:fill="F2F2F2"/>
          </w:tcPr>
          <w:p>
            <w:pPr>
              <w:spacing w:after="0"/>
              <w:rPr>
                <w:sz w:val="12"/>
                <w:szCs w:val="12"/>
                <w:color w:val="auto"/>
              </w:rPr>
            </w:pPr>
          </w:p>
        </w:tc>
        <w:tc>
          <w:tcPr>
            <w:tcW w:w="220" w:type="dxa"/>
            <w:vAlign w:val="bottom"/>
            <w:shd w:val="clear" w:color="auto" w:fill="F2F2F2"/>
          </w:tcPr>
          <w:p>
            <w:pPr>
              <w:spacing w:after="0"/>
              <w:rPr>
                <w:sz w:val="12"/>
                <w:szCs w:val="12"/>
                <w:color w:val="auto"/>
              </w:rPr>
            </w:pPr>
          </w:p>
        </w:tc>
        <w:tc>
          <w:tcPr>
            <w:tcW w:w="4680" w:type="dxa"/>
            <w:vAlign w:val="bottom"/>
            <w:shd w:val="clear" w:color="auto" w:fill="F2F2F2"/>
          </w:tcPr>
          <w:p>
            <w:pPr>
              <w:spacing w:after="0"/>
              <w:rPr>
                <w:sz w:val="12"/>
                <w:szCs w:val="12"/>
                <w:color w:val="auto"/>
              </w:rPr>
            </w:pPr>
          </w:p>
        </w:tc>
        <w:tc>
          <w:tcPr>
            <w:tcW w:w="220" w:type="dxa"/>
            <w:vAlign w:val="bottom"/>
            <w:shd w:val="clear" w:color="auto" w:fill="F2F2F2"/>
          </w:tcPr>
          <w:p>
            <w:pPr>
              <w:spacing w:after="0"/>
              <w:rPr>
                <w:sz w:val="12"/>
                <w:szCs w:val="12"/>
                <w:color w:val="auto"/>
              </w:rPr>
            </w:pPr>
          </w:p>
        </w:tc>
        <w:tc>
          <w:tcPr>
            <w:tcW w:w="1940" w:type="dxa"/>
            <w:vAlign w:val="bottom"/>
            <w:shd w:val="clear" w:color="auto" w:fill="F2F2F2"/>
          </w:tcPr>
          <w:p>
            <w:pPr>
              <w:spacing w:after="0"/>
              <w:rPr>
                <w:sz w:val="12"/>
                <w:szCs w:val="12"/>
                <w:color w:val="auto"/>
              </w:rPr>
            </w:pPr>
          </w:p>
        </w:tc>
        <w:tc>
          <w:tcPr>
            <w:tcW w:w="100" w:type="dxa"/>
            <w:vAlign w:val="bottom"/>
            <w:shd w:val="clear" w:color="auto" w:fill="F2F2F2"/>
          </w:tcPr>
          <w:p>
            <w:pPr>
              <w:spacing w:after="0"/>
              <w:rPr>
                <w:sz w:val="12"/>
                <w:szCs w:val="12"/>
                <w:color w:val="auto"/>
              </w:rPr>
            </w:pPr>
          </w:p>
        </w:tc>
        <w:tc>
          <w:tcPr>
            <w:tcW w:w="0" w:type="dxa"/>
            <w:vAlign w:val="bottom"/>
          </w:tcPr>
          <w:p>
            <w:pPr>
              <w:spacing w:after="0"/>
              <w:rPr>
                <w:sz w:val="1"/>
                <w:szCs w:val="1"/>
                <w:color w:val="auto"/>
              </w:rPr>
            </w:pPr>
          </w:p>
        </w:tc>
      </w:tr>
      <w:tr>
        <w:trPr>
          <w:trHeight w:val="256"/>
        </w:trPr>
        <w:tc>
          <w:tcPr>
            <w:tcW w:w="1520" w:type="dxa"/>
            <w:vAlign w:val="bottom"/>
          </w:tcPr>
          <w:p>
            <w:pPr>
              <w:ind w:left="100"/>
              <w:spacing w:after="0" w:line="256" w:lineRule="exact"/>
              <w:rPr>
                <w:sz w:val="20"/>
                <w:szCs w:val="20"/>
                <w:color w:val="auto"/>
              </w:rPr>
            </w:pPr>
            <w:r>
              <w:rPr>
                <w:rFonts w:ascii="Calibri" w:cs="Calibri" w:eastAsia="Calibri" w:hAnsi="Calibri"/>
                <w:sz w:val="22"/>
                <w:szCs w:val="22"/>
                <w:b w:val="1"/>
                <w:bCs w:val="1"/>
                <w:color w:val="auto"/>
              </w:rPr>
              <w:t>Success</w:t>
            </w:r>
          </w:p>
        </w:tc>
        <w:tc>
          <w:tcPr>
            <w:tcW w:w="2460" w:type="dxa"/>
            <w:vAlign w:val="bottom"/>
            <w:gridSpan w:val="2"/>
          </w:tcPr>
          <w:p>
            <w:pPr>
              <w:spacing w:after="0" w:line="256" w:lineRule="exact"/>
              <w:rPr>
                <w:sz w:val="20"/>
                <w:szCs w:val="20"/>
                <w:color w:val="auto"/>
              </w:rPr>
            </w:pPr>
            <w:r>
              <w:rPr>
                <w:rFonts w:ascii="Calibri" w:cs="Calibri" w:eastAsia="Calibri" w:hAnsi="Calibri"/>
                <w:sz w:val="22"/>
                <w:szCs w:val="22"/>
                <w:color w:val="auto"/>
              </w:rPr>
              <w:t>Original musical</w:t>
            </w:r>
          </w:p>
        </w:tc>
        <w:tc>
          <w:tcPr>
            <w:tcW w:w="1820" w:type="dxa"/>
            <w:vAlign w:val="bottom"/>
          </w:tcPr>
          <w:p>
            <w:pPr>
              <w:jc w:val="center"/>
              <w:ind w:left="15"/>
              <w:spacing w:after="0" w:line="256" w:lineRule="exact"/>
              <w:rPr>
                <w:sz w:val="20"/>
                <w:szCs w:val="20"/>
                <w:color w:val="auto"/>
              </w:rPr>
            </w:pPr>
            <w:r>
              <w:rPr>
                <w:rFonts w:ascii="Calibri" w:cs="Calibri" w:eastAsia="Calibri" w:hAnsi="Calibri"/>
                <w:sz w:val="22"/>
                <w:szCs w:val="22"/>
                <w:color w:val="auto"/>
              </w:rPr>
              <w:t>No</w:t>
            </w:r>
          </w:p>
        </w:tc>
        <w:tc>
          <w:tcPr>
            <w:tcW w:w="220" w:type="dxa"/>
            <w:vAlign w:val="bottom"/>
          </w:tcPr>
          <w:p>
            <w:pPr>
              <w:spacing w:after="0"/>
              <w:rPr>
                <w:sz w:val="22"/>
                <w:szCs w:val="22"/>
                <w:color w:val="auto"/>
              </w:rPr>
            </w:pPr>
          </w:p>
        </w:tc>
        <w:tc>
          <w:tcPr>
            <w:tcW w:w="4680" w:type="dxa"/>
            <w:vAlign w:val="bottom"/>
          </w:tcPr>
          <w:p>
            <w:pPr>
              <w:spacing w:after="0" w:line="215" w:lineRule="exact"/>
              <w:rPr>
                <w:sz w:val="20"/>
                <w:szCs w:val="20"/>
                <w:color w:val="auto"/>
              </w:rPr>
            </w:pPr>
            <w:r>
              <w:rPr>
                <w:rFonts w:ascii="Calibri" w:cs="Calibri" w:eastAsia="Calibri" w:hAnsi="Calibri"/>
                <w:sz w:val="18"/>
                <w:szCs w:val="18"/>
                <w:color w:val="auto"/>
              </w:rPr>
              <w:t>7 sold out performances in 100 person theater. Broke even.</w:t>
            </w:r>
          </w:p>
        </w:tc>
        <w:tc>
          <w:tcPr>
            <w:tcW w:w="220" w:type="dxa"/>
            <w:vAlign w:val="bottom"/>
          </w:tcPr>
          <w:p>
            <w:pPr>
              <w:spacing w:after="0"/>
              <w:rPr>
                <w:sz w:val="22"/>
                <w:szCs w:val="22"/>
                <w:color w:val="auto"/>
              </w:rPr>
            </w:pPr>
          </w:p>
        </w:tc>
        <w:tc>
          <w:tcPr>
            <w:tcW w:w="2040" w:type="dxa"/>
            <w:vAlign w:val="bottom"/>
            <w:gridSpan w:val="2"/>
          </w:tcPr>
          <w:p>
            <w:pPr>
              <w:spacing w:after="0" w:line="215" w:lineRule="exact"/>
              <w:rPr>
                <w:sz w:val="20"/>
                <w:szCs w:val="20"/>
                <w:color w:val="auto"/>
              </w:rPr>
            </w:pPr>
            <w:r>
              <w:rPr>
                <w:rFonts w:ascii="Calibri" w:cs="Calibri" w:eastAsia="Calibri" w:hAnsi="Calibri"/>
                <w:sz w:val="18"/>
                <w:szCs w:val="18"/>
                <w:color w:val="auto"/>
              </w:rPr>
              <w:t>Negative to mixed</w:t>
            </w:r>
          </w:p>
        </w:tc>
        <w:tc>
          <w:tcPr>
            <w:tcW w:w="0" w:type="dxa"/>
            <w:vAlign w:val="bottom"/>
          </w:tcPr>
          <w:p>
            <w:pPr>
              <w:spacing w:after="0"/>
              <w:rPr>
                <w:sz w:val="1"/>
                <w:szCs w:val="1"/>
                <w:color w:val="auto"/>
              </w:rPr>
            </w:pPr>
          </w:p>
        </w:tc>
      </w:tr>
      <w:tr>
        <w:trPr>
          <w:trHeight w:val="179"/>
        </w:trPr>
        <w:tc>
          <w:tcPr>
            <w:tcW w:w="1520" w:type="dxa"/>
            <w:vAlign w:val="bottom"/>
          </w:tcPr>
          <w:p>
            <w:pPr>
              <w:spacing w:after="0"/>
              <w:rPr>
                <w:sz w:val="15"/>
                <w:szCs w:val="15"/>
                <w:color w:val="auto"/>
              </w:rPr>
            </w:pPr>
          </w:p>
        </w:tc>
        <w:tc>
          <w:tcPr>
            <w:tcW w:w="236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82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468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2040" w:type="dxa"/>
            <w:vAlign w:val="bottom"/>
            <w:gridSpan w:val="2"/>
          </w:tcPr>
          <w:p>
            <w:pPr>
              <w:spacing w:after="0" w:line="179" w:lineRule="exact"/>
              <w:rPr>
                <w:sz w:val="20"/>
                <w:szCs w:val="20"/>
                <w:color w:val="auto"/>
              </w:rPr>
            </w:pPr>
            <w:r>
              <w:rPr>
                <w:rFonts w:ascii="Calibri" w:cs="Calibri" w:eastAsia="Calibri" w:hAnsi="Calibri"/>
                <w:sz w:val="18"/>
                <w:szCs w:val="18"/>
                <w:color w:val="auto"/>
              </w:rPr>
              <w:t>reviews in national press.</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44</w:t>
      </w:r>
    </w:p>
    <w:p>
      <w:pPr>
        <w:sectPr>
          <w:pgSz w:w="15840" w:h="12240" w:orient="landscape"/>
          <w:cols w:equalWidth="0" w:num="1">
            <w:col w:w="12960"/>
          </w:cols>
          <w:pgMar w:left="1440" w:top="1440" w:right="1440" w:bottom="474" w:gutter="0" w:footer="0" w:header="0"/>
        </w:sectPr>
      </w:pPr>
    </w:p>
    <w:bookmarkStart w:id="45" w:name="page46"/>
    <w:bookmarkEnd w:id="45"/>
    <w:tbl>
      <w:tblPr>
        <w:tblLayout w:type="fixed"/>
        <w:tblInd w:w="0" w:type="dxa"/>
        <w:tblCellMar>
          <w:top w:w="0" w:type="dxa"/>
          <w:left w:w="0" w:type="dxa"/>
          <w:bottom w:w="0" w:type="dxa"/>
          <w:right w:w="0" w:type="dxa"/>
        </w:tblCellMar>
      </w:tblPr>
      <w:tr>
        <w:trPr>
          <w:trHeight w:val="269"/>
        </w:trPr>
        <w:tc>
          <w:tcPr>
            <w:tcW w:w="100" w:type="dxa"/>
            <w:vAlign w:val="bottom"/>
            <w:shd w:val="clear" w:color="auto" w:fill="F2F2F2"/>
          </w:tcPr>
          <w:p>
            <w:pPr>
              <w:spacing w:after="0"/>
              <w:rPr>
                <w:sz w:val="23"/>
                <w:szCs w:val="23"/>
                <w:color w:val="auto"/>
              </w:rPr>
            </w:pPr>
          </w:p>
        </w:tc>
        <w:tc>
          <w:tcPr>
            <w:tcW w:w="1300" w:type="dxa"/>
            <w:vAlign w:val="bottom"/>
            <w:shd w:val="clear" w:color="auto" w:fill="F2F2F2"/>
          </w:tcPr>
          <w:p>
            <w:pPr>
              <w:spacing w:after="0"/>
              <w:rPr>
                <w:sz w:val="20"/>
                <w:szCs w:val="20"/>
                <w:color w:val="auto"/>
              </w:rPr>
            </w:pPr>
            <w:r>
              <w:rPr>
                <w:rFonts w:ascii="Calibri" w:cs="Calibri" w:eastAsia="Calibri" w:hAnsi="Calibri"/>
                <w:sz w:val="22"/>
                <w:szCs w:val="22"/>
                <w:b w:val="1"/>
                <w:bCs w:val="1"/>
                <w:color w:val="auto"/>
              </w:rPr>
              <w:t>Success</w:t>
            </w:r>
          </w:p>
        </w:tc>
        <w:tc>
          <w:tcPr>
            <w:tcW w:w="120" w:type="dxa"/>
            <w:vAlign w:val="bottom"/>
            <w:shd w:val="clear" w:color="auto" w:fill="F2F2F2"/>
          </w:tcPr>
          <w:p>
            <w:pPr>
              <w:spacing w:after="0"/>
              <w:rPr>
                <w:sz w:val="23"/>
                <w:szCs w:val="23"/>
                <w:color w:val="auto"/>
              </w:rPr>
            </w:pPr>
          </w:p>
        </w:tc>
        <w:tc>
          <w:tcPr>
            <w:tcW w:w="2460" w:type="dxa"/>
            <w:vAlign w:val="bottom"/>
            <w:shd w:val="clear" w:color="auto" w:fill="F2F2F2"/>
          </w:tcPr>
          <w:p>
            <w:pPr>
              <w:spacing w:after="0"/>
              <w:rPr>
                <w:sz w:val="20"/>
                <w:szCs w:val="20"/>
                <w:color w:val="auto"/>
              </w:rPr>
            </w:pPr>
            <w:r>
              <w:rPr>
                <w:rFonts w:ascii="Calibri" w:cs="Calibri" w:eastAsia="Calibri" w:hAnsi="Calibri"/>
                <w:sz w:val="22"/>
                <w:szCs w:val="22"/>
                <w:color w:val="auto"/>
              </w:rPr>
              <w:t>Original musical</w:t>
            </w:r>
          </w:p>
        </w:tc>
        <w:tc>
          <w:tcPr>
            <w:tcW w:w="2040" w:type="dxa"/>
            <w:vAlign w:val="bottom"/>
            <w:shd w:val="clear" w:color="auto" w:fill="F2F2F2"/>
          </w:tcPr>
          <w:p>
            <w:pPr>
              <w:ind w:left="840"/>
              <w:spacing w:after="0"/>
              <w:rPr>
                <w:sz w:val="20"/>
                <w:szCs w:val="20"/>
                <w:color w:val="auto"/>
              </w:rPr>
            </w:pPr>
            <w:r>
              <w:rPr>
                <w:rFonts w:ascii="Calibri" w:cs="Calibri" w:eastAsia="Calibri" w:hAnsi="Calibri"/>
                <w:sz w:val="22"/>
                <w:szCs w:val="22"/>
                <w:color w:val="auto"/>
              </w:rPr>
              <w:t>No</w:t>
            </w:r>
          </w:p>
        </w:tc>
        <w:tc>
          <w:tcPr>
            <w:tcW w:w="4680" w:type="dxa"/>
            <w:vAlign w:val="bottom"/>
            <w:shd w:val="clear" w:color="auto" w:fill="F2F2F2"/>
          </w:tcPr>
          <w:p>
            <w:pPr>
              <w:spacing w:after="0"/>
              <w:rPr>
                <w:sz w:val="20"/>
                <w:szCs w:val="20"/>
                <w:color w:val="auto"/>
              </w:rPr>
            </w:pPr>
            <w:r>
              <w:rPr>
                <w:rFonts w:ascii="Calibri" w:cs="Calibri" w:eastAsia="Calibri" w:hAnsi="Calibri"/>
                <w:sz w:val="18"/>
                <w:szCs w:val="18"/>
                <w:color w:val="auto"/>
              </w:rPr>
              <w:t>Ran for two days, sold 300 tickets, profit of $1,500</w:t>
            </w:r>
          </w:p>
        </w:tc>
        <w:tc>
          <w:tcPr>
            <w:tcW w:w="220" w:type="dxa"/>
            <w:vAlign w:val="bottom"/>
            <w:shd w:val="clear" w:color="auto" w:fill="F2F2F2"/>
          </w:tcPr>
          <w:p>
            <w:pPr>
              <w:spacing w:after="0"/>
              <w:rPr>
                <w:sz w:val="23"/>
                <w:szCs w:val="23"/>
                <w:color w:val="auto"/>
              </w:rPr>
            </w:pPr>
          </w:p>
        </w:tc>
        <w:tc>
          <w:tcPr>
            <w:tcW w:w="2040" w:type="dxa"/>
            <w:vAlign w:val="bottom"/>
            <w:shd w:val="clear" w:color="auto" w:fill="F2F2F2"/>
          </w:tcPr>
          <w:p>
            <w:pPr>
              <w:spacing w:after="0"/>
              <w:rPr>
                <w:sz w:val="20"/>
                <w:szCs w:val="20"/>
                <w:color w:val="auto"/>
              </w:rPr>
            </w:pPr>
            <w:r>
              <w:rPr>
                <w:rFonts w:ascii="Calibri" w:cs="Calibri" w:eastAsia="Calibri" w:hAnsi="Calibri"/>
                <w:sz w:val="18"/>
                <w:szCs w:val="18"/>
                <w:color w:val="auto"/>
              </w:rPr>
              <w:t>No reviews, though the</w:t>
            </w:r>
          </w:p>
        </w:tc>
        <w:tc>
          <w:tcPr>
            <w:tcW w:w="0" w:type="dxa"/>
            <w:vAlign w:val="bottom"/>
          </w:tcPr>
          <w:p>
            <w:pPr>
              <w:spacing w:after="0"/>
              <w:rPr>
                <w:sz w:val="1"/>
                <w:szCs w:val="1"/>
                <w:color w:val="auto"/>
              </w:rPr>
            </w:pPr>
          </w:p>
        </w:tc>
      </w:tr>
      <w:tr>
        <w:trPr>
          <w:trHeight w:val="214"/>
        </w:trPr>
        <w:tc>
          <w:tcPr>
            <w:tcW w:w="100" w:type="dxa"/>
            <w:vAlign w:val="bottom"/>
            <w:shd w:val="clear" w:color="auto" w:fill="F2F2F2"/>
          </w:tcPr>
          <w:p>
            <w:pPr>
              <w:spacing w:after="0"/>
              <w:rPr>
                <w:sz w:val="18"/>
                <w:szCs w:val="18"/>
                <w:color w:val="auto"/>
              </w:rPr>
            </w:pPr>
          </w:p>
        </w:tc>
        <w:tc>
          <w:tcPr>
            <w:tcW w:w="1300" w:type="dxa"/>
            <w:vAlign w:val="bottom"/>
            <w:shd w:val="clear" w:color="auto" w:fill="F2F2F2"/>
          </w:tcPr>
          <w:p>
            <w:pPr>
              <w:spacing w:after="0"/>
              <w:rPr>
                <w:sz w:val="18"/>
                <w:szCs w:val="18"/>
                <w:color w:val="auto"/>
              </w:rPr>
            </w:pPr>
          </w:p>
        </w:tc>
        <w:tc>
          <w:tcPr>
            <w:tcW w:w="120" w:type="dxa"/>
            <w:vAlign w:val="bottom"/>
            <w:shd w:val="clear" w:color="auto" w:fill="F2F2F2"/>
          </w:tcPr>
          <w:p>
            <w:pPr>
              <w:spacing w:after="0"/>
              <w:rPr>
                <w:sz w:val="18"/>
                <w:szCs w:val="18"/>
                <w:color w:val="auto"/>
              </w:rPr>
            </w:pPr>
          </w:p>
        </w:tc>
        <w:tc>
          <w:tcPr>
            <w:tcW w:w="2460" w:type="dxa"/>
            <w:vAlign w:val="bottom"/>
            <w:shd w:val="clear" w:color="auto" w:fill="F2F2F2"/>
          </w:tcPr>
          <w:p>
            <w:pPr>
              <w:spacing w:after="0"/>
              <w:rPr>
                <w:sz w:val="18"/>
                <w:szCs w:val="18"/>
                <w:color w:val="auto"/>
              </w:rPr>
            </w:pPr>
          </w:p>
        </w:tc>
        <w:tc>
          <w:tcPr>
            <w:tcW w:w="2040" w:type="dxa"/>
            <w:vAlign w:val="bottom"/>
            <w:shd w:val="clear" w:color="auto" w:fill="F2F2F2"/>
          </w:tcPr>
          <w:p>
            <w:pPr>
              <w:spacing w:after="0"/>
              <w:rPr>
                <w:sz w:val="18"/>
                <w:szCs w:val="18"/>
                <w:color w:val="auto"/>
              </w:rPr>
            </w:pPr>
          </w:p>
        </w:tc>
        <w:tc>
          <w:tcPr>
            <w:tcW w:w="4680" w:type="dxa"/>
            <w:vAlign w:val="bottom"/>
            <w:shd w:val="clear" w:color="auto" w:fill="F2F2F2"/>
          </w:tcPr>
          <w:p>
            <w:pPr>
              <w:spacing w:after="0"/>
              <w:rPr>
                <w:sz w:val="18"/>
                <w:szCs w:val="18"/>
                <w:color w:val="auto"/>
              </w:rPr>
            </w:pPr>
          </w:p>
        </w:tc>
        <w:tc>
          <w:tcPr>
            <w:tcW w:w="220" w:type="dxa"/>
            <w:vAlign w:val="bottom"/>
            <w:shd w:val="clear" w:color="auto" w:fill="F2F2F2"/>
          </w:tcPr>
          <w:p>
            <w:pPr>
              <w:spacing w:after="0"/>
              <w:rPr>
                <w:sz w:val="18"/>
                <w:szCs w:val="18"/>
                <w:color w:val="auto"/>
              </w:rPr>
            </w:pPr>
          </w:p>
        </w:tc>
        <w:tc>
          <w:tcPr>
            <w:tcW w:w="2040" w:type="dxa"/>
            <w:vAlign w:val="bottom"/>
            <w:shd w:val="clear" w:color="auto" w:fill="F2F2F2"/>
          </w:tcPr>
          <w:p>
            <w:pPr>
              <w:spacing w:after="0" w:line="215" w:lineRule="exact"/>
              <w:rPr>
                <w:sz w:val="20"/>
                <w:szCs w:val="20"/>
                <w:color w:val="auto"/>
              </w:rPr>
            </w:pPr>
            <w:r>
              <w:rPr>
                <w:rFonts w:ascii="Calibri" w:cs="Calibri" w:eastAsia="Calibri" w:hAnsi="Calibri"/>
                <w:sz w:val="18"/>
                <w:szCs w:val="18"/>
                <w:color w:val="auto"/>
              </w:rPr>
              <w:t>play was mentioned in</w:t>
            </w:r>
          </w:p>
        </w:tc>
        <w:tc>
          <w:tcPr>
            <w:tcW w:w="0" w:type="dxa"/>
            <w:vAlign w:val="bottom"/>
          </w:tcPr>
          <w:p>
            <w:pPr>
              <w:spacing w:after="0"/>
              <w:rPr>
                <w:sz w:val="1"/>
                <w:szCs w:val="1"/>
                <w:color w:val="auto"/>
              </w:rPr>
            </w:pPr>
          </w:p>
        </w:tc>
      </w:tr>
      <w:tr>
        <w:trPr>
          <w:trHeight w:val="225"/>
        </w:trPr>
        <w:tc>
          <w:tcPr>
            <w:tcW w:w="100" w:type="dxa"/>
            <w:vAlign w:val="bottom"/>
            <w:shd w:val="clear" w:color="auto" w:fill="F2F2F2"/>
          </w:tcPr>
          <w:p>
            <w:pPr>
              <w:spacing w:after="0"/>
              <w:rPr>
                <w:sz w:val="19"/>
                <w:szCs w:val="19"/>
                <w:color w:val="auto"/>
              </w:rPr>
            </w:pPr>
          </w:p>
        </w:tc>
        <w:tc>
          <w:tcPr>
            <w:tcW w:w="1300" w:type="dxa"/>
            <w:vAlign w:val="bottom"/>
            <w:shd w:val="clear" w:color="auto" w:fill="F2F2F2"/>
          </w:tcPr>
          <w:p>
            <w:pPr>
              <w:spacing w:after="0"/>
              <w:rPr>
                <w:sz w:val="19"/>
                <w:szCs w:val="19"/>
                <w:color w:val="auto"/>
              </w:rPr>
            </w:pPr>
          </w:p>
        </w:tc>
        <w:tc>
          <w:tcPr>
            <w:tcW w:w="120" w:type="dxa"/>
            <w:vAlign w:val="bottom"/>
            <w:shd w:val="clear" w:color="auto" w:fill="F2F2F2"/>
          </w:tcPr>
          <w:p>
            <w:pPr>
              <w:spacing w:after="0"/>
              <w:rPr>
                <w:sz w:val="19"/>
                <w:szCs w:val="19"/>
                <w:color w:val="auto"/>
              </w:rPr>
            </w:pPr>
          </w:p>
        </w:tc>
        <w:tc>
          <w:tcPr>
            <w:tcW w:w="2460" w:type="dxa"/>
            <w:vAlign w:val="bottom"/>
            <w:shd w:val="clear" w:color="auto" w:fill="F2F2F2"/>
          </w:tcPr>
          <w:p>
            <w:pPr>
              <w:spacing w:after="0"/>
              <w:rPr>
                <w:sz w:val="19"/>
                <w:szCs w:val="19"/>
                <w:color w:val="auto"/>
              </w:rPr>
            </w:pPr>
          </w:p>
        </w:tc>
        <w:tc>
          <w:tcPr>
            <w:tcW w:w="2040" w:type="dxa"/>
            <w:vAlign w:val="bottom"/>
            <w:shd w:val="clear" w:color="auto" w:fill="F2F2F2"/>
          </w:tcPr>
          <w:p>
            <w:pPr>
              <w:spacing w:after="0"/>
              <w:rPr>
                <w:sz w:val="19"/>
                <w:szCs w:val="19"/>
                <w:color w:val="auto"/>
              </w:rPr>
            </w:pPr>
          </w:p>
        </w:tc>
        <w:tc>
          <w:tcPr>
            <w:tcW w:w="4680" w:type="dxa"/>
            <w:vAlign w:val="bottom"/>
            <w:shd w:val="clear" w:color="auto" w:fill="F2F2F2"/>
          </w:tcPr>
          <w:p>
            <w:pPr>
              <w:spacing w:after="0"/>
              <w:rPr>
                <w:sz w:val="19"/>
                <w:szCs w:val="19"/>
                <w:color w:val="auto"/>
              </w:rPr>
            </w:pPr>
          </w:p>
        </w:tc>
        <w:tc>
          <w:tcPr>
            <w:tcW w:w="220" w:type="dxa"/>
            <w:vAlign w:val="bottom"/>
            <w:shd w:val="clear" w:color="auto" w:fill="F2F2F2"/>
          </w:tcPr>
          <w:p>
            <w:pPr>
              <w:spacing w:after="0"/>
              <w:rPr>
                <w:sz w:val="19"/>
                <w:szCs w:val="19"/>
                <w:color w:val="auto"/>
              </w:rPr>
            </w:pPr>
          </w:p>
        </w:tc>
        <w:tc>
          <w:tcPr>
            <w:tcW w:w="2040" w:type="dxa"/>
            <w:vAlign w:val="bottom"/>
            <w:shd w:val="clear" w:color="auto" w:fill="F2F2F2"/>
          </w:tcPr>
          <w:p>
            <w:pPr>
              <w:spacing w:after="0" w:line="218" w:lineRule="exact"/>
              <w:rPr>
                <w:sz w:val="20"/>
                <w:szCs w:val="20"/>
                <w:color w:val="auto"/>
              </w:rPr>
            </w:pPr>
            <w:r>
              <w:rPr>
                <w:rFonts w:ascii="Calibri" w:cs="Calibri" w:eastAsia="Calibri" w:hAnsi="Calibri"/>
                <w:sz w:val="18"/>
                <w:szCs w:val="18"/>
                <w:color w:val="auto"/>
              </w:rPr>
              <w:t>national press.</w:t>
            </w:r>
          </w:p>
        </w:tc>
        <w:tc>
          <w:tcPr>
            <w:tcW w:w="0" w:type="dxa"/>
            <w:vAlign w:val="bottom"/>
          </w:tcPr>
          <w:p>
            <w:pPr>
              <w:spacing w:after="0"/>
              <w:rPr>
                <w:sz w:val="1"/>
                <w:szCs w:val="1"/>
                <w:color w:val="auto"/>
              </w:rPr>
            </w:pPr>
          </w:p>
        </w:tc>
      </w:tr>
      <w:tr>
        <w:trPr>
          <w:trHeight w:val="254"/>
        </w:trPr>
        <w:tc>
          <w:tcPr>
            <w:tcW w:w="100" w:type="dxa"/>
            <w:vAlign w:val="bottom"/>
          </w:tcPr>
          <w:p>
            <w:pPr>
              <w:spacing w:after="0"/>
              <w:rPr>
                <w:sz w:val="22"/>
                <w:szCs w:val="22"/>
                <w:color w:val="auto"/>
              </w:rPr>
            </w:pPr>
          </w:p>
        </w:tc>
        <w:tc>
          <w:tcPr>
            <w:tcW w:w="1300" w:type="dxa"/>
            <w:vAlign w:val="bottom"/>
          </w:tcPr>
          <w:p>
            <w:pPr>
              <w:spacing w:after="0" w:line="253" w:lineRule="exact"/>
              <w:rPr>
                <w:sz w:val="20"/>
                <w:szCs w:val="20"/>
                <w:color w:val="auto"/>
              </w:rPr>
            </w:pPr>
            <w:r>
              <w:rPr>
                <w:rFonts w:ascii="Calibri" w:cs="Calibri" w:eastAsia="Calibri" w:hAnsi="Calibri"/>
                <w:sz w:val="22"/>
                <w:szCs w:val="22"/>
                <w:b w:val="1"/>
                <w:bCs w:val="1"/>
                <w:color w:val="auto"/>
              </w:rPr>
              <w:t>Commercial</w:t>
            </w:r>
          </w:p>
        </w:tc>
        <w:tc>
          <w:tcPr>
            <w:tcW w:w="120" w:type="dxa"/>
            <w:vAlign w:val="bottom"/>
          </w:tcPr>
          <w:p>
            <w:pPr>
              <w:spacing w:after="0"/>
              <w:rPr>
                <w:sz w:val="22"/>
                <w:szCs w:val="22"/>
                <w:color w:val="auto"/>
              </w:rPr>
            </w:pPr>
          </w:p>
        </w:tc>
        <w:tc>
          <w:tcPr>
            <w:tcW w:w="2460" w:type="dxa"/>
            <w:vAlign w:val="bottom"/>
          </w:tcPr>
          <w:p>
            <w:pPr>
              <w:spacing w:after="0" w:line="253" w:lineRule="exact"/>
              <w:rPr>
                <w:sz w:val="20"/>
                <w:szCs w:val="20"/>
                <w:color w:val="auto"/>
              </w:rPr>
            </w:pPr>
            <w:r>
              <w:rPr>
                <w:rFonts w:ascii="Calibri" w:cs="Calibri" w:eastAsia="Calibri" w:hAnsi="Calibri"/>
                <w:sz w:val="22"/>
                <w:szCs w:val="22"/>
                <w:color w:val="auto"/>
              </w:rPr>
              <w:t>Original musical with</w:t>
            </w:r>
          </w:p>
        </w:tc>
        <w:tc>
          <w:tcPr>
            <w:tcW w:w="2040" w:type="dxa"/>
            <w:vAlign w:val="bottom"/>
          </w:tcPr>
          <w:p>
            <w:pPr>
              <w:ind w:left="820"/>
              <w:spacing w:after="0" w:line="253" w:lineRule="exact"/>
              <w:rPr>
                <w:sz w:val="20"/>
                <w:szCs w:val="20"/>
                <w:color w:val="auto"/>
              </w:rPr>
            </w:pPr>
            <w:r>
              <w:rPr>
                <w:rFonts w:ascii="Calibri" w:cs="Calibri" w:eastAsia="Calibri" w:hAnsi="Calibri"/>
                <w:sz w:val="22"/>
                <w:szCs w:val="22"/>
                <w:color w:val="auto"/>
              </w:rPr>
              <w:t>Yes</w:t>
            </w:r>
          </w:p>
        </w:tc>
        <w:tc>
          <w:tcPr>
            <w:tcW w:w="4680" w:type="dxa"/>
            <w:vAlign w:val="bottom"/>
          </w:tcPr>
          <w:p>
            <w:pPr>
              <w:spacing w:after="0" w:line="215" w:lineRule="exact"/>
              <w:rPr>
                <w:sz w:val="20"/>
                <w:szCs w:val="20"/>
                <w:color w:val="auto"/>
              </w:rPr>
            </w:pPr>
            <w:r>
              <w:rPr>
                <w:rFonts w:ascii="Calibri" w:cs="Calibri" w:eastAsia="Calibri" w:hAnsi="Calibri"/>
                <w:sz w:val="18"/>
                <w:szCs w:val="18"/>
                <w:color w:val="auto"/>
              </w:rPr>
              <w:t>Ongoing profitable performances, touring continuously.</w:t>
            </w:r>
          </w:p>
        </w:tc>
        <w:tc>
          <w:tcPr>
            <w:tcW w:w="220" w:type="dxa"/>
            <w:vAlign w:val="bottom"/>
          </w:tcPr>
          <w:p>
            <w:pPr>
              <w:spacing w:after="0"/>
              <w:rPr>
                <w:sz w:val="22"/>
                <w:szCs w:val="22"/>
                <w:color w:val="auto"/>
              </w:rPr>
            </w:pPr>
          </w:p>
        </w:tc>
        <w:tc>
          <w:tcPr>
            <w:tcW w:w="2040" w:type="dxa"/>
            <w:vAlign w:val="bottom"/>
          </w:tcPr>
          <w:p>
            <w:pPr>
              <w:spacing w:after="0" w:line="215" w:lineRule="exact"/>
              <w:rPr>
                <w:sz w:val="20"/>
                <w:szCs w:val="20"/>
                <w:color w:val="auto"/>
              </w:rPr>
            </w:pPr>
            <w:r>
              <w:rPr>
                <w:rFonts w:ascii="Calibri" w:cs="Calibri" w:eastAsia="Calibri" w:hAnsi="Calibri"/>
                <w:sz w:val="18"/>
                <w:szCs w:val="18"/>
                <w:color w:val="auto"/>
              </w:rPr>
              <w:t>No reviews, though</w:t>
            </w:r>
          </w:p>
        </w:tc>
        <w:tc>
          <w:tcPr>
            <w:tcW w:w="0" w:type="dxa"/>
            <w:vAlign w:val="bottom"/>
          </w:tcPr>
          <w:p>
            <w:pPr>
              <w:spacing w:after="0"/>
              <w:rPr>
                <w:sz w:val="1"/>
                <w:szCs w:val="1"/>
                <w:color w:val="auto"/>
              </w:rPr>
            </w:pPr>
          </w:p>
        </w:tc>
      </w:tr>
      <w:tr>
        <w:trPr>
          <w:trHeight w:val="179"/>
        </w:trPr>
        <w:tc>
          <w:tcPr>
            <w:tcW w:w="100" w:type="dxa"/>
            <w:vAlign w:val="bottom"/>
          </w:tcPr>
          <w:p>
            <w:pPr>
              <w:spacing w:after="0"/>
              <w:rPr>
                <w:sz w:val="15"/>
                <w:szCs w:val="15"/>
                <w:color w:val="auto"/>
              </w:rPr>
            </w:pPr>
          </w:p>
        </w:tc>
        <w:tc>
          <w:tcPr>
            <w:tcW w:w="1300" w:type="dxa"/>
            <w:vAlign w:val="bottom"/>
            <w:vMerge w:val="restart"/>
          </w:tcPr>
          <w:p>
            <w:pPr>
              <w:spacing w:after="0"/>
              <w:rPr>
                <w:sz w:val="20"/>
                <w:szCs w:val="20"/>
                <w:color w:val="auto"/>
              </w:rPr>
            </w:pPr>
            <w:r>
              <w:rPr>
                <w:rFonts w:ascii="Calibri" w:cs="Calibri" w:eastAsia="Calibri" w:hAnsi="Calibri"/>
                <w:sz w:val="22"/>
                <w:szCs w:val="22"/>
                <w:b w:val="1"/>
                <w:bCs w:val="1"/>
                <w:color w:val="auto"/>
              </w:rPr>
              <w:t>Hit</w:t>
            </w:r>
          </w:p>
        </w:tc>
        <w:tc>
          <w:tcPr>
            <w:tcW w:w="120" w:type="dxa"/>
            <w:vAlign w:val="bottom"/>
          </w:tcPr>
          <w:p>
            <w:pPr>
              <w:spacing w:after="0"/>
              <w:rPr>
                <w:sz w:val="15"/>
                <w:szCs w:val="15"/>
                <w:color w:val="auto"/>
              </w:rPr>
            </w:pPr>
          </w:p>
        </w:tc>
        <w:tc>
          <w:tcPr>
            <w:tcW w:w="2460" w:type="dxa"/>
            <w:vAlign w:val="bottom"/>
            <w:vMerge w:val="restart"/>
          </w:tcPr>
          <w:p>
            <w:pPr>
              <w:spacing w:after="0"/>
              <w:rPr>
                <w:sz w:val="20"/>
                <w:szCs w:val="20"/>
                <w:color w:val="auto"/>
              </w:rPr>
            </w:pPr>
            <w:r>
              <w:rPr>
                <w:rFonts w:ascii="Calibri" w:cs="Calibri" w:eastAsia="Calibri" w:hAnsi="Calibri"/>
                <w:sz w:val="22"/>
                <w:szCs w:val="22"/>
                <w:color w:val="auto"/>
              </w:rPr>
              <w:t>social message</w:t>
            </w:r>
          </w:p>
        </w:tc>
        <w:tc>
          <w:tcPr>
            <w:tcW w:w="2040" w:type="dxa"/>
            <w:vAlign w:val="bottom"/>
          </w:tcPr>
          <w:p>
            <w:pPr>
              <w:spacing w:after="0"/>
              <w:rPr>
                <w:sz w:val="15"/>
                <w:szCs w:val="15"/>
                <w:color w:val="auto"/>
              </w:rPr>
            </w:pPr>
          </w:p>
        </w:tc>
        <w:tc>
          <w:tcPr>
            <w:tcW w:w="4680" w:type="dxa"/>
            <w:vAlign w:val="bottom"/>
          </w:tcPr>
          <w:p>
            <w:pPr>
              <w:spacing w:after="0" w:line="179" w:lineRule="exact"/>
              <w:rPr>
                <w:sz w:val="20"/>
                <w:szCs w:val="20"/>
                <w:color w:val="auto"/>
              </w:rPr>
            </w:pPr>
            <w:r>
              <w:rPr>
                <w:rFonts w:ascii="Calibri" w:cs="Calibri" w:eastAsia="Calibri" w:hAnsi="Calibri"/>
                <w:sz w:val="18"/>
                <w:szCs w:val="18"/>
                <w:color w:val="auto"/>
              </w:rPr>
              <w:t>Secured underwriting after campaign.  Makes $200,000K per</w:t>
            </w:r>
          </w:p>
        </w:tc>
        <w:tc>
          <w:tcPr>
            <w:tcW w:w="220" w:type="dxa"/>
            <w:vAlign w:val="bottom"/>
          </w:tcPr>
          <w:p>
            <w:pPr>
              <w:spacing w:after="0"/>
              <w:rPr>
                <w:sz w:val="15"/>
                <w:szCs w:val="15"/>
                <w:color w:val="auto"/>
              </w:rPr>
            </w:pPr>
          </w:p>
        </w:tc>
        <w:tc>
          <w:tcPr>
            <w:tcW w:w="2040" w:type="dxa"/>
            <w:vAlign w:val="bottom"/>
          </w:tcPr>
          <w:p>
            <w:pPr>
              <w:spacing w:after="0" w:line="179" w:lineRule="exact"/>
              <w:rPr>
                <w:sz w:val="20"/>
                <w:szCs w:val="20"/>
                <w:color w:val="auto"/>
              </w:rPr>
            </w:pPr>
            <w:r>
              <w:rPr>
                <w:rFonts w:ascii="Calibri" w:cs="Calibri" w:eastAsia="Calibri" w:hAnsi="Calibri"/>
                <w:sz w:val="18"/>
                <w:szCs w:val="18"/>
                <w:color w:val="auto"/>
              </w:rPr>
              <w:t>coverage in many national</w:t>
            </w:r>
          </w:p>
        </w:tc>
        <w:tc>
          <w:tcPr>
            <w:tcW w:w="0" w:type="dxa"/>
            <w:vAlign w:val="bottom"/>
          </w:tcPr>
          <w:p>
            <w:pPr>
              <w:spacing w:after="0"/>
              <w:rPr>
                <w:sz w:val="1"/>
                <w:szCs w:val="1"/>
                <w:color w:val="auto"/>
              </w:rPr>
            </w:pPr>
          </w:p>
        </w:tc>
      </w:tr>
      <w:tr>
        <w:trPr>
          <w:trHeight w:val="96"/>
        </w:trPr>
        <w:tc>
          <w:tcPr>
            <w:tcW w:w="100" w:type="dxa"/>
            <w:vAlign w:val="bottom"/>
          </w:tcPr>
          <w:p>
            <w:pPr>
              <w:spacing w:after="0"/>
              <w:rPr>
                <w:sz w:val="8"/>
                <w:szCs w:val="8"/>
                <w:color w:val="auto"/>
              </w:rPr>
            </w:pPr>
          </w:p>
        </w:tc>
        <w:tc>
          <w:tcPr>
            <w:tcW w:w="1300" w:type="dxa"/>
            <w:vAlign w:val="bottom"/>
            <w:vMerge w:val="continue"/>
          </w:tcPr>
          <w:p>
            <w:pPr>
              <w:spacing w:after="0"/>
              <w:rPr>
                <w:sz w:val="8"/>
                <w:szCs w:val="8"/>
                <w:color w:val="auto"/>
              </w:rPr>
            </w:pPr>
          </w:p>
        </w:tc>
        <w:tc>
          <w:tcPr>
            <w:tcW w:w="120" w:type="dxa"/>
            <w:vAlign w:val="bottom"/>
          </w:tcPr>
          <w:p>
            <w:pPr>
              <w:spacing w:after="0"/>
              <w:rPr>
                <w:sz w:val="8"/>
                <w:szCs w:val="8"/>
                <w:color w:val="auto"/>
              </w:rPr>
            </w:pPr>
          </w:p>
        </w:tc>
        <w:tc>
          <w:tcPr>
            <w:tcW w:w="2460" w:type="dxa"/>
            <w:vAlign w:val="bottom"/>
            <w:vMerge w:val="continue"/>
          </w:tcPr>
          <w:p>
            <w:pPr>
              <w:spacing w:after="0"/>
              <w:rPr>
                <w:sz w:val="8"/>
                <w:szCs w:val="8"/>
                <w:color w:val="auto"/>
              </w:rPr>
            </w:pPr>
          </w:p>
        </w:tc>
        <w:tc>
          <w:tcPr>
            <w:tcW w:w="2040" w:type="dxa"/>
            <w:vAlign w:val="bottom"/>
          </w:tcPr>
          <w:p>
            <w:pPr>
              <w:spacing w:after="0"/>
              <w:rPr>
                <w:sz w:val="8"/>
                <w:szCs w:val="8"/>
                <w:color w:val="auto"/>
              </w:rPr>
            </w:pPr>
          </w:p>
        </w:tc>
        <w:tc>
          <w:tcPr>
            <w:tcW w:w="4680" w:type="dxa"/>
            <w:vAlign w:val="bottom"/>
            <w:vMerge w:val="restart"/>
          </w:tcPr>
          <w:p>
            <w:pPr>
              <w:spacing w:after="0"/>
              <w:rPr>
                <w:sz w:val="20"/>
                <w:szCs w:val="20"/>
                <w:color w:val="auto"/>
              </w:rPr>
            </w:pPr>
            <w:r>
              <w:rPr>
                <w:rFonts w:ascii="Calibri" w:cs="Calibri" w:eastAsia="Calibri" w:hAnsi="Calibri"/>
                <w:sz w:val="18"/>
                <w:szCs w:val="18"/>
                <w:color w:val="auto"/>
              </w:rPr>
              <w:t>year in net revenue and $100,000 K in underwriting and is self-</w:t>
            </w:r>
          </w:p>
        </w:tc>
        <w:tc>
          <w:tcPr>
            <w:tcW w:w="220" w:type="dxa"/>
            <w:vAlign w:val="bottom"/>
          </w:tcPr>
          <w:p>
            <w:pPr>
              <w:spacing w:after="0"/>
              <w:rPr>
                <w:sz w:val="8"/>
                <w:szCs w:val="8"/>
                <w:color w:val="auto"/>
              </w:rPr>
            </w:pPr>
          </w:p>
        </w:tc>
        <w:tc>
          <w:tcPr>
            <w:tcW w:w="2040" w:type="dxa"/>
            <w:vAlign w:val="bottom"/>
            <w:vMerge w:val="restart"/>
          </w:tcPr>
          <w:p>
            <w:pPr>
              <w:spacing w:after="0"/>
              <w:rPr>
                <w:sz w:val="20"/>
                <w:szCs w:val="20"/>
                <w:color w:val="auto"/>
              </w:rPr>
            </w:pPr>
            <w:r>
              <w:rPr>
                <w:rFonts w:ascii="Calibri" w:cs="Calibri" w:eastAsia="Calibri" w:hAnsi="Calibri"/>
                <w:sz w:val="18"/>
                <w:szCs w:val="18"/>
                <w:color w:val="auto"/>
              </w:rPr>
              <w:t>publications.</w:t>
            </w:r>
          </w:p>
        </w:tc>
        <w:tc>
          <w:tcPr>
            <w:tcW w:w="0" w:type="dxa"/>
            <w:vAlign w:val="bottom"/>
          </w:tcPr>
          <w:p>
            <w:pPr>
              <w:spacing w:after="0"/>
              <w:rPr>
                <w:sz w:val="1"/>
                <w:szCs w:val="1"/>
                <w:color w:val="auto"/>
              </w:rPr>
            </w:pPr>
          </w:p>
        </w:tc>
      </w:tr>
      <w:tr>
        <w:trPr>
          <w:trHeight w:val="124"/>
        </w:trPr>
        <w:tc>
          <w:tcPr>
            <w:tcW w:w="100" w:type="dxa"/>
            <w:vAlign w:val="bottom"/>
          </w:tcPr>
          <w:p>
            <w:pPr>
              <w:spacing w:after="0"/>
              <w:rPr>
                <w:sz w:val="10"/>
                <w:szCs w:val="10"/>
                <w:color w:val="auto"/>
              </w:rPr>
            </w:pPr>
          </w:p>
        </w:tc>
        <w:tc>
          <w:tcPr>
            <w:tcW w:w="13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460" w:type="dxa"/>
            <w:vAlign w:val="bottom"/>
          </w:tcPr>
          <w:p>
            <w:pPr>
              <w:spacing w:after="0"/>
              <w:rPr>
                <w:sz w:val="10"/>
                <w:szCs w:val="10"/>
                <w:color w:val="auto"/>
              </w:rPr>
            </w:pPr>
          </w:p>
        </w:tc>
        <w:tc>
          <w:tcPr>
            <w:tcW w:w="2040" w:type="dxa"/>
            <w:vAlign w:val="bottom"/>
          </w:tcPr>
          <w:p>
            <w:pPr>
              <w:spacing w:after="0"/>
              <w:rPr>
                <w:sz w:val="10"/>
                <w:szCs w:val="10"/>
                <w:color w:val="auto"/>
              </w:rPr>
            </w:pPr>
          </w:p>
        </w:tc>
        <w:tc>
          <w:tcPr>
            <w:tcW w:w="4680" w:type="dxa"/>
            <w:vAlign w:val="bottom"/>
            <w:vMerge w:val="continue"/>
          </w:tcPr>
          <w:p>
            <w:pPr>
              <w:spacing w:after="0"/>
              <w:rPr>
                <w:sz w:val="10"/>
                <w:szCs w:val="10"/>
                <w:color w:val="auto"/>
              </w:rPr>
            </w:pPr>
          </w:p>
        </w:tc>
        <w:tc>
          <w:tcPr>
            <w:tcW w:w="220" w:type="dxa"/>
            <w:vAlign w:val="bottom"/>
          </w:tcPr>
          <w:p>
            <w:pPr>
              <w:spacing w:after="0"/>
              <w:rPr>
                <w:sz w:val="10"/>
                <w:szCs w:val="10"/>
                <w:color w:val="auto"/>
              </w:rPr>
            </w:pPr>
          </w:p>
        </w:tc>
        <w:tc>
          <w:tcPr>
            <w:tcW w:w="204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bl>
    <w:p>
      <w:pPr>
        <w:jc w:val="center"/>
        <w:ind w:right="120"/>
        <w:spacing w:after="0" w:line="238" w:lineRule="auto"/>
        <w:rPr>
          <w:sz w:val="20"/>
          <w:szCs w:val="20"/>
          <w:color w:val="auto"/>
        </w:rPr>
      </w:pPr>
      <w:r>
        <w:rPr>
          <w:rFonts w:ascii="Calibri" w:cs="Calibri" w:eastAsia="Calibri" w:hAnsi="Calibri"/>
          <w:sz w:val="18"/>
          <w:szCs w:val="18"/>
          <w:color w:val="auto"/>
        </w:rPr>
        <w:t>supporting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45</w:t>
      </w:r>
    </w:p>
    <w:p>
      <w:pPr>
        <w:sectPr>
          <w:pgSz w:w="15840" w:h="12240" w:orient="landscape"/>
          <w:cols w:equalWidth="0" w:num="1">
            <w:col w:w="12960"/>
          </w:cols>
          <w:pgMar w:left="1440" w:top="1392" w:right="1440" w:bottom="474" w:gutter="0" w:footer="0" w:header="0"/>
        </w:sectPr>
      </w:pPr>
    </w:p>
    <w:bookmarkStart w:id="46" w:name="page47"/>
    <w:bookmarkEnd w:id="46"/>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914400</wp:posOffset>
                </wp:positionH>
                <wp:positionV relativeFrom="page">
                  <wp:posOffset>1185545</wp:posOffset>
                </wp:positionV>
                <wp:extent cx="8631555" cy="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6315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pt,93.35pt" to="751.65pt,93.35pt" o:allowincell="f" strokecolor="#000000" strokeweight="0.4799pt">
                <w10:wrap anchorx="page" anchory="page"/>
              </v:line>
            </w:pict>
          </mc:Fallback>
        </mc:AlternateContent>
      </w:r>
    </w:p>
    <w:p>
      <w:pPr>
        <w:spacing w:after="0" w:line="229" w:lineRule="exact"/>
        <w:rPr>
          <w:sz w:val="20"/>
          <w:szCs w:val="20"/>
          <w:color w:val="auto"/>
        </w:rPr>
      </w:pPr>
    </w:p>
    <w:p>
      <w:pPr>
        <w:jc w:val="center"/>
        <w:spacing w:after="0"/>
        <w:rPr>
          <w:sz w:val="20"/>
          <w:szCs w:val="20"/>
          <w:color w:val="auto"/>
        </w:rPr>
      </w:pPr>
      <w:r>
        <w:rPr>
          <w:rFonts w:ascii="Calibri" w:cs="Calibri" w:eastAsia="Calibri" w:hAnsi="Calibri"/>
          <w:sz w:val="28"/>
          <w:szCs w:val="28"/>
          <w:b w:val="1"/>
          <w:bCs w:val="1"/>
          <w:color w:val="auto"/>
        </w:rPr>
        <w:t>Table 7</w:t>
      </w:r>
    </w:p>
    <w:p>
      <w:pPr>
        <w:jc w:val="center"/>
        <w:spacing w:after="0"/>
        <w:rPr>
          <w:sz w:val="20"/>
          <w:szCs w:val="20"/>
          <w:color w:val="auto"/>
        </w:rPr>
      </w:pPr>
      <w:r>
        <w:rPr>
          <w:rFonts w:ascii="Calibri" w:cs="Calibri" w:eastAsia="Calibri" w:hAnsi="Calibri"/>
          <w:sz w:val="28"/>
          <w:szCs w:val="28"/>
          <w:b w:val="1"/>
          <w:bCs w:val="1"/>
          <w:color w:val="auto"/>
        </w:rPr>
        <w:t>Outcome of projects rejected by experts but funded by crowds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291465</wp:posOffset>
                </wp:positionV>
                <wp:extent cx="8631555"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6315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2.95pt" to="679.65pt,22.95pt" o:allowincell="f" strokecolor="#000000" strokeweight="0.4799pt"/>
            </w:pict>
          </mc:Fallback>
        </mc:AlternateContent>
      </w:r>
    </w:p>
    <w:p>
      <w:pPr>
        <w:sectPr>
          <w:pgSz w:w="15840" w:h="12240" w:orient="landscape"/>
          <w:cols w:equalWidth="0" w:num="1">
            <w:col w:w="13600"/>
          </w:cols>
          <w:pgMar w:left="1440" w:top="1440" w:right="800" w:bottom="474" w:gutter="0" w:footer="0" w:header="0"/>
        </w:sectPr>
      </w:pPr>
    </w:p>
    <w:p>
      <w:pPr>
        <w:spacing w:after="0" w:line="200" w:lineRule="exact"/>
        <w:rPr>
          <w:sz w:val="20"/>
          <w:szCs w:val="20"/>
          <w:color w:val="auto"/>
        </w:rPr>
      </w:pPr>
    </w:p>
    <w:p>
      <w:pPr>
        <w:spacing w:after="0" w:line="271" w:lineRule="exact"/>
        <w:rPr>
          <w:sz w:val="20"/>
          <w:szCs w:val="20"/>
          <w:color w:val="auto"/>
        </w:rPr>
      </w:pPr>
    </w:p>
    <w:p>
      <w:pPr>
        <w:ind w:left="160"/>
        <w:spacing w:after="0"/>
        <w:tabs>
          <w:tab w:leader="none" w:pos="1480" w:val="left"/>
        </w:tabs>
        <w:rPr>
          <w:sz w:val="20"/>
          <w:szCs w:val="20"/>
          <w:color w:val="auto"/>
        </w:rPr>
      </w:pPr>
      <w:r>
        <w:rPr>
          <w:rFonts w:ascii="Calibri" w:cs="Calibri" w:eastAsia="Calibri" w:hAnsi="Calibri"/>
          <w:sz w:val="17"/>
          <w:szCs w:val="17"/>
          <w:b w:val="1"/>
          <w:bCs w:val="1"/>
          <w:color w:val="auto"/>
        </w:rPr>
        <w:t>Classification</w:t>
      </w:r>
      <w:r>
        <w:rPr>
          <w:sz w:val="20"/>
          <w:szCs w:val="20"/>
          <w:color w:val="auto"/>
        </w:rPr>
        <w:tab/>
      </w:r>
      <w:r>
        <w:rPr>
          <w:rFonts w:ascii="Calibri" w:cs="Calibri" w:eastAsia="Calibri" w:hAnsi="Calibri"/>
          <w:sz w:val="17"/>
          <w:szCs w:val="17"/>
          <w:color w:val="auto"/>
        </w:rPr>
        <w:t>Project Type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2"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20"/>
        </w:trPr>
        <w:tc>
          <w:tcPr>
            <w:tcW w:w="1980" w:type="dxa"/>
            <w:vAlign w:val="bottom"/>
          </w:tcPr>
          <w:p>
            <w:pPr>
              <w:jc w:val="center"/>
              <w:ind w:right="1014"/>
              <w:spacing w:after="0"/>
              <w:rPr>
                <w:sz w:val="20"/>
                <w:szCs w:val="20"/>
                <w:color w:val="auto"/>
              </w:rPr>
            </w:pPr>
            <w:r>
              <w:rPr>
                <w:rFonts w:ascii="Calibri" w:cs="Calibri" w:eastAsia="Calibri" w:hAnsi="Calibri"/>
                <w:sz w:val="14"/>
                <w:szCs w:val="14"/>
                <w:color w:val="auto"/>
                <w:w w:val="99"/>
              </w:rPr>
              <w:t>Ranked worst</w:t>
            </w:r>
          </w:p>
        </w:tc>
        <w:tc>
          <w:tcPr>
            <w:tcW w:w="4380" w:type="dxa"/>
            <w:vAlign w:val="bottom"/>
          </w:tcPr>
          <w:p>
            <w:pPr>
              <w:ind w:left="1060"/>
              <w:spacing w:after="0"/>
              <w:rPr>
                <w:sz w:val="20"/>
                <w:szCs w:val="20"/>
                <w:color w:val="auto"/>
              </w:rPr>
            </w:pPr>
            <w:r>
              <w:rPr>
                <w:rFonts w:ascii="Calibri" w:cs="Calibri" w:eastAsia="Calibri" w:hAnsi="Calibri"/>
                <w:sz w:val="18"/>
                <w:szCs w:val="18"/>
                <w:color w:val="auto"/>
              </w:rPr>
              <w:t>Commercial outcome</w:t>
            </w:r>
          </w:p>
        </w:tc>
        <w:tc>
          <w:tcPr>
            <w:tcW w:w="2940" w:type="dxa"/>
            <w:vAlign w:val="bottom"/>
          </w:tcPr>
          <w:p>
            <w:pPr>
              <w:ind w:left="1740"/>
              <w:spacing w:after="0"/>
              <w:rPr>
                <w:sz w:val="20"/>
                <w:szCs w:val="20"/>
                <w:color w:val="auto"/>
              </w:rPr>
            </w:pPr>
            <w:r>
              <w:rPr>
                <w:rFonts w:ascii="Calibri" w:cs="Calibri" w:eastAsia="Calibri" w:hAnsi="Calibri"/>
                <w:sz w:val="18"/>
                <w:szCs w:val="18"/>
                <w:color w:val="auto"/>
                <w:w w:val="98"/>
              </w:rPr>
              <w:t>Critical outcome</w:t>
            </w:r>
          </w:p>
        </w:tc>
      </w:tr>
      <w:tr>
        <w:trPr>
          <w:trHeight w:val="138"/>
        </w:trPr>
        <w:tc>
          <w:tcPr>
            <w:tcW w:w="1980" w:type="dxa"/>
            <w:vAlign w:val="bottom"/>
          </w:tcPr>
          <w:p>
            <w:pPr>
              <w:jc w:val="center"/>
              <w:ind w:right="994"/>
              <w:spacing w:after="0" w:line="139" w:lineRule="exact"/>
              <w:rPr>
                <w:sz w:val="20"/>
                <w:szCs w:val="20"/>
                <w:color w:val="auto"/>
              </w:rPr>
            </w:pPr>
            <w:r>
              <w:rPr>
                <w:rFonts w:ascii="Calibri" w:cs="Calibri" w:eastAsia="Calibri" w:hAnsi="Calibri"/>
                <w:sz w:val="14"/>
                <w:szCs w:val="14"/>
                <w:color w:val="auto"/>
                <w:w w:val="99"/>
              </w:rPr>
              <w:t>among by (most</w:t>
            </w:r>
          </w:p>
        </w:tc>
        <w:tc>
          <w:tcPr>
            <w:tcW w:w="4380" w:type="dxa"/>
            <w:vAlign w:val="bottom"/>
          </w:tcPr>
          <w:p>
            <w:pPr>
              <w:spacing w:after="0"/>
              <w:rPr>
                <w:sz w:val="12"/>
                <w:szCs w:val="12"/>
                <w:color w:val="auto"/>
              </w:rPr>
            </w:pPr>
          </w:p>
        </w:tc>
        <w:tc>
          <w:tcPr>
            <w:tcW w:w="2940" w:type="dxa"/>
            <w:vAlign w:val="bottom"/>
          </w:tcPr>
          <w:p>
            <w:pPr>
              <w:spacing w:after="0"/>
              <w:rPr>
                <w:sz w:val="12"/>
                <w:szCs w:val="12"/>
                <w:color w:val="auto"/>
              </w:rPr>
            </w:pPr>
          </w:p>
        </w:tc>
      </w:tr>
      <w:tr>
        <w:trPr>
          <w:trHeight w:val="173"/>
        </w:trPr>
        <w:tc>
          <w:tcPr>
            <w:tcW w:w="1980" w:type="dxa"/>
            <w:vAlign w:val="bottom"/>
          </w:tcPr>
          <w:p>
            <w:pPr>
              <w:jc w:val="center"/>
              <w:ind w:right="994"/>
              <w:spacing w:after="0"/>
              <w:rPr>
                <w:sz w:val="20"/>
                <w:szCs w:val="20"/>
                <w:color w:val="auto"/>
              </w:rPr>
            </w:pPr>
            <w:r>
              <w:rPr>
                <w:rFonts w:ascii="Calibri" w:cs="Calibri" w:eastAsia="Calibri" w:hAnsi="Calibri"/>
                <w:sz w:val="12"/>
                <w:szCs w:val="12"/>
                <w:color w:val="auto"/>
              </w:rPr>
              <w:t>favorable</w:t>
            </w:r>
            <w:r>
              <w:rPr>
                <w:rFonts w:ascii="Calibri" w:cs="Calibri" w:eastAsia="Calibri" w:hAnsi="Calibri"/>
                <w:sz w:val="13"/>
                <w:szCs w:val="13"/>
                <w:color w:val="auto"/>
              </w:rPr>
              <w:t>) judge?</w:t>
            </w:r>
          </w:p>
        </w:tc>
        <w:tc>
          <w:tcPr>
            <w:tcW w:w="4380" w:type="dxa"/>
            <w:vAlign w:val="bottom"/>
          </w:tcPr>
          <w:p>
            <w:pPr>
              <w:spacing w:after="0"/>
              <w:rPr>
                <w:sz w:val="15"/>
                <w:szCs w:val="15"/>
                <w:color w:val="auto"/>
              </w:rPr>
            </w:pPr>
          </w:p>
        </w:tc>
        <w:tc>
          <w:tcPr>
            <w:tcW w:w="2940" w:type="dxa"/>
            <w:vAlign w:val="bottom"/>
          </w:tcPr>
          <w:p>
            <w:pPr>
              <w:spacing w:after="0"/>
              <w:rPr>
                <w:sz w:val="15"/>
                <w:szCs w:val="15"/>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-1765300</wp:posOffset>
                </wp:positionH>
                <wp:positionV relativeFrom="paragraph">
                  <wp:posOffset>5715</wp:posOffset>
                </wp:positionV>
                <wp:extent cx="8631555"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6315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pt,0.45pt" to="540.65pt,0.4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-1765300</wp:posOffset>
                </wp:positionH>
                <wp:positionV relativeFrom="paragraph">
                  <wp:posOffset>17780</wp:posOffset>
                </wp:positionV>
                <wp:extent cx="8631555" cy="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6315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pt,1.4pt" to="540.65pt,1.4pt" o:allowincell="f" strokecolor="#000000" strokeweight="0.48pt"/>
            </w:pict>
          </mc:Fallback>
        </mc:AlternateContent>
      </w:r>
    </w:p>
    <w:p>
      <w:pPr>
        <w:spacing w:after="0" w:line="25" w:lineRule="exact"/>
        <w:rPr>
          <w:sz w:val="20"/>
          <w:szCs w:val="20"/>
          <w:color w:val="auto"/>
        </w:rPr>
      </w:pPr>
    </w:p>
    <w:p>
      <w:pPr>
        <w:sectPr>
          <w:pgSz w:w="15840" w:h="12240" w:orient="landscape"/>
          <w:cols w:equalWidth="0" w:num="2">
            <w:col w:w="2400" w:space="380"/>
            <w:col w:w="10820"/>
          </w:cols>
          <w:pgMar w:left="1440" w:top="1440" w:right="800" w:bottom="474" w:gutter="0" w:footer="0" w:header="0"/>
          <w:type w:val="continuous"/>
        </w:sectPr>
      </w:pPr>
    </w:p>
    <w:tbl>
      <w:tblPr>
        <w:tblLayout w:type="fixed"/>
        <w:tblInd w:w="0" w:type="dxa"/>
        <w:tblCellMar>
          <w:top w:w="0" w:type="dxa"/>
          <w:left w:w="0" w:type="dxa"/>
          <w:bottom w:w="0" w:type="dxa"/>
          <w:right w:w="0" w:type="dxa"/>
        </w:tblCellMar>
      </w:tblPr>
      <w:tr>
        <w:trPr>
          <w:trHeight w:val="269"/>
        </w:trPr>
        <w:tc>
          <w:tcPr>
            <w:tcW w:w="1350" w:type="dxa"/>
            <w:vAlign w:val="bottom"/>
          </w:tcPr>
          <w:p>
            <w:pPr>
              <w:ind w:left="100"/>
              <w:spacing w:after="0"/>
              <w:rPr>
                <w:sz w:val="20"/>
                <w:szCs w:val="20"/>
                <w:color w:val="auto"/>
              </w:rPr>
            </w:pPr>
            <w:r>
              <w:rPr>
                <w:rFonts w:ascii="Calibri" w:cs="Calibri" w:eastAsia="Calibri" w:hAnsi="Calibri"/>
                <w:sz w:val="20"/>
                <w:szCs w:val="20"/>
                <w:b w:val="1"/>
                <w:bCs w:val="1"/>
                <w:color w:val="auto"/>
              </w:rPr>
              <w:t>Failure</w:t>
            </w:r>
          </w:p>
        </w:tc>
        <w:tc>
          <w:tcPr>
            <w:tcW w:w="1320" w:type="dxa"/>
            <w:vAlign w:val="bottom"/>
          </w:tcPr>
          <w:p>
            <w:pPr>
              <w:ind w:left="50"/>
              <w:spacing w:after="0"/>
              <w:rPr>
                <w:sz w:val="20"/>
                <w:szCs w:val="20"/>
                <w:color w:val="auto"/>
              </w:rPr>
            </w:pPr>
            <w:r>
              <w:rPr>
                <w:rFonts w:ascii="Calibri" w:cs="Calibri" w:eastAsia="Calibri" w:hAnsi="Calibri"/>
                <w:sz w:val="20"/>
                <w:szCs w:val="20"/>
                <w:color w:val="auto"/>
              </w:rPr>
              <w:t>Brecht play</w:t>
            </w:r>
          </w:p>
        </w:tc>
        <w:tc>
          <w:tcPr>
            <w:tcW w:w="1210" w:type="dxa"/>
            <w:vAlign w:val="bottom"/>
          </w:tcPr>
          <w:p>
            <w:pPr>
              <w:ind w:left="430"/>
              <w:spacing w:after="0"/>
              <w:rPr>
                <w:sz w:val="20"/>
                <w:szCs w:val="20"/>
                <w:color w:val="auto"/>
              </w:rPr>
            </w:pPr>
            <w:r>
              <w:rPr>
                <w:rFonts w:ascii="Calibri" w:cs="Calibri" w:eastAsia="Calibri" w:hAnsi="Calibri"/>
                <w:sz w:val="22"/>
                <w:szCs w:val="22"/>
                <w:color w:val="auto"/>
              </w:rPr>
              <w:t>No</w:t>
            </w:r>
          </w:p>
        </w:tc>
      </w:tr>
      <w:tr>
        <w:trPr>
          <w:trHeight w:val="28"/>
        </w:trPr>
        <w:tc>
          <w:tcPr>
            <w:tcW w:w="1350" w:type="dxa"/>
            <w:vAlign w:val="bottom"/>
          </w:tcPr>
          <w:p>
            <w:pPr>
              <w:spacing w:after="0"/>
              <w:rPr>
                <w:sz w:val="2"/>
                <w:szCs w:val="2"/>
                <w:color w:val="auto"/>
              </w:rPr>
            </w:pPr>
          </w:p>
        </w:tc>
        <w:tc>
          <w:tcPr>
            <w:tcW w:w="1320" w:type="dxa"/>
            <w:vAlign w:val="bottom"/>
          </w:tcPr>
          <w:p>
            <w:pPr>
              <w:spacing w:after="0"/>
              <w:rPr>
                <w:sz w:val="2"/>
                <w:szCs w:val="2"/>
                <w:color w:val="auto"/>
              </w:rPr>
            </w:pPr>
          </w:p>
        </w:tc>
        <w:tc>
          <w:tcPr>
            <w:tcW w:w="1210" w:type="dxa"/>
            <w:vAlign w:val="bottom"/>
          </w:tcPr>
          <w:p>
            <w:pPr>
              <w:spacing w:after="0"/>
              <w:rPr>
                <w:sz w:val="2"/>
                <w:szCs w:val="2"/>
                <w:color w:val="auto"/>
              </w:rPr>
            </w:pPr>
          </w:p>
        </w:tc>
      </w:tr>
      <w:tr>
        <w:trPr>
          <w:trHeight w:val="245"/>
        </w:trPr>
        <w:tc>
          <w:tcPr>
            <w:tcW w:w="1350" w:type="dxa"/>
            <w:vAlign w:val="bottom"/>
            <w:shd w:val="clear" w:color="auto" w:fill="F2F2F2"/>
          </w:tcPr>
          <w:p>
            <w:pPr>
              <w:ind w:left="100"/>
              <w:spacing w:after="0" w:line="239" w:lineRule="exact"/>
              <w:rPr>
                <w:sz w:val="20"/>
                <w:szCs w:val="20"/>
                <w:color w:val="auto"/>
              </w:rPr>
            </w:pPr>
            <w:r>
              <w:rPr>
                <w:rFonts w:ascii="Calibri" w:cs="Calibri" w:eastAsia="Calibri" w:hAnsi="Calibri"/>
                <w:sz w:val="20"/>
                <w:szCs w:val="20"/>
                <w:b w:val="1"/>
                <w:bCs w:val="1"/>
                <w:color w:val="auto"/>
              </w:rPr>
              <w:t>Success</w:t>
            </w:r>
          </w:p>
        </w:tc>
        <w:tc>
          <w:tcPr>
            <w:tcW w:w="1320" w:type="dxa"/>
            <w:vAlign w:val="bottom"/>
            <w:shd w:val="clear" w:color="auto" w:fill="F2F2F2"/>
          </w:tcPr>
          <w:p>
            <w:pPr>
              <w:ind w:left="50"/>
              <w:spacing w:after="0" w:line="239" w:lineRule="exact"/>
              <w:rPr>
                <w:sz w:val="20"/>
                <w:szCs w:val="20"/>
                <w:color w:val="auto"/>
              </w:rPr>
            </w:pPr>
            <w:r>
              <w:rPr>
                <w:rFonts w:ascii="Calibri" w:cs="Calibri" w:eastAsia="Calibri" w:hAnsi="Calibri"/>
                <w:sz w:val="20"/>
                <w:szCs w:val="20"/>
                <w:color w:val="auto"/>
              </w:rPr>
              <w:t>Original</w:t>
            </w:r>
          </w:p>
        </w:tc>
        <w:tc>
          <w:tcPr>
            <w:tcW w:w="1210" w:type="dxa"/>
            <w:vAlign w:val="bottom"/>
            <w:shd w:val="clear" w:color="auto" w:fill="F2F2F2"/>
          </w:tcPr>
          <w:p>
            <w:pPr>
              <w:ind w:left="430"/>
              <w:spacing w:after="0" w:line="246" w:lineRule="exact"/>
              <w:rPr>
                <w:sz w:val="20"/>
                <w:szCs w:val="20"/>
                <w:color w:val="auto"/>
              </w:rPr>
            </w:pPr>
            <w:r>
              <w:rPr>
                <w:rFonts w:ascii="Calibri" w:cs="Calibri" w:eastAsia="Calibri" w:hAnsi="Calibri"/>
                <w:sz w:val="22"/>
                <w:szCs w:val="22"/>
                <w:color w:val="auto"/>
              </w:rPr>
              <w:t>No</w:t>
            </w:r>
          </w:p>
        </w:tc>
      </w:tr>
      <w:tr>
        <w:trPr>
          <w:trHeight w:val="238"/>
        </w:trPr>
        <w:tc>
          <w:tcPr>
            <w:tcW w:w="1350" w:type="dxa"/>
            <w:vAlign w:val="bottom"/>
            <w:shd w:val="clear" w:color="auto" w:fill="F2F2F2"/>
          </w:tcPr>
          <w:p>
            <w:pPr>
              <w:spacing w:after="0"/>
              <w:rPr>
                <w:sz w:val="20"/>
                <w:szCs w:val="20"/>
                <w:color w:val="auto"/>
              </w:rPr>
            </w:pPr>
          </w:p>
        </w:tc>
        <w:tc>
          <w:tcPr>
            <w:tcW w:w="1320" w:type="dxa"/>
            <w:vAlign w:val="bottom"/>
            <w:shd w:val="clear" w:color="auto" w:fill="F2F2F2"/>
          </w:tcPr>
          <w:p>
            <w:pPr>
              <w:ind w:left="50"/>
              <w:spacing w:after="0" w:line="238" w:lineRule="exact"/>
              <w:rPr>
                <w:sz w:val="20"/>
                <w:szCs w:val="20"/>
                <w:color w:val="auto"/>
              </w:rPr>
            </w:pPr>
            <w:r>
              <w:rPr>
                <w:rFonts w:ascii="Calibri" w:cs="Calibri" w:eastAsia="Calibri" w:hAnsi="Calibri"/>
                <w:sz w:val="20"/>
                <w:szCs w:val="20"/>
                <w:color w:val="auto"/>
              </w:rPr>
              <w:t>comedy</w:t>
            </w:r>
          </w:p>
        </w:tc>
        <w:tc>
          <w:tcPr>
            <w:tcW w:w="1210" w:type="dxa"/>
            <w:vAlign w:val="bottom"/>
            <w:shd w:val="clear" w:color="auto" w:fill="F2F2F2"/>
          </w:tcPr>
          <w:p>
            <w:pPr>
              <w:spacing w:after="0"/>
              <w:rPr>
                <w:sz w:val="20"/>
                <w:szCs w:val="20"/>
                <w:color w:val="auto"/>
              </w:rPr>
            </w:pPr>
          </w:p>
        </w:tc>
      </w:tr>
      <w:tr>
        <w:trPr>
          <w:trHeight w:val="252"/>
        </w:trPr>
        <w:tc>
          <w:tcPr>
            <w:tcW w:w="1350" w:type="dxa"/>
            <w:vAlign w:val="bottom"/>
            <w:shd w:val="clear" w:color="auto" w:fill="F2F2F2"/>
          </w:tcPr>
          <w:p>
            <w:pPr>
              <w:spacing w:after="0"/>
              <w:rPr>
                <w:sz w:val="21"/>
                <w:szCs w:val="21"/>
                <w:color w:val="auto"/>
              </w:rPr>
            </w:pPr>
          </w:p>
        </w:tc>
        <w:tc>
          <w:tcPr>
            <w:tcW w:w="1320" w:type="dxa"/>
            <w:vAlign w:val="bottom"/>
            <w:shd w:val="clear" w:color="auto" w:fill="F2F2F2"/>
          </w:tcPr>
          <w:p>
            <w:pPr>
              <w:ind w:left="50"/>
              <w:spacing w:after="0"/>
              <w:rPr>
                <w:sz w:val="20"/>
                <w:szCs w:val="20"/>
                <w:color w:val="auto"/>
              </w:rPr>
            </w:pPr>
            <w:r>
              <w:rPr>
                <w:rFonts w:ascii="Calibri" w:cs="Calibri" w:eastAsia="Calibri" w:hAnsi="Calibri"/>
                <w:sz w:val="20"/>
                <w:szCs w:val="20"/>
                <w:color w:val="auto"/>
              </w:rPr>
              <w:t>show</w:t>
            </w:r>
          </w:p>
        </w:tc>
        <w:tc>
          <w:tcPr>
            <w:tcW w:w="1210" w:type="dxa"/>
            <w:vAlign w:val="bottom"/>
            <w:shd w:val="clear" w:color="auto" w:fill="F2F2F2"/>
          </w:tcPr>
          <w:p>
            <w:pPr>
              <w:spacing w:after="0"/>
              <w:rPr>
                <w:sz w:val="21"/>
                <w:szCs w:val="21"/>
                <w:color w:val="auto"/>
              </w:rPr>
            </w:pPr>
          </w:p>
        </w:tc>
      </w:tr>
      <w:tr>
        <w:trPr>
          <w:trHeight w:val="260"/>
        </w:trPr>
        <w:tc>
          <w:tcPr>
            <w:tcW w:w="1350" w:type="dxa"/>
            <w:vAlign w:val="bottom"/>
          </w:tcPr>
          <w:p>
            <w:pPr>
              <w:ind w:left="100"/>
              <w:spacing w:after="0" w:line="238" w:lineRule="exact"/>
              <w:rPr>
                <w:sz w:val="20"/>
                <w:szCs w:val="20"/>
                <w:color w:val="auto"/>
              </w:rPr>
            </w:pPr>
            <w:r>
              <w:rPr>
                <w:rFonts w:ascii="Calibri" w:cs="Calibri" w:eastAsia="Calibri" w:hAnsi="Calibri"/>
                <w:sz w:val="20"/>
                <w:szCs w:val="20"/>
                <w:b w:val="1"/>
                <w:bCs w:val="1"/>
                <w:color w:val="auto"/>
              </w:rPr>
              <w:t>Success</w:t>
            </w:r>
          </w:p>
        </w:tc>
        <w:tc>
          <w:tcPr>
            <w:tcW w:w="1320" w:type="dxa"/>
            <w:vAlign w:val="bottom"/>
          </w:tcPr>
          <w:p>
            <w:pPr>
              <w:ind w:left="50"/>
              <w:spacing w:after="0" w:line="238" w:lineRule="exact"/>
              <w:rPr>
                <w:sz w:val="20"/>
                <w:szCs w:val="20"/>
                <w:color w:val="auto"/>
              </w:rPr>
            </w:pPr>
            <w:r>
              <w:rPr>
                <w:rFonts w:ascii="Calibri" w:cs="Calibri" w:eastAsia="Calibri" w:hAnsi="Calibri"/>
                <w:sz w:val="20"/>
                <w:szCs w:val="20"/>
                <w:color w:val="auto"/>
              </w:rPr>
              <w:t>Original</w:t>
            </w:r>
          </w:p>
        </w:tc>
        <w:tc>
          <w:tcPr>
            <w:tcW w:w="1210" w:type="dxa"/>
            <w:vAlign w:val="bottom"/>
          </w:tcPr>
          <w:p>
            <w:pPr>
              <w:ind w:left="410"/>
              <w:spacing w:after="0" w:line="260" w:lineRule="exact"/>
              <w:rPr>
                <w:sz w:val="20"/>
                <w:szCs w:val="20"/>
                <w:color w:val="auto"/>
              </w:rPr>
            </w:pPr>
            <w:r>
              <w:rPr>
                <w:rFonts w:ascii="Calibri" w:cs="Calibri" w:eastAsia="Calibri" w:hAnsi="Calibri"/>
                <w:sz w:val="22"/>
                <w:szCs w:val="22"/>
                <w:color w:val="auto"/>
              </w:rPr>
              <w:t>Yes</w:t>
            </w:r>
          </w:p>
        </w:tc>
      </w:tr>
      <w:tr>
        <w:trPr>
          <w:trHeight w:val="220"/>
        </w:trPr>
        <w:tc>
          <w:tcPr>
            <w:tcW w:w="1350" w:type="dxa"/>
            <w:vAlign w:val="bottom"/>
          </w:tcPr>
          <w:p>
            <w:pPr>
              <w:spacing w:after="0"/>
              <w:rPr>
                <w:sz w:val="19"/>
                <w:szCs w:val="19"/>
                <w:color w:val="auto"/>
              </w:rPr>
            </w:pPr>
          </w:p>
        </w:tc>
        <w:tc>
          <w:tcPr>
            <w:tcW w:w="1320" w:type="dxa"/>
            <w:vAlign w:val="bottom"/>
          </w:tcPr>
          <w:p>
            <w:pPr>
              <w:ind w:left="50"/>
              <w:spacing w:after="0" w:line="219" w:lineRule="exact"/>
              <w:rPr>
                <w:sz w:val="20"/>
                <w:szCs w:val="20"/>
                <w:color w:val="auto"/>
              </w:rPr>
            </w:pPr>
            <w:r>
              <w:rPr>
                <w:rFonts w:ascii="Calibri" w:cs="Calibri" w:eastAsia="Calibri" w:hAnsi="Calibri"/>
                <w:sz w:val="20"/>
                <w:szCs w:val="20"/>
                <w:color w:val="auto"/>
              </w:rPr>
              <w:t>musical for</w:t>
            </w:r>
          </w:p>
        </w:tc>
        <w:tc>
          <w:tcPr>
            <w:tcW w:w="1210" w:type="dxa"/>
            <w:vAlign w:val="bottom"/>
          </w:tcPr>
          <w:p>
            <w:pPr>
              <w:spacing w:after="0"/>
              <w:rPr>
                <w:sz w:val="19"/>
                <w:szCs w:val="19"/>
                <w:color w:val="auto"/>
              </w:rPr>
            </w:pPr>
          </w:p>
        </w:tc>
      </w:tr>
      <w:tr>
        <w:trPr>
          <w:trHeight w:val="248"/>
        </w:trPr>
        <w:tc>
          <w:tcPr>
            <w:tcW w:w="1350" w:type="dxa"/>
            <w:vAlign w:val="bottom"/>
          </w:tcPr>
          <w:p>
            <w:pPr>
              <w:spacing w:after="0"/>
              <w:rPr>
                <w:sz w:val="21"/>
                <w:szCs w:val="21"/>
                <w:color w:val="auto"/>
              </w:rPr>
            </w:pPr>
          </w:p>
        </w:tc>
        <w:tc>
          <w:tcPr>
            <w:tcW w:w="1320" w:type="dxa"/>
            <w:vAlign w:val="bottom"/>
          </w:tcPr>
          <w:p>
            <w:pPr>
              <w:ind w:left="50"/>
              <w:spacing w:after="0"/>
              <w:rPr>
                <w:sz w:val="20"/>
                <w:szCs w:val="20"/>
                <w:color w:val="auto"/>
              </w:rPr>
            </w:pPr>
            <w:r>
              <w:rPr>
                <w:rFonts w:ascii="Calibri" w:cs="Calibri" w:eastAsia="Calibri" w:hAnsi="Calibri"/>
                <w:sz w:val="20"/>
                <w:szCs w:val="20"/>
                <w:color w:val="auto"/>
              </w:rPr>
              <w:t>children</w:t>
            </w:r>
          </w:p>
        </w:tc>
        <w:tc>
          <w:tcPr>
            <w:tcW w:w="1210" w:type="dxa"/>
            <w:vAlign w:val="bottom"/>
          </w:tcPr>
          <w:p>
            <w:pPr>
              <w:spacing w:after="0"/>
              <w:rPr>
                <w:sz w:val="21"/>
                <w:szCs w:val="21"/>
                <w:color w:val="auto"/>
              </w:rPr>
            </w:pPr>
          </w:p>
        </w:tc>
      </w:tr>
      <w:tr>
        <w:trPr>
          <w:trHeight w:val="246"/>
        </w:trPr>
        <w:tc>
          <w:tcPr>
            <w:tcW w:w="1350" w:type="dxa"/>
            <w:vAlign w:val="bottom"/>
            <w:shd w:val="clear" w:color="auto" w:fill="F2F2F2"/>
          </w:tcPr>
          <w:p>
            <w:pPr>
              <w:ind w:left="100"/>
              <w:spacing w:after="0" w:line="242" w:lineRule="exact"/>
              <w:rPr>
                <w:sz w:val="20"/>
                <w:szCs w:val="20"/>
                <w:color w:val="auto"/>
              </w:rPr>
            </w:pPr>
            <w:r>
              <w:rPr>
                <w:rFonts w:ascii="Calibri" w:cs="Calibri" w:eastAsia="Calibri" w:hAnsi="Calibri"/>
                <w:sz w:val="20"/>
                <w:szCs w:val="20"/>
                <w:b w:val="1"/>
                <w:bCs w:val="1"/>
                <w:color w:val="auto"/>
              </w:rPr>
              <w:t>Success</w:t>
            </w:r>
          </w:p>
        </w:tc>
        <w:tc>
          <w:tcPr>
            <w:tcW w:w="1320" w:type="dxa"/>
            <w:vAlign w:val="bottom"/>
            <w:shd w:val="clear" w:color="auto" w:fill="F2F2F2"/>
          </w:tcPr>
          <w:p>
            <w:pPr>
              <w:ind w:left="50"/>
              <w:spacing w:after="0" w:line="242" w:lineRule="exact"/>
              <w:rPr>
                <w:sz w:val="20"/>
                <w:szCs w:val="20"/>
                <w:color w:val="auto"/>
              </w:rPr>
            </w:pPr>
            <w:r>
              <w:rPr>
                <w:rFonts w:ascii="Calibri" w:cs="Calibri" w:eastAsia="Calibri" w:hAnsi="Calibri"/>
                <w:sz w:val="20"/>
                <w:szCs w:val="20"/>
                <w:color w:val="auto"/>
              </w:rPr>
              <w:t>Production</w:t>
            </w:r>
          </w:p>
        </w:tc>
        <w:tc>
          <w:tcPr>
            <w:tcW w:w="1210" w:type="dxa"/>
            <w:vAlign w:val="bottom"/>
            <w:shd w:val="clear" w:color="auto" w:fill="F2F2F2"/>
          </w:tcPr>
          <w:p>
            <w:pPr>
              <w:ind w:left="410"/>
              <w:spacing w:after="0" w:line="246" w:lineRule="exact"/>
              <w:rPr>
                <w:sz w:val="20"/>
                <w:szCs w:val="20"/>
                <w:color w:val="auto"/>
              </w:rPr>
            </w:pPr>
            <w:r>
              <w:rPr>
                <w:rFonts w:ascii="Calibri" w:cs="Calibri" w:eastAsia="Calibri" w:hAnsi="Calibri"/>
                <w:sz w:val="22"/>
                <w:szCs w:val="22"/>
                <w:color w:val="auto"/>
              </w:rPr>
              <w:t>Yes</w:t>
            </w:r>
          </w:p>
        </w:tc>
      </w:tr>
      <w:tr>
        <w:trPr>
          <w:trHeight w:val="238"/>
        </w:trPr>
        <w:tc>
          <w:tcPr>
            <w:tcW w:w="1350" w:type="dxa"/>
            <w:vAlign w:val="bottom"/>
            <w:shd w:val="clear" w:color="auto" w:fill="F2F2F2"/>
          </w:tcPr>
          <w:p>
            <w:pPr>
              <w:spacing w:after="0"/>
              <w:rPr>
                <w:sz w:val="20"/>
                <w:szCs w:val="20"/>
                <w:color w:val="auto"/>
              </w:rPr>
            </w:pPr>
          </w:p>
        </w:tc>
        <w:tc>
          <w:tcPr>
            <w:tcW w:w="1320" w:type="dxa"/>
            <w:vAlign w:val="bottom"/>
            <w:shd w:val="clear" w:color="auto" w:fill="F2F2F2"/>
          </w:tcPr>
          <w:p>
            <w:pPr>
              <w:ind w:left="50"/>
              <w:spacing w:after="0" w:line="238" w:lineRule="exact"/>
              <w:rPr>
                <w:sz w:val="20"/>
                <w:szCs w:val="20"/>
                <w:color w:val="auto"/>
              </w:rPr>
            </w:pPr>
            <w:r>
              <w:rPr>
                <w:rFonts w:ascii="Calibri" w:cs="Calibri" w:eastAsia="Calibri" w:hAnsi="Calibri"/>
                <w:sz w:val="20"/>
                <w:szCs w:val="20"/>
                <w:color w:val="auto"/>
              </w:rPr>
              <w:t>of Macbeth</w:t>
            </w:r>
          </w:p>
        </w:tc>
        <w:tc>
          <w:tcPr>
            <w:tcW w:w="1210" w:type="dxa"/>
            <w:vAlign w:val="bottom"/>
            <w:shd w:val="clear" w:color="auto" w:fill="F2F2F2"/>
          </w:tcPr>
          <w:p>
            <w:pPr>
              <w:spacing w:after="0"/>
              <w:rPr>
                <w:sz w:val="20"/>
                <w:szCs w:val="20"/>
                <w:color w:val="auto"/>
              </w:rPr>
            </w:pPr>
          </w:p>
        </w:tc>
      </w:tr>
      <w:tr>
        <w:trPr>
          <w:trHeight w:val="96"/>
        </w:trPr>
        <w:tc>
          <w:tcPr>
            <w:tcW w:w="1350" w:type="dxa"/>
            <w:vAlign w:val="bottom"/>
            <w:shd w:val="clear" w:color="auto" w:fill="F2F2F2"/>
          </w:tcPr>
          <w:p>
            <w:pPr>
              <w:spacing w:after="0"/>
              <w:rPr>
                <w:sz w:val="8"/>
                <w:szCs w:val="8"/>
                <w:color w:val="auto"/>
              </w:rPr>
            </w:pPr>
          </w:p>
        </w:tc>
        <w:tc>
          <w:tcPr>
            <w:tcW w:w="1320" w:type="dxa"/>
            <w:vAlign w:val="bottom"/>
            <w:shd w:val="clear" w:color="auto" w:fill="F2F2F2"/>
          </w:tcPr>
          <w:p>
            <w:pPr>
              <w:spacing w:after="0"/>
              <w:rPr>
                <w:sz w:val="8"/>
                <w:szCs w:val="8"/>
                <w:color w:val="auto"/>
              </w:rPr>
            </w:pPr>
          </w:p>
        </w:tc>
        <w:tc>
          <w:tcPr>
            <w:tcW w:w="1210" w:type="dxa"/>
            <w:vAlign w:val="bottom"/>
            <w:shd w:val="clear" w:color="auto" w:fill="F2F2F2"/>
          </w:tcPr>
          <w:p>
            <w:pPr>
              <w:spacing w:after="0"/>
              <w:rPr>
                <w:sz w:val="8"/>
                <w:szCs w:val="8"/>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20"/>
        </w:trPr>
        <w:tc>
          <w:tcPr>
            <w:tcW w:w="5530" w:type="dxa"/>
            <w:vAlign w:val="bottom"/>
          </w:tcPr>
          <w:p>
            <w:pPr>
              <w:ind w:left="100"/>
              <w:spacing w:after="0"/>
              <w:rPr>
                <w:sz w:val="20"/>
                <w:szCs w:val="20"/>
                <w:color w:val="auto"/>
              </w:rPr>
            </w:pPr>
            <w:r>
              <w:rPr>
                <w:rFonts w:ascii="Calibri" w:cs="Calibri" w:eastAsia="Calibri" w:hAnsi="Calibri"/>
                <w:sz w:val="18"/>
                <w:szCs w:val="18"/>
                <w:color w:val="auto"/>
              </w:rPr>
              <w:t>Ran for 4 days in New York, run cut short.</w:t>
            </w:r>
          </w:p>
        </w:tc>
        <w:tc>
          <w:tcPr>
            <w:tcW w:w="4190" w:type="dxa"/>
            <w:vAlign w:val="bottom"/>
          </w:tcPr>
          <w:p>
            <w:pPr>
              <w:ind w:left="50"/>
              <w:spacing w:after="0"/>
              <w:rPr>
                <w:sz w:val="20"/>
                <w:szCs w:val="20"/>
                <w:color w:val="auto"/>
              </w:rPr>
            </w:pPr>
            <w:r>
              <w:rPr>
                <w:rFonts w:ascii="Calibri" w:cs="Calibri" w:eastAsia="Calibri" w:hAnsi="Calibri"/>
                <w:sz w:val="18"/>
                <w:szCs w:val="18"/>
                <w:color w:val="auto"/>
              </w:rPr>
              <w:t>Negative local reviews.</w:t>
            </w:r>
          </w:p>
        </w:tc>
      </w:tr>
      <w:tr>
        <w:trPr>
          <w:trHeight w:val="74"/>
        </w:trPr>
        <w:tc>
          <w:tcPr>
            <w:tcW w:w="5530" w:type="dxa"/>
            <w:vAlign w:val="bottom"/>
          </w:tcPr>
          <w:p>
            <w:pPr>
              <w:spacing w:after="0"/>
              <w:rPr>
                <w:sz w:val="6"/>
                <w:szCs w:val="6"/>
                <w:color w:val="auto"/>
              </w:rPr>
            </w:pPr>
          </w:p>
        </w:tc>
        <w:tc>
          <w:tcPr>
            <w:tcW w:w="4190" w:type="dxa"/>
            <w:vAlign w:val="bottom"/>
          </w:tcPr>
          <w:p>
            <w:pPr>
              <w:spacing w:after="0"/>
              <w:rPr>
                <w:sz w:val="6"/>
                <w:szCs w:val="6"/>
                <w:color w:val="auto"/>
              </w:rPr>
            </w:pPr>
          </w:p>
        </w:tc>
      </w:tr>
      <w:tr>
        <w:trPr>
          <w:trHeight w:val="215"/>
        </w:trPr>
        <w:tc>
          <w:tcPr>
            <w:tcW w:w="5530" w:type="dxa"/>
            <w:vAlign w:val="bottom"/>
            <w:shd w:val="clear" w:color="auto" w:fill="F2F2F2"/>
          </w:tcPr>
          <w:p>
            <w:pPr>
              <w:ind w:left="100"/>
              <w:spacing w:after="0" w:line="215" w:lineRule="exact"/>
              <w:rPr>
                <w:sz w:val="20"/>
                <w:szCs w:val="20"/>
                <w:color w:val="auto"/>
              </w:rPr>
            </w:pPr>
            <w:r>
              <w:rPr>
                <w:rFonts w:ascii="Calibri" w:cs="Calibri" w:eastAsia="Calibri" w:hAnsi="Calibri"/>
                <w:sz w:val="18"/>
                <w:szCs w:val="18"/>
                <w:color w:val="auto"/>
              </w:rPr>
              <w:t>Two shows in New York with a total of 130 people. They were hoping</w:t>
            </w:r>
          </w:p>
        </w:tc>
        <w:tc>
          <w:tcPr>
            <w:tcW w:w="4190" w:type="dxa"/>
            <w:vAlign w:val="bottom"/>
            <w:shd w:val="clear" w:color="auto" w:fill="F2F2F2"/>
          </w:tcPr>
          <w:p>
            <w:pPr>
              <w:ind w:left="50"/>
              <w:spacing w:after="0" w:line="215" w:lineRule="exact"/>
              <w:rPr>
                <w:sz w:val="20"/>
                <w:szCs w:val="20"/>
                <w:color w:val="auto"/>
              </w:rPr>
            </w:pPr>
            <w:r>
              <w:rPr>
                <w:rFonts w:ascii="Calibri" w:cs="Calibri" w:eastAsia="Calibri" w:hAnsi="Calibri"/>
                <w:sz w:val="18"/>
                <w:szCs w:val="18"/>
                <w:color w:val="auto"/>
              </w:rPr>
              <w:t>No official coverage in publications</w:t>
            </w:r>
          </w:p>
        </w:tc>
      </w:tr>
      <w:tr>
        <w:trPr>
          <w:trHeight w:val="221"/>
        </w:trPr>
        <w:tc>
          <w:tcPr>
            <w:tcW w:w="5530" w:type="dxa"/>
            <w:vAlign w:val="bottom"/>
            <w:shd w:val="clear" w:color="auto" w:fill="F2F2F2"/>
          </w:tcPr>
          <w:p>
            <w:pPr>
              <w:ind w:left="100"/>
              <w:spacing w:after="0"/>
              <w:rPr>
                <w:sz w:val="20"/>
                <w:szCs w:val="20"/>
                <w:color w:val="auto"/>
              </w:rPr>
            </w:pPr>
            <w:r>
              <w:rPr>
                <w:rFonts w:ascii="Calibri" w:cs="Calibri" w:eastAsia="Calibri" w:hAnsi="Calibri"/>
                <w:sz w:val="18"/>
                <w:szCs w:val="18"/>
                <w:color w:val="auto"/>
              </w:rPr>
              <w:t>to raise additional funding, but failed.</w:t>
            </w:r>
          </w:p>
        </w:tc>
        <w:tc>
          <w:tcPr>
            <w:tcW w:w="4190" w:type="dxa"/>
            <w:vAlign w:val="bottom"/>
            <w:shd w:val="clear" w:color="auto" w:fill="F2F2F2"/>
          </w:tcPr>
          <w:p>
            <w:pPr>
              <w:spacing w:after="0"/>
              <w:rPr>
                <w:sz w:val="19"/>
                <w:szCs w:val="19"/>
                <w:color w:val="auto"/>
              </w:rPr>
            </w:pPr>
          </w:p>
        </w:tc>
      </w:tr>
      <w:tr>
        <w:trPr>
          <w:trHeight w:val="299"/>
        </w:trPr>
        <w:tc>
          <w:tcPr>
            <w:tcW w:w="5530" w:type="dxa"/>
            <w:vAlign w:val="bottom"/>
            <w:shd w:val="clear" w:color="auto" w:fill="F2F2F2"/>
          </w:tcPr>
          <w:p>
            <w:pPr>
              <w:spacing w:after="0"/>
              <w:rPr>
                <w:sz w:val="24"/>
                <w:szCs w:val="24"/>
                <w:color w:val="auto"/>
              </w:rPr>
            </w:pPr>
          </w:p>
        </w:tc>
        <w:tc>
          <w:tcPr>
            <w:tcW w:w="4190" w:type="dxa"/>
            <w:vAlign w:val="bottom"/>
            <w:shd w:val="clear" w:color="auto" w:fill="F2F2F2"/>
          </w:tcPr>
          <w:p>
            <w:pPr>
              <w:spacing w:after="0"/>
              <w:rPr>
                <w:sz w:val="24"/>
                <w:szCs w:val="24"/>
                <w:color w:val="auto"/>
              </w:rPr>
            </w:pPr>
          </w:p>
        </w:tc>
      </w:tr>
      <w:tr>
        <w:trPr>
          <w:trHeight w:val="214"/>
        </w:trPr>
        <w:tc>
          <w:tcPr>
            <w:tcW w:w="5530" w:type="dxa"/>
            <w:vAlign w:val="bottom"/>
          </w:tcPr>
          <w:p>
            <w:pPr>
              <w:ind w:left="100"/>
              <w:spacing w:after="0" w:line="215" w:lineRule="exact"/>
              <w:rPr>
                <w:sz w:val="20"/>
                <w:szCs w:val="20"/>
                <w:color w:val="auto"/>
              </w:rPr>
            </w:pPr>
            <w:r>
              <w:rPr>
                <w:rFonts w:ascii="Calibri" w:cs="Calibri" w:eastAsia="Calibri" w:hAnsi="Calibri"/>
                <w:sz w:val="18"/>
                <w:szCs w:val="18"/>
                <w:color w:val="auto"/>
              </w:rPr>
              <w:t>Show ran for two weeks in New York, with 2,000 audience members.</w:t>
            </w:r>
          </w:p>
        </w:tc>
        <w:tc>
          <w:tcPr>
            <w:tcW w:w="4190" w:type="dxa"/>
            <w:vAlign w:val="bottom"/>
          </w:tcPr>
          <w:p>
            <w:pPr>
              <w:ind w:left="50"/>
              <w:spacing w:after="0" w:line="215" w:lineRule="exact"/>
              <w:rPr>
                <w:sz w:val="20"/>
                <w:szCs w:val="20"/>
                <w:color w:val="auto"/>
              </w:rPr>
            </w:pPr>
            <w:r>
              <w:rPr>
                <w:rFonts w:ascii="Calibri" w:cs="Calibri" w:eastAsia="Calibri" w:hAnsi="Calibri"/>
                <w:sz w:val="18"/>
                <w:szCs w:val="18"/>
                <w:color w:val="auto"/>
              </w:rPr>
              <w:t>No official coverage in publications</w:t>
            </w:r>
          </w:p>
        </w:tc>
      </w:tr>
      <w:tr>
        <w:trPr>
          <w:trHeight w:val="218"/>
        </w:trPr>
        <w:tc>
          <w:tcPr>
            <w:tcW w:w="5530" w:type="dxa"/>
            <w:vAlign w:val="bottom"/>
          </w:tcPr>
          <w:p>
            <w:pPr>
              <w:ind w:left="100"/>
              <w:spacing w:after="0" w:line="218" w:lineRule="exact"/>
              <w:rPr>
                <w:sz w:val="20"/>
                <w:szCs w:val="20"/>
                <w:color w:val="auto"/>
              </w:rPr>
            </w:pPr>
            <w:r>
              <w:rPr>
                <w:rFonts w:ascii="Calibri" w:cs="Calibri" w:eastAsia="Calibri" w:hAnsi="Calibri"/>
                <w:sz w:val="18"/>
                <w:szCs w:val="18"/>
                <w:color w:val="auto"/>
              </w:rPr>
              <w:t>Licensed productions currently running in four states</w:t>
            </w:r>
          </w:p>
        </w:tc>
        <w:tc>
          <w:tcPr>
            <w:tcW w:w="4190" w:type="dxa"/>
            <w:vAlign w:val="bottom"/>
          </w:tcPr>
          <w:p>
            <w:pPr>
              <w:spacing w:after="0"/>
              <w:rPr>
                <w:sz w:val="18"/>
                <w:szCs w:val="18"/>
                <w:color w:val="auto"/>
              </w:rPr>
            </w:pPr>
          </w:p>
        </w:tc>
      </w:tr>
      <w:tr>
        <w:trPr>
          <w:trHeight w:val="299"/>
        </w:trPr>
        <w:tc>
          <w:tcPr>
            <w:tcW w:w="5530" w:type="dxa"/>
            <w:vAlign w:val="bottom"/>
          </w:tcPr>
          <w:p>
            <w:pPr>
              <w:spacing w:after="0"/>
              <w:rPr>
                <w:sz w:val="24"/>
                <w:szCs w:val="24"/>
                <w:color w:val="auto"/>
              </w:rPr>
            </w:pPr>
          </w:p>
        </w:tc>
        <w:tc>
          <w:tcPr>
            <w:tcW w:w="4190" w:type="dxa"/>
            <w:vAlign w:val="bottom"/>
          </w:tcPr>
          <w:p>
            <w:pPr>
              <w:spacing w:after="0"/>
              <w:rPr>
                <w:sz w:val="24"/>
                <w:szCs w:val="24"/>
                <w:color w:val="auto"/>
              </w:rPr>
            </w:pPr>
          </w:p>
        </w:tc>
      </w:tr>
      <w:tr>
        <w:trPr>
          <w:trHeight w:val="214"/>
        </w:trPr>
        <w:tc>
          <w:tcPr>
            <w:tcW w:w="5530" w:type="dxa"/>
            <w:vAlign w:val="bottom"/>
            <w:shd w:val="clear" w:color="auto" w:fill="F2F2F2"/>
          </w:tcPr>
          <w:p>
            <w:pPr>
              <w:ind w:left="100"/>
              <w:spacing w:after="0" w:line="215" w:lineRule="exact"/>
              <w:rPr>
                <w:sz w:val="20"/>
                <w:szCs w:val="20"/>
                <w:color w:val="auto"/>
              </w:rPr>
            </w:pPr>
            <w:r>
              <w:rPr>
                <w:rFonts w:ascii="Calibri" w:cs="Calibri" w:eastAsia="Calibri" w:hAnsi="Calibri"/>
                <w:sz w:val="18"/>
                <w:szCs w:val="18"/>
                <w:color w:val="auto"/>
              </w:rPr>
              <w:t>Show ran in local market, 250 people attended</w:t>
            </w:r>
          </w:p>
        </w:tc>
        <w:tc>
          <w:tcPr>
            <w:tcW w:w="4190" w:type="dxa"/>
            <w:vAlign w:val="bottom"/>
            <w:shd w:val="clear" w:color="auto" w:fill="F2F2F2"/>
          </w:tcPr>
          <w:p>
            <w:pPr>
              <w:ind w:left="50"/>
              <w:spacing w:after="0" w:line="215" w:lineRule="exact"/>
              <w:rPr>
                <w:sz w:val="20"/>
                <w:szCs w:val="20"/>
                <w:color w:val="auto"/>
              </w:rPr>
            </w:pPr>
            <w:r>
              <w:rPr>
                <w:rFonts w:ascii="Calibri" w:cs="Calibri" w:eastAsia="Calibri" w:hAnsi="Calibri"/>
                <w:sz w:val="18"/>
                <w:szCs w:val="18"/>
                <w:color w:val="auto"/>
              </w:rPr>
              <w:t>No official coverage in publications</w:t>
            </w:r>
          </w:p>
        </w:tc>
      </w:tr>
      <w:tr>
        <w:trPr>
          <w:trHeight w:val="362"/>
        </w:trPr>
        <w:tc>
          <w:tcPr>
            <w:tcW w:w="5530" w:type="dxa"/>
            <w:vAlign w:val="bottom"/>
            <w:shd w:val="clear" w:color="auto" w:fill="F2F2F2"/>
          </w:tcPr>
          <w:p>
            <w:pPr>
              <w:spacing w:after="0"/>
              <w:rPr>
                <w:sz w:val="24"/>
                <w:szCs w:val="24"/>
                <w:color w:val="auto"/>
              </w:rPr>
            </w:pPr>
          </w:p>
        </w:tc>
        <w:tc>
          <w:tcPr>
            <w:tcW w:w="4190" w:type="dxa"/>
            <w:vAlign w:val="bottom"/>
            <w:shd w:val="clear" w:color="auto" w:fill="F2F2F2"/>
          </w:tcPr>
          <w:p>
            <w:pPr>
              <w:spacing w:after="0"/>
              <w:rPr>
                <w:sz w:val="24"/>
                <w:szCs w:val="24"/>
                <w:color w:val="auto"/>
              </w:rPr>
            </w:pPr>
          </w:p>
        </w:tc>
      </w:tr>
    </w:tbl>
    <w:p>
      <w:pPr>
        <w:spacing w:after="0" w:line="1" w:lineRule="exact"/>
        <w:rPr>
          <w:sz w:val="20"/>
          <w:szCs w:val="20"/>
          <w:color w:val="auto"/>
        </w:rPr>
      </w:pPr>
    </w:p>
    <w:p>
      <w:pPr>
        <w:sectPr>
          <w:pgSz w:w="15840" w:h="12240" w:orient="landscape"/>
          <w:cols w:equalWidth="0" w:num="2">
            <w:col w:w="3880" w:space="0"/>
            <w:col w:w="9720"/>
          </w:cols>
          <w:pgMar w:left="1440" w:top="1440" w:right="800" w:bottom="474" w:gutter="0" w:footer="0" w:header="0"/>
          <w:type w:val="continuous"/>
        </w:sectPr>
      </w:pPr>
    </w:p>
    <w:tbl>
      <w:tblPr>
        <w:tblLayout w:type="fixed"/>
        <w:tblInd w:w="0" w:type="dxa"/>
        <w:tblCellMar>
          <w:top w:w="0" w:type="dxa"/>
          <w:left w:w="0" w:type="dxa"/>
          <w:bottom w:w="0" w:type="dxa"/>
          <w:right w:w="0" w:type="dxa"/>
        </w:tblCellMar>
      </w:tblPr>
      <w:tr>
        <w:trPr>
          <w:trHeight w:val="260"/>
        </w:trPr>
        <w:tc>
          <w:tcPr>
            <w:tcW w:w="1350" w:type="dxa"/>
            <w:vAlign w:val="bottom"/>
          </w:tcPr>
          <w:p>
            <w:pPr>
              <w:ind w:left="100"/>
              <w:spacing w:after="0" w:line="238" w:lineRule="exact"/>
              <w:rPr>
                <w:sz w:val="20"/>
                <w:szCs w:val="20"/>
                <w:color w:val="auto"/>
              </w:rPr>
            </w:pPr>
            <w:r>
              <w:rPr>
                <w:rFonts w:ascii="Calibri" w:cs="Calibri" w:eastAsia="Calibri" w:hAnsi="Calibri"/>
                <w:sz w:val="20"/>
                <w:szCs w:val="20"/>
                <w:b w:val="1"/>
                <w:bCs w:val="1"/>
                <w:color w:val="auto"/>
              </w:rPr>
              <w:t>Success</w:t>
            </w:r>
          </w:p>
        </w:tc>
        <w:tc>
          <w:tcPr>
            <w:tcW w:w="1320" w:type="dxa"/>
            <w:vAlign w:val="bottom"/>
          </w:tcPr>
          <w:p>
            <w:pPr>
              <w:ind w:left="50"/>
              <w:spacing w:after="0" w:line="238" w:lineRule="exact"/>
              <w:rPr>
                <w:sz w:val="20"/>
                <w:szCs w:val="20"/>
                <w:color w:val="auto"/>
              </w:rPr>
            </w:pPr>
            <w:r>
              <w:rPr>
                <w:rFonts w:ascii="Calibri" w:cs="Calibri" w:eastAsia="Calibri" w:hAnsi="Calibri"/>
                <w:sz w:val="20"/>
                <w:szCs w:val="20"/>
                <w:color w:val="auto"/>
              </w:rPr>
              <w:t>Original play</w:t>
            </w:r>
          </w:p>
        </w:tc>
        <w:tc>
          <w:tcPr>
            <w:tcW w:w="1210" w:type="dxa"/>
            <w:vAlign w:val="bottom"/>
          </w:tcPr>
          <w:p>
            <w:pPr>
              <w:ind w:left="410"/>
              <w:spacing w:after="0" w:line="260" w:lineRule="exact"/>
              <w:rPr>
                <w:sz w:val="20"/>
                <w:szCs w:val="20"/>
                <w:color w:val="auto"/>
              </w:rPr>
            </w:pPr>
            <w:r>
              <w:rPr>
                <w:rFonts w:ascii="Calibri" w:cs="Calibri" w:eastAsia="Calibri" w:hAnsi="Calibri"/>
                <w:sz w:val="22"/>
                <w:szCs w:val="22"/>
                <w:color w:val="auto"/>
              </w:rPr>
              <w:t>Yes</w:t>
            </w:r>
          </w:p>
        </w:tc>
      </w:tr>
      <w:tr>
        <w:trPr>
          <w:trHeight w:val="28"/>
        </w:trPr>
        <w:tc>
          <w:tcPr>
            <w:tcW w:w="1350" w:type="dxa"/>
            <w:vAlign w:val="bottom"/>
          </w:tcPr>
          <w:p>
            <w:pPr>
              <w:spacing w:after="0"/>
              <w:rPr>
                <w:sz w:val="2"/>
                <w:szCs w:val="2"/>
                <w:color w:val="auto"/>
              </w:rPr>
            </w:pPr>
          </w:p>
        </w:tc>
        <w:tc>
          <w:tcPr>
            <w:tcW w:w="1320" w:type="dxa"/>
            <w:vAlign w:val="bottom"/>
          </w:tcPr>
          <w:p>
            <w:pPr>
              <w:spacing w:after="0"/>
              <w:rPr>
                <w:sz w:val="2"/>
                <w:szCs w:val="2"/>
                <w:color w:val="auto"/>
              </w:rPr>
            </w:pPr>
          </w:p>
        </w:tc>
        <w:tc>
          <w:tcPr>
            <w:tcW w:w="1210" w:type="dxa"/>
            <w:vAlign w:val="bottom"/>
          </w:tcPr>
          <w:p>
            <w:pPr>
              <w:spacing w:after="0"/>
              <w:rPr>
                <w:sz w:val="2"/>
                <w:szCs w:val="2"/>
                <w:color w:val="auto"/>
              </w:rPr>
            </w:pPr>
          </w:p>
        </w:tc>
      </w:tr>
      <w:tr>
        <w:trPr>
          <w:trHeight w:val="242"/>
        </w:trPr>
        <w:tc>
          <w:tcPr>
            <w:tcW w:w="1350" w:type="dxa"/>
            <w:vAlign w:val="bottom"/>
            <w:shd w:val="clear" w:color="auto" w:fill="F2F2F2"/>
          </w:tcPr>
          <w:p>
            <w:pPr>
              <w:ind w:left="100"/>
              <w:spacing w:after="0" w:line="238" w:lineRule="exact"/>
              <w:rPr>
                <w:sz w:val="20"/>
                <w:szCs w:val="20"/>
                <w:color w:val="auto"/>
              </w:rPr>
            </w:pPr>
            <w:r>
              <w:rPr>
                <w:rFonts w:ascii="Calibri" w:cs="Calibri" w:eastAsia="Calibri" w:hAnsi="Calibri"/>
                <w:sz w:val="20"/>
                <w:szCs w:val="20"/>
                <w:b w:val="1"/>
                <w:bCs w:val="1"/>
                <w:color w:val="auto"/>
              </w:rPr>
              <w:t>Success</w:t>
            </w:r>
          </w:p>
        </w:tc>
        <w:tc>
          <w:tcPr>
            <w:tcW w:w="1320" w:type="dxa"/>
            <w:vAlign w:val="bottom"/>
            <w:shd w:val="clear" w:color="auto" w:fill="F2F2F2"/>
          </w:tcPr>
          <w:p>
            <w:pPr>
              <w:ind w:left="50"/>
              <w:spacing w:after="0" w:line="238" w:lineRule="exact"/>
              <w:rPr>
                <w:sz w:val="20"/>
                <w:szCs w:val="20"/>
                <w:color w:val="auto"/>
              </w:rPr>
            </w:pPr>
            <w:r>
              <w:rPr>
                <w:rFonts w:ascii="Calibri" w:cs="Calibri" w:eastAsia="Calibri" w:hAnsi="Calibri"/>
                <w:sz w:val="20"/>
                <w:szCs w:val="20"/>
                <w:color w:val="auto"/>
              </w:rPr>
              <w:t>Concert</w:t>
            </w:r>
          </w:p>
        </w:tc>
        <w:tc>
          <w:tcPr>
            <w:tcW w:w="1210" w:type="dxa"/>
            <w:vAlign w:val="bottom"/>
            <w:shd w:val="clear" w:color="auto" w:fill="F2F2F2"/>
          </w:tcPr>
          <w:p>
            <w:pPr>
              <w:ind w:left="430"/>
              <w:spacing w:after="0" w:line="242" w:lineRule="exact"/>
              <w:rPr>
                <w:sz w:val="20"/>
                <w:szCs w:val="20"/>
                <w:color w:val="auto"/>
              </w:rPr>
            </w:pPr>
            <w:r>
              <w:rPr>
                <w:rFonts w:ascii="Calibri" w:cs="Calibri" w:eastAsia="Calibri" w:hAnsi="Calibri"/>
                <w:sz w:val="22"/>
                <w:szCs w:val="22"/>
                <w:color w:val="auto"/>
              </w:rPr>
              <w:t>No</w:t>
            </w:r>
          </w:p>
        </w:tc>
      </w:tr>
      <w:tr>
        <w:trPr>
          <w:trHeight w:val="238"/>
        </w:trPr>
        <w:tc>
          <w:tcPr>
            <w:tcW w:w="1350" w:type="dxa"/>
            <w:vAlign w:val="bottom"/>
            <w:shd w:val="clear" w:color="auto" w:fill="F2F2F2"/>
          </w:tcPr>
          <w:p>
            <w:pPr>
              <w:spacing w:after="0"/>
              <w:rPr>
                <w:sz w:val="20"/>
                <w:szCs w:val="20"/>
                <w:color w:val="auto"/>
              </w:rPr>
            </w:pPr>
          </w:p>
        </w:tc>
        <w:tc>
          <w:tcPr>
            <w:tcW w:w="1320" w:type="dxa"/>
            <w:vAlign w:val="bottom"/>
            <w:shd w:val="clear" w:color="auto" w:fill="F2F2F2"/>
          </w:tcPr>
          <w:p>
            <w:pPr>
              <w:ind w:left="50"/>
              <w:spacing w:after="0" w:line="238" w:lineRule="exact"/>
              <w:rPr>
                <w:sz w:val="20"/>
                <w:szCs w:val="20"/>
                <w:color w:val="auto"/>
              </w:rPr>
            </w:pPr>
            <w:r>
              <w:rPr>
                <w:rFonts w:ascii="Calibri" w:cs="Calibri" w:eastAsia="Calibri" w:hAnsi="Calibri"/>
                <w:sz w:val="20"/>
                <w:szCs w:val="20"/>
                <w:color w:val="auto"/>
              </w:rPr>
              <w:t>staging of a</w:t>
            </w:r>
          </w:p>
        </w:tc>
        <w:tc>
          <w:tcPr>
            <w:tcW w:w="1210" w:type="dxa"/>
            <w:vAlign w:val="bottom"/>
            <w:shd w:val="clear" w:color="auto" w:fill="F2F2F2"/>
          </w:tcPr>
          <w:p>
            <w:pPr>
              <w:spacing w:after="0"/>
              <w:rPr>
                <w:sz w:val="20"/>
                <w:szCs w:val="20"/>
                <w:color w:val="auto"/>
              </w:rPr>
            </w:pPr>
          </w:p>
        </w:tc>
      </w:tr>
      <w:tr>
        <w:trPr>
          <w:trHeight w:val="245"/>
        </w:trPr>
        <w:tc>
          <w:tcPr>
            <w:tcW w:w="1350" w:type="dxa"/>
            <w:vAlign w:val="bottom"/>
            <w:shd w:val="clear" w:color="auto" w:fill="F2F2F2"/>
          </w:tcPr>
          <w:p>
            <w:pPr>
              <w:spacing w:after="0"/>
              <w:rPr>
                <w:sz w:val="21"/>
                <w:szCs w:val="21"/>
                <w:color w:val="auto"/>
              </w:rPr>
            </w:pPr>
          </w:p>
        </w:tc>
        <w:tc>
          <w:tcPr>
            <w:tcW w:w="1320" w:type="dxa"/>
            <w:vAlign w:val="bottom"/>
            <w:shd w:val="clear" w:color="auto" w:fill="F2F2F2"/>
          </w:tcPr>
          <w:p>
            <w:pPr>
              <w:ind w:left="50"/>
              <w:spacing w:after="0"/>
              <w:rPr>
                <w:sz w:val="20"/>
                <w:szCs w:val="20"/>
                <w:color w:val="auto"/>
              </w:rPr>
            </w:pPr>
            <w:r>
              <w:rPr>
                <w:rFonts w:ascii="Calibri" w:cs="Calibri" w:eastAsia="Calibri" w:hAnsi="Calibri"/>
                <w:sz w:val="20"/>
                <w:szCs w:val="20"/>
                <w:color w:val="auto"/>
              </w:rPr>
              <w:t>Broadway</w:t>
            </w:r>
          </w:p>
        </w:tc>
        <w:tc>
          <w:tcPr>
            <w:tcW w:w="1210" w:type="dxa"/>
            <w:vAlign w:val="bottom"/>
            <w:shd w:val="clear" w:color="auto" w:fill="F2F2F2"/>
          </w:tcPr>
          <w:p>
            <w:pPr>
              <w:spacing w:after="0"/>
              <w:rPr>
                <w:sz w:val="21"/>
                <w:szCs w:val="21"/>
                <w:color w:val="auto"/>
              </w:rPr>
            </w:pPr>
          </w:p>
        </w:tc>
      </w:tr>
      <w:tr>
        <w:trPr>
          <w:trHeight w:val="252"/>
        </w:trPr>
        <w:tc>
          <w:tcPr>
            <w:tcW w:w="1350" w:type="dxa"/>
            <w:vAlign w:val="bottom"/>
            <w:shd w:val="clear" w:color="auto" w:fill="F2F2F2"/>
          </w:tcPr>
          <w:p>
            <w:pPr>
              <w:spacing w:after="0"/>
              <w:rPr>
                <w:sz w:val="21"/>
                <w:szCs w:val="21"/>
                <w:color w:val="auto"/>
              </w:rPr>
            </w:pPr>
          </w:p>
        </w:tc>
        <w:tc>
          <w:tcPr>
            <w:tcW w:w="1320" w:type="dxa"/>
            <w:vAlign w:val="bottom"/>
            <w:shd w:val="clear" w:color="auto" w:fill="F2F2F2"/>
          </w:tcPr>
          <w:p>
            <w:pPr>
              <w:ind w:left="50"/>
              <w:spacing w:after="0"/>
              <w:rPr>
                <w:sz w:val="20"/>
                <w:szCs w:val="20"/>
                <w:color w:val="auto"/>
              </w:rPr>
            </w:pPr>
            <w:r>
              <w:rPr>
                <w:rFonts w:ascii="Calibri" w:cs="Calibri" w:eastAsia="Calibri" w:hAnsi="Calibri"/>
                <w:sz w:val="20"/>
                <w:szCs w:val="20"/>
                <w:color w:val="auto"/>
              </w:rPr>
              <w:t>play</w:t>
            </w:r>
          </w:p>
        </w:tc>
        <w:tc>
          <w:tcPr>
            <w:tcW w:w="1210" w:type="dxa"/>
            <w:vAlign w:val="bottom"/>
            <w:shd w:val="clear" w:color="auto" w:fill="F2F2F2"/>
          </w:tcPr>
          <w:p>
            <w:pPr>
              <w:spacing w:after="0"/>
              <w:rPr>
                <w:sz w:val="21"/>
                <w:szCs w:val="21"/>
                <w:color w:val="auto"/>
              </w:rPr>
            </w:pPr>
          </w:p>
        </w:tc>
      </w:tr>
      <w:tr>
        <w:trPr>
          <w:trHeight w:val="260"/>
        </w:trPr>
        <w:tc>
          <w:tcPr>
            <w:tcW w:w="1350" w:type="dxa"/>
            <w:vAlign w:val="bottom"/>
          </w:tcPr>
          <w:p>
            <w:pPr>
              <w:ind w:left="100"/>
              <w:spacing w:after="0" w:line="238" w:lineRule="exact"/>
              <w:rPr>
                <w:sz w:val="20"/>
                <w:szCs w:val="20"/>
                <w:color w:val="auto"/>
              </w:rPr>
            </w:pPr>
            <w:r>
              <w:rPr>
                <w:rFonts w:ascii="Calibri" w:cs="Calibri" w:eastAsia="Calibri" w:hAnsi="Calibri"/>
                <w:sz w:val="20"/>
                <w:szCs w:val="20"/>
                <w:b w:val="1"/>
                <w:bCs w:val="1"/>
                <w:color w:val="auto"/>
              </w:rPr>
              <w:t>Success</w:t>
            </w:r>
          </w:p>
        </w:tc>
        <w:tc>
          <w:tcPr>
            <w:tcW w:w="1320" w:type="dxa"/>
            <w:vAlign w:val="bottom"/>
          </w:tcPr>
          <w:p>
            <w:pPr>
              <w:ind w:left="50"/>
              <w:spacing w:after="0" w:line="238" w:lineRule="exact"/>
              <w:rPr>
                <w:sz w:val="20"/>
                <w:szCs w:val="20"/>
                <w:color w:val="auto"/>
              </w:rPr>
            </w:pPr>
            <w:r>
              <w:rPr>
                <w:rFonts w:ascii="Calibri" w:cs="Calibri" w:eastAsia="Calibri" w:hAnsi="Calibri"/>
                <w:sz w:val="20"/>
                <w:szCs w:val="20"/>
                <w:color w:val="auto"/>
              </w:rPr>
              <w:t>Musical on a</w:t>
            </w:r>
          </w:p>
        </w:tc>
        <w:tc>
          <w:tcPr>
            <w:tcW w:w="1210" w:type="dxa"/>
            <w:vAlign w:val="bottom"/>
          </w:tcPr>
          <w:p>
            <w:pPr>
              <w:ind w:left="430"/>
              <w:spacing w:after="0" w:line="260" w:lineRule="exact"/>
              <w:rPr>
                <w:sz w:val="20"/>
                <w:szCs w:val="20"/>
                <w:color w:val="auto"/>
              </w:rPr>
            </w:pPr>
            <w:r>
              <w:rPr>
                <w:rFonts w:ascii="Calibri" w:cs="Calibri" w:eastAsia="Calibri" w:hAnsi="Calibri"/>
                <w:sz w:val="22"/>
                <w:szCs w:val="22"/>
                <w:color w:val="auto"/>
              </w:rPr>
              <w:t>No</w:t>
            </w:r>
          </w:p>
        </w:tc>
      </w:tr>
      <w:tr>
        <w:trPr>
          <w:trHeight w:val="220"/>
        </w:trPr>
        <w:tc>
          <w:tcPr>
            <w:tcW w:w="1350" w:type="dxa"/>
            <w:vAlign w:val="bottom"/>
          </w:tcPr>
          <w:p>
            <w:pPr>
              <w:spacing w:after="0"/>
              <w:rPr>
                <w:sz w:val="19"/>
                <w:szCs w:val="19"/>
                <w:color w:val="auto"/>
              </w:rPr>
            </w:pPr>
          </w:p>
        </w:tc>
        <w:tc>
          <w:tcPr>
            <w:tcW w:w="1320" w:type="dxa"/>
            <w:vAlign w:val="bottom"/>
          </w:tcPr>
          <w:p>
            <w:pPr>
              <w:ind w:left="50"/>
              <w:spacing w:after="0" w:line="219" w:lineRule="exact"/>
              <w:rPr>
                <w:sz w:val="20"/>
                <w:szCs w:val="20"/>
                <w:color w:val="auto"/>
              </w:rPr>
            </w:pPr>
            <w:r>
              <w:rPr>
                <w:rFonts w:ascii="Calibri" w:cs="Calibri" w:eastAsia="Calibri" w:hAnsi="Calibri"/>
                <w:sz w:val="20"/>
                <w:szCs w:val="20"/>
                <w:color w:val="auto"/>
              </w:rPr>
              <w:t>boat</w:t>
            </w:r>
          </w:p>
        </w:tc>
        <w:tc>
          <w:tcPr>
            <w:tcW w:w="1210" w:type="dxa"/>
            <w:vAlign w:val="bottom"/>
          </w:tcPr>
          <w:p>
            <w:pPr>
              <w:spacing w:after="0"/>
              <w:rPr>
                <w:sz w:val="19"/>
                <w:szCs w:val="19"/>
                <w:color w:val="auto"/>
              </w:rPr>
            </w:pPr>
          </w:p>
        </w:tc>
      </w:tr>
      <w:tr>
        <w:trPr>
          <w:trHeight w:val="96"/>
        </w:trPr>
        <w:tc>
          <w:tcPr>
            <w:tcW w:w="1350" w:type="dxa"/>
            <w:vAlign w:val="bottom"/>
          </w:tcPr>
          <w:p>
            <w:pPr>
              <w:spacing w:after="0"/>
              <w:rPr>
                <w:sz w:val="8"/>
                <w:szCs w:val="8"/>
                <w:color w:val="auto"/>
              </w:rPr>
            </w:pPr>
          </w:p>
        </w:tc>
        <w:tc>
          <w:tcPr>
            <w:tcW w:w="1320" w:type="dxa"/>
            <w:vAlign w:val="bottom"/>
          </w:tcPr>
          <w:p>
            <w:pPr>
              <w:spacing w:after="0"/>
              <w:rPr>
                <w:sz w:val="8"/>
                <w:szCs w:val="8"/>
                <w:color w:val="auto"/>
              </w:rPr>
            </w:pPr>
          </w:p>
        </w:tc>
        <w:tc>
          <w:tcPr>
            <w:tcW w:w="1210" w:type="dxa"/>
            <w:vAlign w:val="bottom"/>
          </w:tcPr>
          <w:p>
            <w:pPr>
              <w:spacing w:after="0"/>
              <w:rPr>
                <w:sz w:val="8"/>
                <w:szCs w:val="8"/>
                <w:color w:val="auto"/>
              </w:rPr>
            </w:pPr>
          </w:p>
        </w:tc>
      </w:tr>
      <w:tr>
        <w:trPr>
          <w:trHeight w:val="242"/>
        </w:trPr>
        <w:tc>
          <w:tcPr>
            <w:tcW w:w="1350" w:type="dxa"/>
            <w:vAlign w:val="bottom"/>
            <w:shd w:val="clear" w:color="auto" w:fill="F2F2F2"/>
          </w:tcPr>
          <w:p>
            <w:pPr>
              <w:ind w:left="100"/>
              <w:spacing w:after="0" w:line="238" w:lineRule="exact"/>
              <w:rPr>
                <w:sz w:val="20"/>
                <w:szCs w:val="20"/>
                <w:color w:val="auto"/>
              </w:rPr>
            </w:pPr>
            <w:r>
              <w:rPr>
                <w:rFonts w:ascii="Calibri" w:cs="Calibri" w:eastAsia="Calibri" w:hAnsi="Calibri"/>
                <w:sz w:val="20"/>
                <w:szCs w:val="20"/>
                <w:b w:val="1"/>
                <w:bCs w:val="1"/>
                <w:color w:val="auto"/>
              </w:rPr>
              <w:t>Success</w:t>
            </w:r>
          </w:p>
        </w:tc>
        <w:tc>
          <w:tcPr>
            <w:tcW w:w="1320" w:type="dxa"/>
            <w:vAlign w:val="bottom"/>
            <w:shd w:val="clear" w:color="auto" w:fill="F2F2F2"/>
          </w:tcPr>
          <w:p>
            <w:pPr>
              <w:ind w:left="50"/>
              <w:spacing w:after="0" w:line="238" w:lineRule="exact"/>
              <w:rPr>
                <w:sz w:val="20"/>
                <w:szCs w:val="20"/>
                <w:color w:val="auto"/>
              </w:rPr>
            </w:pPr>
            <w:r>
              <w:rPr>
                <w:rFonts w:ascii="Calibri" w:cs="Calibri" w:eastAsia="Calibri" w:hAnsi="Calibri"/>
                <w:sz w:val="20"/>
                <w:szCs w:val="20"/>
                <w:color w:val="auto"/>
                <w:shd w:val="clear" w:color="auto" w:fill="F2F2F2"/>
              </w:rPr>
              <w:t>Original play</w:t>
            </w:r>
          </w:p>
        </w:tc>
        <w:tc>
          <w:tcPr>
            <w:tcW w:w="1210" w:type="dxa"/>
            <w:vAlign w:val="bottom"/>
            <w:shd w:val="clear" w:color="auto" w:fill="F2F2F2"/>
          </w:tcPr>
          <w:p>
            <w:pPr>
              <w:ind w:left="430"/>
              <w:spacing w:after="0" w:line="242" w:lineRule="exact"/>
              <w:rPr>
                <w:sz w:val="20"/>
                <w:szCs w:val="20"/>
                <w:color w:val="auto"/>
              </w:rPr>
            </w:pPr>
            <w:r>
              <w:rPr>
                <w:rFonts w:ascii="Calibri" w:cs="Calibri" w:eastAsia="Calibri" w:hAnsi="Calibri"/>
                <w:sz w:val="22"/>
                <w:szCs w:val="22"/>
                <w:color w:val="auto"/>
              </w:rPr>
              <w:t>No</w:t>
            </w:r>
          </w:p>
        </w:tc>
      </w:tr>
      <w:tr>
        <w:trPr>
          <w:trHeight w:val="334"/>
        </w:trPr>
        <w:tc>
          <w:tcPr>
            <w:tcW w:w="1350" w:type="dxa"/>
            <w:vAlign w:val="bottom"/>
            <w:shd w:val="clear" w:color="auto" w:fill="F2F2F2"/>
          </w:tcPr>
          <w:p>
            <w:pPr>
              <w:spacing w:after="0"/>
              <w:rPr>
                <w:sz w:val="24"/>
                <w:szCs w:val="24"/>
                <w:color w:val="auto"/>
              </w:rPr>
            </w:pPr>
          </w:p>
        </w:tc>
        <w:tc>
          <w:tcPr>
            <w:tcW w:w="1320" w:type="dxa"/>
            <w:vAlign w:val="bottom"/>
            <w:shd w:val="clear" w:color="auto" w:fill="F2F2F2"/>
          </w:tcPr>
          <w:p>
            <w:pPr>
              <w:spacing w:after="0"/>
              <w:rPr>
                <w:sz w:val="24"/>
                <w:szCs w:val="24"/>
                <w:color w:val="auto"/>
              </w:rPr>
            </w:pPr>
          </w:p>
        </w:tc>
        <w:tc>
          <w:tcPr>
            <w:tcW w:w="1210" w:type="dxa"/>
            <w:vAlign w:val="bottom"/>
            <w:shd w:val="clear" w:color="auto" w:fill="F2F2F2"/>
          </w:tcPr>
          <w:p>
            <w:pPr>
              <w:spacing w:after="0"/>
              <w:rPr>
                <w:sz w:val="24"/>
                <w:szCs w:val="24"/>
                <w:color w:val="auto"/>
              </w:rPr>
            </w:pPr>
          </w:p>
        </w:tc>
      </w:tr>
      <w:tr>
        <w:trPr>
          <w:trHeight w:val="260"/>
        </w:trPr>
        <w:tc>
          <w:tcPr>
            <w:tcW w:w="1350" w:type="dxa"/>
            <w:vAlign w:val="bottom"/>
          </w:tcPr>
          <w:p>
            <w:pPr>
              <w:ind w:left="100"/>
              <w:spacing w:after="0" w:line="238" w:lineRule="exact"/>
              <w:rPr>
                <w:sz w:val="20"/>
                <w:szCs w:val="20"/>
                <w:color w:val="auto"/>
              </w:rPr>
            </w:pPr>
            <w:r>
              <w:rPr>
                <w:rFonts w:ascii="Calibri" w:cs="Calibri" w:eastAsia="Calibri" w:hAnsi="Calibri"/>
                <w:sz w:val="20"/>
                <w:szCs w:val="20"/>
                <w:b w:val="1"/>
                <w:bCs w:val="1"/>
                <w:color w:val="auto"/>
              </w:rPr>
              <w:t>Success</w:t>
            </w:r>
          </w:p>
        </w:tc>
        <w:tc>
          <w:tcPr>
            <w:tcW w:w="1320" w:type="dxa"/>
            <w:vAlign w:val="bottom"/>
          </w:tcPr>
          <w:p>
            <w:pPr>
              <w:ind w:left="50"/>
              <w:spacing w:after="0" w:line="238" w:lineRule="exact"/>
              <w:rPr>
                <w:sz w:val="20"/>
                <w:szCs w:val="20"/>
                <w:color w:val="auto"/>
              </w:rPr>
            </w:pPr>
            <w:r>
              <w:rPr>
                <w:rFonts w:ascii="Calibri" w:cs="Calibri" w:eastAsia="Calibri" w:hAnsi="Calibri"/>
                <w:sz w:val="20"/>
                <w:szCs w:val="20"/>
                <w:color w:val="auto"/>
              </w:rPr>
              <w:t>Original play</w:t>
            </w:r>
          </w:p>
        </w:tc>
        <w:tc>
          <w:tcPr>
            <w:tcW w:w="1210" w:type="dxa"/>
            <w:vAlign w:val="bottom"/>
          </w:tcPr>
          <w:p>
            <w:pPr>
              <w:ind w:left="430"/>
              <w:spacing w:after="0" w:line="260" w:lineRule="exact"/>
              <w:rPr>
                <w:sz w:val="20"/>
                <w:szCs w:val="20"/>
                <w:color w:val="auto"/>
              </w:rPr>
            </w:pPr>
            <w:r>
              <w:rPr>
                <w:rFonts w:ascii="Calibri" w:cs="Calibri" w:eastAsia="Calibri" w:hAnsi="Calibri"/>
                <w:sz w:val="22"/>
                <w:szCs w:val="22"/>
                <w:color w:val="auto"/>
              </w:rPr>
              <w:t>No</w:t>
            </w:r>
          </w:p>
        </w:tc>
      </w:tr>
      <w:tr>
        <w:trPr>
          <w:trHeight w:val="397"/>
        </w:trPr>
        <w:tc>
          <w:tcPr>
            <w:tcW w:w="135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1210" w:type="dxa"/>
            <w:vAlign w:val="bottom"/>
          </w:tcPr>
          <w:p>
            <w:pPr>
              <w:spacing w:after="0"/>
              <w:rPr>
                <w:sz w:val="24"/>
                <w:szCs w:val="24"/>
                <w:color w:val="auto"/>
              </w:rPr>
            </w:pPr>
          </w:p>
        </w:tc>
      </w:tr>
      <w:tr>
        <w:trPr>
          <w:trHeight w:val="245"/>
        </w:trPr>
        <w:tc>
          <w:tcPr>
            <w:tcW w:w="1350" w:type="dxa"/>
            <w:vAlign w:val="bottom"/>
            <w:shd w:val="clear" w:color="auto" w:fill="F2F2F2"/>
          </w:tcPr>
          <w:p>
            <w:pPr>
              <w:ind w:left="100"/>
              <w:spacing w:after="0" w:line="238" w:lineRule="exact"/>
              <w:rPr>
                <w:sz w:val="20"/>
                <w:szCs w:val="20"/>
                <w:color w:val="auto"/>
              </w:rPr>
            </w:pPr>
            <w:r>
              <w:rPr>
                <w:rFonts w:ascii="Calibri" w:cs="Calibri" w:eastAsia="Calibri" w:hAnsi="Calibri"/>
                <w:sz w:val="20"/>
                <w:szCs w:val="20"/>
                <w:b w:val="1"/>
                <w:bCs w:val="1"/>
                <w:color w:val="auto"/>
              </w:rPr>
              <w:t>Success</w:t>
            </w:r>
          </w:p>
        </w:tc>
        <w:tc>
          <w:tcPr>
            <w:tcW w:w="1320" w:type="dxa"/>
            <w:vAlign w:val="bottom"/>
            <w:shd w:val="clear" w:color="auto" w:fill="F2F2F2"/>
          </w:tcPr>
          <w:p>
            <w:pPr>
              <w:ind w:left="50"/>
              <w:spacing w:after="0" w:line="238" w:lineRule="exact"/>
              <w:rPr>
                <w:sz w:val="20"/>
                <w:szCs w:val="20"/>
                <w:color w:val="auto"/>
              </w:rPr>
            </w:pPr>
            <w:r>
              <w:rPr>
                <w:rFonts w:ascii="Calibri" w:cs="Calibri" w:eastAsia="Calibri" w:hAnsi="Calibri"/>
                <w:sz w:val="20"/>
                <w:szCs w:val="20"/>
                <w:color w:val="auto"/>
              </w:rPr>
              <w:t>Staging of</w:t>
            </w:r>
          </w:p>
        </w:tc>
        <w:tc>
          <w:tcPr>
            <w:tcW w:w="1210" w:type="dxa"/>
            <w:vAlign w:val="bottom"/>
            <w:shd w:val="clear" w:color="auto" w:fill="F2F2F2"/>
          </w:tcPr>
          <w:p>
            <w:pPr>
              <w:ind w:left="430"/>
              <w:spacing w:after="0" w:line="244" w:lineRule="exact"/>
              <w:rPr>
                <w:sz w:val="20"/>
                <w:szCs w:val="20"/>
                <w:color w:val="auto"/>
              </w:rPr>
            </w:pPr>
            <w:r>
              <w:rPr>
                <w:rFonts w:ascii="Calibri" w:cs="Calibri" w:eastAsia="Calibri" w:hAnsi="Calibri"/>
                <w:sz w:val="22"/>
                <w:szCs w:val="22"/>
                <w:color w:val="auto"/>
              </w:rPr>
              <w:t>No</w:t>
            </w:r>
          </w:p>
        </w:tc>
      </w:tr>
      <w:tr>
        <w:trPr>
          <w:trHeight w:val="238"/>
        </w:trPr>
        <w:tc>
          <w:tcPr>
            <w:tcW w:w="1350" w:type="dxa"/>
            <w:vAlign w:val="bottom"/>
            <w:shd w:val="clear" w:color="auto" w:fill="F2F2F2"/>
          </w:tcPr>
          <w:p>
            <w:pPr>
              <w:spacing w:after="0"/>
              <w:rPr>
                <w:sz w:val="20"/>
                <w:szCs w:val="20"/>
                <w:color w:val="auto"/>
              </w:rPr>
            </w:pPr>
          </w:p>
        </w:tc>
        <w:tc>
          <w:tcPr>
            <w:tcW w:w="1320" w:type="dxa"/>
            <w:vAlign w:val="bottom"/>
            <w:shd w:val="clear" w:color="auto" w:fill="F2F2F2"/>
          </w:tcPr>
          <w:p>
            <w:pPr>
              <w:ind w:left="50"/>
              <w:spacing w:after="0" w:line="239" w:lineRule="exact"/>
              <w:rPr>
                <w:sz w:val="20"/>
                <w:szCs w:val="20"/>
                <w:color w:val="auto"/>
              </w:rPr>
            </w:pPr>
            <w:r>
              <w:rPr>
                <w:rFonts w:ascii="Calibri" w:cs="Calibri" w:eastAsia="Calibri" w:hAnsi="Calibri"/>
                <w:sz w:val="20"/>
                <w:szCs w:val="20"/>
                <w:color w:val="auto"/>
              </w:rPr>
              <w:t>Tennessee</w:t>
            </w:r>
          </w:p>
        </w:tc>
        <w:tc>
          <w:tcPr>
            <w:tcW w:w="1210" w:type="dxa"/>
            <w:vAlign w:val="bottom"/>
            <w:shd w:val="clear" w:color="auto" w:fill="F2F2F2"/>
          </w:tcPr>
          <w:p>
            <w:pPr>
              <w:spacing w:after="0"/>
              <w:rPr>
                <w:sz w:val="20"/>
                <w:szCs w:val="20"/>
                <w:color w:val="auto"/>
              </w:rPr>
            </w:pPr>
          </w:p>
        </w:tc>
      </w:tr>
      <w:tr>
        <w:trPr>
          <w:trHeight w:val="250"/>
        </w:trPr>
        <w:tc>
          <w:tcPr>
            <w:tcW w:w="1350" w:type="dxa"/>
            <w:vAlign w:val="bottom"/>
            <w:shd w:val="clear" w:color="auto" w:fill="F2F2F2"/>
          </w:tcPr>
          <w:p>
            <w:pPr>
              <w:spacing w:after="0"/>
              <w:rPr>
                <w:sz w:val="21"/>
                <w:szCs w:val="21"/>
                <w:color w:val="auto"/>
              </w:rPr>
            </w:pPr>
          </w:p>
        </w:tc>
        <w:tc>
          <w:tcPr>
            <w:tcW w:w="1320" w:type="dxa"/>
            <w:vAlign w:val="bottom"/>
            <w:shd w:val="clear" w:color="auto" w:fill="F2F2F2"/>
          </w:tcPr>
          <w:p>
            <w:pPr>
              <w:ind w:left="50"/>
              <w:spacing w:after="0"/>
              <w:rPr>
                <w:sz w:val="20"/>
                <w:szCs w:val="20"/>
                <w:color w:val="auto"/>
              </w:rPr>
            </w:pPr>
            <w:r>
              <w:rPr>
                <w:rFonts w:ascii="Calibri" w:cs="Calibri" w:eastAsia="Calibri" w:hAnsi="Calibri"/>
                <w:sz w:val="20"/>
                <w:szCs w:val="20"/>
                <w:color w:val="auto"/>
                <w:shd w:val="clear" w:color="auto" w:fill="F2F2F2"/>
              </w:rPr>
              <w:t>Williams Play</w:t>
            </w:r>
          </w:p>
        </w:tc>
        <w:tc>
          <w:tcPr>
            <w:tcW w:w="1210" w:type="dxa"/>
            <w:vAlign w:val="bottom"/>
            <w:shd w:val="clear" w:color="auto" w:fill="F2F2F2"/>
          </w:tcPr>
          <w:p>
            <w:pPr>
              <w:spacing w:after="0"/>
              <w:rPr>
                <w:sz w:val="21"/>
                <w:szCs w:val="21"/>
                <w:color w:val="auto"/>
              </w:rPr>
            </w:pPr>
          </w:p>
        </w:tc>
      </w:tr>
      <w:tr>
        <w:trPr>
          <w:trHeight w:val="260"/>
        </w:trPr>
        <w:tc>
          <w:tcPr>
            <w:tcW w:w="1350" w:type="dxa"/>
            <w:vAlign w:val="bottom"/>
          </w:tcPr>
          <w:p>
            <w:pPr>
              <w:ind w:left="100"/>
              <w:spacing w:after="0" w:line="238" w:lineRule="exact"/>
              <w:rPr>
                <w:sz w:val="20"/>
                <w:szCs w:val="20"/>
                <w:color w:val="auto"/>
              </w:rPr>
            </w:pPr>
            <w:r>
              <w:rPr>
                <w:rFonts w:ascii="Calibri" w:cs="Calibri" w:eastAsia="Calibri" w:hAnsi="Calibri"/>
                <w:sz w:val="20"/>
                <w:szCs w:val="20"/>
                <w:b w:val="1"/>
                <w:bCs w:val="1"/>
                <w:color w:val="auto"/>
              </w:rPr>
              <w:t>Success</w:t>
            </w:r>
          </w:p>
        </w:tc>
        <w:tc>
          <w:tcPr>
            <w:tcW w:w="1320" w:type="dxa"/>
            <w:vAlign w:val="bottom"/>
          </w:tcPr>
          <w:p>
            <w:pPr>
              <w:ind w:left="50"/>
              <w:spacing w:after="0" w:line="238" w:lineRule="exact"/>
              <w:rPr>
                <w:sz w:val="20"/>
                <w:szCs w:val="20"/>
                <w:color w:val="auto"/>
              </w:rPr>
            </w:pPr>
            <w:r>
              <w:rPr>
                <w:rFonts w:ascii="Calibri" w:cs="Calibri" w:eastAsia="Calibri" w:hAnsi="Calibri"/>
                <w:sz w:val="20"/>
                <w:szCs w:val="20"/>
                <w:color w:val="auto"/>
              </w:rPr>
              <w:t>Original play</w:t>
            </w:r>
          </w:p>
        </w:tc>
        <w:tc>
          <w:tcPr>
            <w:tcW w:w="1210" w:type="dxa"/>
            <w:vAlign w:val="bottom"/>
          </w:tcPr>
          <w:p>
            <w:pPr>
              <w:ind w:left="430"/>
              <w:spacing w:after="0" w:line="260" w:lineRule="exact"/>
              <w:rPr>
                <w:sz w:val="20"/>
                <w:szCs w:val="20"/>
                <w:color w:val="auto"/>
              </w:rPr>
            </w:pPr>
            <w:r>
              <w:rPr>
                <w:rFonts w:ascii="Calibri" w:cs="Calibri" w:eastAsia="Calibri" w:hAnsi="Calibri"/>
                <w:sz w:val="22"/>
                <w:szCs w:val="22"/>
                <w:color w:val="auto"/>
              </w:rPr>
              <w:t>No</w:t>
            </w:r>
          </w:p>
        </w:tc>
      </w:tr>
    </w:tbl>
    <w:p>
      <w:pPr>
        <w:spacing w:after="0" w:line="20" w:lineRule="exact"/>
        <w:rPr>
          <w:sz w:val="20"/>
          <w:szCs w:val="20"/>
          <w:color w:val="auto"/>
        </w:rPr>
      </w:pPr>
      <w:r>
        <w:rPr>
          <w:sz w:val="20"/>
          <w:szCs w:val="20"/>
          <w:color w:val="auto"/>
        </w:rPr>
        <w:br w:type="column"/>
      </w:r>
    </w:p>
    <w:p>
      <w:pPr>
        <w:spacing w:after="0" w:line="234" w:lineRule="auto"/>
        <w:rPr>
          <w:sz w:val="20"/>
          <w:szCs w:val="20"/>
          <w:color w:val="auto"/>
        </w:rPr>
      </w:pPr>
      <w:r>
        <w:rPr>
          <w:rFonts w:ascii="Calibri" w:cs="Calibri" w:eastAsia="Calibri" w:hAnsi="Calibri"/>
          <w:sz w:val="18"/>
          <w:szCs w:val="18"/>
          <w:color w:val="auto"/>
        </w:rPr>
        <w:t>Four performances at fringe festival. $1,000 in ticket sales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-67945</wp:posOffset>
            </wp:positionH>
            <wp:positionV relativeFrom="paragraph">
              <wp:posOffset>46990</wp:posOffset>
            </wp:positionV>
            <wp:extent cx="3485515" cy="62039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extLst>
                        <a:ext uri="{28A0092B-C50C-407E-A947-70E740481C1C}"/>
                      </a:extLst>
                    </a:blip>
                    <a:srcRect/>
                    <a:stretch>
                      <a:fillRect/>
                    </a:stretch>
                  </pic:blipFill>
                  <pic:spPr bwMode="auto">
                    <a:xfrm>
                      <a:off x="0" y="0"/>
                      <a:ext cx="3485515" cy="620395"/>
                    </a:xfrm>
                    <a:prstGeom prst="rect">
                      <a:avLst/>
                    </a:prstGeom>
                    <a:noFill/>
                  </pic:spPr>
                </pic:pic>
              </a:graphicData>
            </a:graphic>
          </wp:anchor>
        </w:drawing>
      </w:r>
    </w:p>
    <w:p>
      <w:pPr>
        <w:spacing w:after="0" w:line="48" w:lineRule="exact"/>
        <w:rPr>
          <w:sz w:val="20"/>
          <w:szCs w:val="20"/>
          <w:color w:val="auto"/>
        </w:rPr>
      </w:pPr>
    </w:p>
    <w:p>
      <w:pPr>
        <w:spacing w:after="0"/>
        <w:rPr>
          <w:sz w:val="20"/>
          <w:szCs w:val="20"/>
          <w:color w:val="auto"/>
        </w:rPr>
      </w:pPr>
      <w:r>
        <w:rPr>
          <w:rFonts w:ascii="Calibri" w:cs="Calibri" w:eastAsia="Calibri" w:hAnsi="Calibri"/>
          <w:sz w:val="18"/>
          <w:szCs w:val="18"/>
          <w:color w:val="auto"/>
        </w:rPr>
        <w:t>Show ran for three performances at capacity, 600 audience members</w:t>
      </w: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right="880"/>
        <w:spacing w:after="0" w:line="217" w:lineRule="auto"/>
        <w:rPr>
          <w:sz w:val="20"/>
          <w:szCs w:val="20"/>
          <w:color w:val="auto"/>
        </w:rPr>
      </w:pPr>
      <w:r>
        <w:rPr>
          <w:rFonts w:ascii="Calibri" w:cs="Calibri" w:eastAsia="Calibri" w:hAnsi="Calibri"/>
          <w:sz w:val="18"/>
          <w:szCs w:val="18"/>
          <w:color w:val="auto"/>
        </w:rPr>
        <w:t>10 performances in New York. Raising funding for additional performances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-67945</wp:posOffset>
            </wp:positionH>
            <wp:positionV relativeFrom="paragraph">
              <wp:posOffset>90805</wp:posOffset>
            </wp:positionV>
            <wp:extent cx="3485515" cy="36576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extLst>
                    </a:blip>
                    <a:srcRect/>
                    <a:stretch>
                      <a:fillRect/>
                    </a:stretch>
                  </pic:blipFill>
                  <pic:spPr bwMode="auto">
                    <a:xfrm>
                      <a:off x="0" y="0"/>
                      <a:ext cx="3485515" cy="365760"/>
                    </a:xfrm>
                    <a:prstGeom prst="rect">
                      <a:avLst/>
                    </a:prstGeom>
                    <a:noFill/>
                  </pic:spPr>
                </pic:pic>
              </a:graphicData>
            </a:graphic>
          </wp:anchor>
        </w:drawing>
      </w:r>
    </w:p>
    <w:p>
      <w:pPr>
        <w:spacing w:after="0" w:line="159" w:lineRule="exact"/>
        <w:rPr>
          <w:sz w:val="20"/>
          <w:szCs w:val="20"/>
          <w:color w:val="auto"/>
        </w:rPr>
      </w:pPr>
    </w:p>
    <w:p>
      <w:pPr>
        <w:ind w:right="680"/>
        <w:spacing w:after="0" w:line="217" w:lineRule="auto"/>
        <w:rPr>
          <w:sz w:val="20"/>
          <w:szCs w:val="20"/>
          <w:color w:val="auto"/>
        </w:rPr>
      </w:pPr>
      <w:r>
        <w:rPr>
          <w:rFonts w:ascii="Calibri" w:cs="Calibri" w:eastAsia="Calibri" w:hAnsi="Calibri"/>
          <w:sz w:val="18"/>
          <w:szCs w:val="18"/>
          <w:color w:val="auto"/>
        </w:rPr>
        <w:t>5 performances in New York. 60% full on average (75 seats per performance)</w:t>
      </w:r>
    </w:p>
    <w:p>
      <w:pPr>
        <w:spacing w:after="0" w:line="179" w:lineRule="exact"/>
        <w:rPr>
          <w:sz w:val="20"/>
          <w:szCs w:val="20"/>
          <w:color w:val="auto"/>
        </w:rPr>
      </w:pPr>
    </w:p>
    <w:p>
      <w:pPr>
        <w:spacing w:after="0" w:line="225" w:lineRule="auto"/>
        <w:rPr>
          <w:sz w:val="20"/>
          <w:szCs w:val="20"/>
          <w:color w:val="auto"/>
        </w:rPr>
      </w:pPr>
      <w:r>
        <w:rPr>
          <w:rFonts w:ascii="Calibri" w:cs="Calibri" w:eastAsia="Calibri" w:hAnsi="Calibri"/>
          <w:sz w:val="18"/>
          <w:szCs w:val="18"/>
          <w:color w:val="auto"/>
        </w:rPr>
        <w:t>1 month run. $17,055.64 gross revenue in ticket sales, merchandise and concessions. Hoped to create a touring show, but still working on funding.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-67945</wp:posOffset>
            </wp:positionH>
            <wp:positionV relativeFrom="paragraph">
              <wp:posOffset>2540</wp:posOffset>
            </wp:positionV>
            <wp:extent cx="3485515" cy="46545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extLst>
                        <a:ext uri="{28A0092B-C50C-407E-A947-70E740481C1C}"/>
                      </a:extLst>
                    </a:blip>
                    <a:srcRect/>
                    <a:stretch>
                      <a:fillRect/>
                    </a:stretch>
                  </pic:blipFill>
                  <pic:spPr bwMode="auto">
                    <a:xfrm>
                      <a:off x="0" y="0"/>
                      <a:ext cx="3485515" cy="465455"/>
                    </a:xfrm>
                    <a:prstGeom prst="rect">
                      <a:avLst/>
                    </a:prstGeom>
                    <a:noFill/>
                  </pic:spPr>
                </pic:pic>
              </a:graphicData>
            </a:graphic>
          </wp:anchor>
        </w:drawing>
      </w:r>
    </w:p>
    <w:p>
      <w:pPr>
        <w:spacing w:after="0" w:line="238" w:lineRule="auto"/>
        <w:rPr>
          <w:sz w:val="20"/>
          <w:szCs w:val="20"/>
          <w:color w:val="auto"/>
        </w:rPr>
      </w:pPr>
      <w:r>
        <w:rPr>
          <w:rFonts w:ascii="Calibri" w:cs="Calibri" w:eastAsia="Calibri" w:hAnsi="Calibri"/>
          <w:sz w:val="18"/>
          <w:szCs w:val="18"/>
          <w:color w:val="auto"/>
        </w:rPr>
        <w:t>Ran for two weeks in local market, 250 audience members</w:t>
      </w:r>
    </w:p>
    <w:p>
      <w:pPr>
        <w:spacing w:after="0" w:line="200" w:lineRule="exact"/>
        <w:rPr>
          <w:sz w:val="20"/>
          <w:szCs w:val="20"/>
          <w:color w:val="auto"/>
        </w:rPr>
      </w:pPr>
    </w:p>
    <w:p>
      <w:pPr>
        <w:spacing w:after="0" w:line="354" w:lineRule="exact"/>
        <w:rPr>
          <w:sz w:val="20"/>
          <w:szCs w:val="20"/>
          <w:color w:val="auto"/>
        </w:rPr>
      </w:pPr>
    </w:p>
    <w:p>
      <w:pPr>
        <w:ind w:right="80"/>
        <w:spacing w:after="0" w:line="218" w:lineRule="auto"/>
        <w:rPr>
          <w:sz w:val="20"/>
          <w:szCs w:val="20"/>
          <w:color w:val="auto"/>
        </w:rPr>
      </w:pPr>
      <w:r>
        <w:rPr>
          <w:rFonts w:ascii="Calibri" w:cs="Calibri" w:eastAsia="Calibri" w:hAnsi="Calibri"/>
          <w:sz w:val="18"/>
          <w:szCs w:val="18"/>
          <w:color w:val="auto"/>
        </w:rPr>
        <w:t>Show ran for one month Off-Off Broadway in New York. Made $24,000 in revenue.</w:t>
      </w:r>
    </w:p>
    <w:p>
      <w:pPr>
        <w:spacing w:after="0" w:line="20" w:lineRule="exact"/>
        <w:rPr>
          <w:sz w:val="20"/>
          <w:szCs w:val="20"/>
          <w:color w:val="auto"/>
        </w:rPr>
      </w:pPr>
      <w:r>
        <w:rPr>
          <w:sz w:val="20"/>
          <w:szCs w:val="20"/>
          <w:color w:val="auto"/>
        </w:rPr>
        <w:br w:type="column"/>
      </w:r>
    </w:p>
    <w:p>
      <w:pPr>
        <w:spacing w:after="0" w:line="14" w:lineRule="exact"/>
        <w:rPr>
          <w:sz w:val="20"/>
          <w:szCs w:val="20"/>
          <w:color w:val="auto"/>
        </w:rPr>
      </w:pPr>
    </w:p>
    <w:p>
      <w:pPr>
        <w:ind w:right="1580"/>
        <w:spacing w:after="0" w:line="270" w:lineRule="auto"/>
        <w:rPr>
          <w:sz w:val="20"/>
          <w:szCs w:val="20"/>
          <w:color w:val="auto"/>
        </w:rPr>
      </w:pPr>
      <w:r>
        <w:rPr>
          <w:rFonts w:ascii="Calibri" w:cs="Calibri" w:eastAsia="Calibri" w:hAnsi="Calibri"/>
          <w:sz w:val="18"/>
          <w:szCs w:val="18"/>
          <w:color w:val="auto"/>
        </w:rPr>
        <w:t>Covered in local news, no review. No official coverage in publications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-62230</wp:posOffset>
            </wp:positionH>
            <wp:positionV relativeFrom="paragraph">
              <wp:posOffset>-153035</wp:posOffset>
            </wp:positionV>
            <wp:extent cx="2687320" cy="62039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extLst>
                    </a:blip>
                    <a:srcRect/>
                    <a:stretch>
                      <a:fillRect/>
                    </a:stretch>
                  </pic:blipFill>
                  <pic:spPr bwMode="auto">
                    <a:xfrm>
                      <a:off x="0" y="0"/>
                      <a:ext cx="2687320" cy="6203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spacing w:after="0"/>
        <w:rPr>
          <w:sz w:val="20"/>
          <w:szCs w:val="20"/>
          <w:color w:val="auto"/>
        </w:rPr>
      </w:pPr>
      <w:r>
        <w:rPr>
          <w:rFonts w:ascii="Calibri" w:cs="Calibri" w:eastAsia="Calibri" w:hAnsi="Calibri"/>
          <w:sz w:val="18"/>
          <w:szCs w:val="18"/>
          <w:color w:val="auto"/>
        </w:rPr>
        <w:t>No official coverage in publications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-62230</wp:posOffset>
            </wp:positionH>
            <wp:positionV relativeFrom="paragraph">
              <wp:posOffset>229870</wp:posOffset>
            </wp:positionV>
            <wp:extent cx="2687320" cy="36576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extLst>
                        <a:ext uri="{28A0092B-C50C-407E-A947-70E740481C1C}"/>
                      </a:extLst>
                    </a:blip>
                    <a:srcRect/>
                    <a:stretch>
                      <a:fillRect/>
                    </a:stretch>
                  </pic:blipFill>
                  <pic:spPr bwMode="auto">
                    <a:xfrm>
                      <a:off x="0" y="0"/>
                      <a:ext cx="2687320" cy="365760"/>
                    </a:xfrm>
                    <a:prstGeom prst="rect">
                      <a:avLst/>
                    </a:prstGeom>
                    <a:noFill/>
                  </pic:spPr>
                </pic:pic>
              </a:graphicData>
            </a:graphic>
          </wp:anchor>
        </w:drawing>
      </w:r>
    </w:p>
    <w:p>
      <w:pPr>
        <w:spacing w:after="0" w:line="336" w:lineRule="exact"/>
        <w:rPr>
          <w:sz w:val="20"/>
          <w:szCs w:val="20"/>
          <w:color w:val="auto"/>
        </w:rPr>
      </w:pPr>
    </w:p>
    <w:p>
      <w:pPr>
        <w:spacing w:after="0"/>
        <w:rPr>
          <w:sz w:val="20"/>
          <w:szCs w:val="20"/>
          <w:color w:val="auto"/>
        </w:rPr>
      </w:pPr>
      <w:r>
        <w:rPr>
          <w:rFonts w:ascii="Calibri" w:cs="Calibri" w:eastAsia="Calibri" w:hAnsi="Calibri"/>
          <w:sz w:val="18"/>
          <w:szCs w:val="18"/>
          <w:color w:val="auto"/>
        </w:rPr>
        <w:t>No official coverage in publications</w:t>
      </w:r>
    </w:p>
    <w:p>
      <w:pPr>
        <w:spacing w:after="0" w:line="356" w:lineRule="exact"/>
        <w:rPr>
          <w:sz w:val="20"/>
          <w:szCs w:val="20"/>
          <w:color w:val="auto"/>
        </w:rPr>
      </w:pPr>
    </w:p>
    <w:p>
      <w:pPr>
        <w:spacing w:after="0"/>
        <w:rPr>
          <w:sz w:val="20"/>
          <w:szCs w:val="20"/>
          <w:color w:val="auto"/>
        </w:rPr>
      </w:pPr>
      <w:r>
        <w:rPr>
          <w:rFonts w:ascii="Calibri" w:cs="Calibri" w:eastAsia="Calibri" w:hAnsi="Calibri"/>
          <w:sz w:val="18"/>
          <w:szCs w:val="18"/>
          <w:color w:val="auto"/>
        </w:rPr>
        <w:t>Mixed reviews in local press.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-62230</wp:posOffset>
            </wp:positionH>
            <wp:positionV relativeFrom="paragraph">
              <wp:posOffset>281305</wp:posOffset>
            </wp:positionV>
            <wp:extent cx="2687320" cy="46545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extLst>
                    </a:blip>
                    <a:srcRect/>
                    <a:stretch>
                      <a:fillRect/>
                    </a:stretch>
                  </pic:blipFill>
                  <pic:spPr bwMode="auto">
                    <a:xfrm>
                      <a:off x="0" y="0"/>
                      <a:ext cx="2687320" cy="465455"/>
                    </a:xfrm>
                    <a:prstGeom prst="rect">
                      <a:avLst/>
                    </a:prstGeom>
                    <a:noFill/>
                  </pic:spPr>
                </pic:pic>
              </a:graphicData>
            </a:graphic>
          </wp:anchor>
        </w:drawing>
      </w:r>
    </w:p>
    <w:p>
      <w:pPr>
        <w:spacing w:after="0" w:line="200" w:lineRule="exact"/>
        <w:rPr>
          <w:sz w:val="20"/>
          <w:szCs w:val="20"/>
          <w:color w:val="auto"/>
        </w:rPr>
      </w:pPr>
    </w:p>
    <w:p>
      <w:pPr>
        <w:spacing w:after="0" w:line="218" w:lineRule="exact"/>
        <w:rPr>
          <w:sz w:val="20"/>
          <w:szCs w:val="20"/>
          <w:color w:val="auto"/>
        </w:rPr>
      </w:pPr>
    </w:p>
    <w:p>
      <w:pPr>
        <w:spacing w:after="0"/>
        <w:rPr>
          <w:sz w:val="20"/>
          <w:szCs w:val="20"/>
          <w:color w:val="auto"/>
        </w:rPr>
      </w:pPr>
      <w:r>
        <w:rPr>
          <w:rFonts w:ascii="Calibri" w:cs="Calibri" w:eastAsia="Calibri" w:hAnsi="Calibri"/>
          <w:sz w:val="18"/>
          <w:szCs w:val="18"/>
          <w:color w:val="auto"/>
        </w:rPr>
        <w:t>Positive local reviews.</w:t>
      </w: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Calibri" w:cs="Calibri" w:eastAsia="Calibri" w:hAnsi="Calibri"/>
          <w:sz w:val="18"/>
          <w:szCs w:val="18"/>
          <w:color w:val="auto"/>
        </w:rPr>
        <w:t>Positive local reviews.</w:t>
      </w:r>
    </w:p>
    <w:p>
      <w:pPr>
        <w:spacing w:after="0" w:line="420" w:lineRule="exact"/>
        <w:rPr>
          <w:sz w:val="20"/>
          <w:szCs w:val="20"/>
          <w:color w:val="auto"/>
        </w:rPr>
      </w:pPr>
    </w:p>
    <w:p>
      <w:pPr>
        <w:sectPr>
          <w:pgSz w:w="15840" w:h="12240" w:orient="landscape"/>
          <w:cols w:equalWidth="0" w:num="3">
            <w:col w:w="3880" w:space="100"/>
            <w:col w:w="5260" w:space="220"/>
            <w:col w:w="4140"/>
          </w:cols>
          <w:pgMar w:left="1440" w:top="1440" w:right="800" w:bottom="474"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12740"/>
        <w:spacing w:after="0"/>
        <w:rPr>
          <w:sz w:val="20"/>
          <w:szCs w:val="20"/>
          <w:color w:val="auto"/>
        </w:rPr>
      </w:pPr>
      <w:r>
        <w:rPr>
          <w:rFonts w:ascii="Calibri" w:cs="Calibri" w:eastAsia="Calibri" w:hAnsi="Calibri"/>
          <w:sz w:val="21"/>
          <w:szCs w:val="21"/>
          <w:color w:val="auto"/>
        </w:rPr>
        <w:t>46</w:t>
      </w:r>
    </w:p>
    <w:p>
      <w:pPr>
        <w:sectPr>
          <w:pgSz w:w="15840" w:h="12240" w:orient="landscape"/>
          <w:cols w:equalWidth="0" w:num="1">
            <w:col w:w="13600"/>
          </w:cols>
          <w:pgMar w:left="1440" w:top="1440" w:right="800" w:bottom="474" w:gutter="0" w:footer="0" w:header="0"/>
          <w:type w:val="continuous"/>
        </w:sectPr>
      </w:pPr>
    </w:p>
    <w:bookmarkStart w:id="47" w:name="page48"/>
    <w:bookmarkEnd w:id="47"/>
    <w:tbl>
      <w:tblPr>
        <w:tblLayout w:type="fixed"/>
        <w:tblInd w:w="0" w:type="dxa"/>
        <w:tblCellMar>
          <w:top w:w="0" w:type="dxa"/>
          <w:left w:w="0" w:type="dxa"/>
          <w:bottom w:w="0" w:type="dxa"/>
          <w:right w:w="0" w:type="dxa"/>
        </w:tblCellMar>
      </w:tblPr>
      <w:tr>
        <w:trPr>
          <w:trHeight w:val="269"/>
        </w:trPr>
        <w:tc>
          <w:tcPr>
            <w:tcW w:w="1350" w:type="dxa"/>
            <w:vAlign w:val="bottom"/>
            <w:shd w:val="clear" w:color="auto" w:fill="F2F2F2"/>
          </w:tcPr>
          <w:p>
            <w:pPr>
              <w:ind w:left="100"/>
              <w:spacing w:after="0"/>
              <w:rPr>
                <w:sz w:val="20"/>
                <w:szCs w:val="20"/>
                <w:color w:val="auto"/>
              </w:rPr>
            </w:pPr>
            <w:r>
              <w:rPr>
                <w:rFonts w:ascii="Calibri" w:cs="Calibri" w:eastAsia="Calibri" w:hAnsi="Calibri"/>
                <w:sz w:val="20"/>
                <w:szCs w:val="20"/>
                <w:b w:val="1"/>
                <w:bCs w:val="1"/>
                <w:color w:val="auto"/>
              </w:rPr>
              <w:t>Success</w:t>
            </w:r>
          </w:p>
        </w:tc>
        <w:tc>
          <w:tcPr>
            <w:tcW w:w="1320" w:type="dxa"/>
            <w:vAlign w:val="bottom"/>
            <w:shd w:val="clear" w:color="auto" w:fill="F2F2F2"/>
          </w:tcPr>
          <w:p>
            <w:pPr>
              <w:ind w:left="50"/>
              <w:spacing w:after="0"/>
              <w:rPr>
                <w:sz w:val="20"/>
                <w:szCs w:val="20"/>
                <w:color w:val="auto"/>
              </w:rPr>
            </w:pPr>
            <w:r>
              <w:rPr>
                <w:rFonts w:ascii="Calibri" w:cs="Calibri" w:eastAsia="Calibri" w:hAnsi="Calibri"/>
                <w:sz w:val="20"/>
                <w:szCs w:val="20"/>
                <w:color w:val="auto"/>
                <w:shd w:val="clear" w:color="auto" w:fill="F2F2F2"/>
              </w:rPr>
              <w:t>Original play</w:t>
            </w:r>
          </w:p>
        </w:tc>
        <w:tc>
          <w:tcPr>
            <w:tcW w:w="1210" w:type="dxa"/>
            <w:vAlign w:val="bottom"/>
            <w:shd w:val="clear" w:color="auto" w:fill="F2F2F2"/>
          </w:tcPr>
          <w:p>
            <w:pPr>
              <w:ind w:left="430"/>
              <w:spacing w:after="0"/>
              <w:rPr>
                <w:sz w:val="20"/>
                <w:szCs w:val="20"/>
                <w:color w:val="auto"/>
              </w:rPr>
            </w:pPr>
            <w:r>
              <w:rPr>
                <w:rFonts w:ascii="Calibri" w:cs="Calibri" w:eastAsia="Calibri" w:hAnsi="Calibri"/>
                <w:sz w:val="22"/>
                <w:szCs w:val="22"/>
                <w:color w:val="auto"/>
              </w:rPr>
              <w:t>No</w:t>
            </w:r>
          </w:p>
        </w:tc>
      </w:tr>
      <w:tr>
        <w:trPr>
          <w:trHeight w:val="466"/>
        </w:trPr>
        <w:tc>
          <w:tcPr>
            <w:tcW w:w="1350" w:type="dxa"/>
            <w:vAlign w:val="bottom"/>
            <w:shd w:val="clear" w:color="auto" w:fill="F2F2F2"/>
          </w:tcPr>
          <w:p>
            <w:pPr>
              <w:spacing w:after="0"/>
              <w:rPr>
                <w:sz w:val="24"/>
                <w:szCs w:val="24"/>
                <w:color w:val="auto"/>
              </w:rPr>
            </w:pPr>
          </w:p>
        </w:tc>
        <w:tc>
          <w:tcPr>
            <w:tcW w:w="1320" w:type="dxa"/>
            <w:vAlign w:val="bottom"/>
            <w:shd w:val="clear" w:color="auto" w:fill="F2F2F2"/>
          </w:tcPr>
          <w:p>
            <w:pPr>
              <w:spacing w:after="0"/>
              <w:rPr>
                <w:sz w:val="24"/>
                <w:szCs w:val="24"/>
                <w:color w:val="auto"/>
              </w:rPr>
            </w:pPr>
          </w:p>
        </w:tc>
        <w:tc>
          <w:tcPr>
            <w:tcW w:w="1210" w:type="dxa"/>
            <w:vAlign w:val="bottom"/>
            <w:shd w:val="clear" w:color="auto" w:fill="F2F2F2"/>
          </w:tcPr>
          <w:p>
            <w:pPr>
              <w:spacing w:after="0"/>
              <w:rPr>
                <w:sz w:val="24"/>
                <w:szCs w:val="24"/>
                <w:color w:val="auto"/>
              </w:rPr>
            </w:pPr>
          </w:p>
        </w:tc>
      </w:tr>
      <w:tr>
        <w:trPr>
          <w:trHeight w:val="260"/>
        </w:trPr>
        <w:tc>
          <w:tcPr>
            <w:tcW w:w="1350" w:type="dxa"/>
            <w:vAlign w:val="bottom"/>
          </w:tcPr>
          <w:p>
            <w:pPr>
              <w:ind w:left="100"/>
              <w:spacing w:after="0" w:line="238" w:lineRule="exact"/>
              <w:rPr>
                <w:sz w:val="20"/>
                <w:szCs w:val="20"/>
                <w:color w:val="auto"/>
              </w:rPr>
            </w:pPr>
            <w:r>
              <w:rPr>
                <w:rFonts w:ascii="Calibri" w:cs="Calibri" w:eastAsia="Calibri" w:hAnsi="Calibri"/>
                <w:sz w:val="20"/>
                <w:szCs w:val="20"/>
                <w:b w:val="1"/>
                <w:bCs w:val="1"/>
                <w:color w:val="auto"/>
              </w:rPr>
              <w:t>Success</w:t>
            </w:r>
          </w:p>
        </w:tc>
        <w:tc>
          <w:tcPr>
            <w:tcW w:w="1320" w:type="dxa"/>
            <w:vAlign w:val="bottom"/>
          </w:tcPr>
          <w:p>
            <w:pPr>
              <w:ind w:left="50"/>
              <w:spacing w:after="0" w:line="238" w:lineRule="exact"/>
              <w:rPr>
                <w:sz w:val="20"/>
                <w:szCs w:val="20"/>
                <w:color w:val="auto"/>
              </w:rPr>
            </w:pPr>
            <w:r>
              <w:rPr>
                <w:rFonts w:ascii="Calibri" w:cs="Calibri" w:eastAsia="Calibri" w:hAnsi="Calibri"/>
                <w:sz w:val="20"/>
                <w:szCs w:val="20"/>
                <w:color w:val="auto"/>
              </w:rPr>
              <w:t>Original anti-</w:t>
            </w:r>
          </w:p>
        </w:tc>
        <w:tc>
          <w:tcPr>
            <w:tcW w:w="1210" w:type="dxa"/>
            <w:vAlign w:val="bottom"/>
          </w:tcPr>
          <w:p>
            <w:pPr>
              <w:ind w:left="430"/>
              <w:spacing w:after="0" w:line="260" w:lineRule="exact"/>
              <w:rPr>
                <w:sz w:val="20"/>
                <w:szCs w:val="20"/>
                <w:color w:val="auto"/>
              </w:rPr>
            </w:pPr>
            <w:r>
              <w:rPr>
                <w:rFonts w:ascii="Calibri" w:cs="Calibri" w:eastAsia="Calibri" w:hAnsi="Calibri"/>
                <w:sz w:val="22"/>
                <w:szCs w:val="22"/>
                <w:color w:val="auto"/>
              </w:rPr>
              <w:t>No</w:t>
            </w:r>
          </w:p>
        </w:tc>
      </w:tr>
      <w:tr>
        <w:trPr>
          <w:trHeight w:val="222"/>
        </w:trPr>
        <w:tc>
          <w:tcPr>
            <w:tcW w:w="1350" w:type="dxa"/>
            <w:vAlign w:val="bottom"/>
          </w:tcPr>
          <w:p>
            <w:pPr>
              <w:spacing w:after="0"/>
              <w:rPr>
                <w:sz w:val="19"/>
                <w:szCs w:val="19"/>
                <w:color w:val="auto"/>
              </w:rPr>
            </w:pPr>
          </w:p>
        </w:tc>
        <w:tc>
          <w:tcPr>
            <w:tcW w:w="1320" w:type="dxa"/>
            <w:vAlign w:val="bottom"/>
          </w:tcPr>
          <w:p>
            <w:pPr>
              <w:ind w:left="50"/>
              <w:spacing w:after="0" w:line="222" w:lineRule="exact"/>
              <w:rPr>
                <w:sz w:val="20"/>
                <w:szCs w:val="20"/>
                <w:color w:val="auto"/>
              </w:rPr>
            </w:pPr>
            <w:r>
              <w:rPr>
                <w:rFonts w:ascii="Calibri" w:cs="Calibri" w:eastAsia="Calibri" w:hAnsi="Calibri"/>
                <w:sz w:val="20"/>
                <w:szCs w:val="20"/>
                <w:color w:val="auto"/>
              </w:rPr>
              <w:t>bullying play</w:t>
            </w:r>
          </w:p>
        </w:tc>
        <w:tc>
          <w:tcPr>
            <w:tcW w:w="1210" w:type="dxa"/>
            <w:vAlign w:val="bottom"/>
          </w:tcPr>
          <w:p>
            <w:pPr>
              <w:spacing w:after="0"/>
              <w:rPr>
                <w:sz w:val="19"/>
                <w:szCs w:val="19"/>
                <w:color w:val="auto"/>
              </w:rPr>
            </w:pPr>
          </w:p>
        </w:tc>
      </w:tr>
      <w:tr>
        <w:trPr>
          <w:trHeight w:val="245"/>
        </w:trPr>
        <w:tc>
          <w:tcPr>
            <w:tcW w:w="1350" w:type="dxa"/>
            <w:vAlign w:val="bottom"/>
          </w:tcPr>
          <w:p>
            <w:pPr>
              <w:spacing w:after="0"/>
              <w:rPr>
                <w:sz w:val="21"/>
                <w:szCs w:val="21"/>
                <w:color w:val="auto"/>
              </w:rPr>
            </w:pPr>
          </w:p>
        </w:tc>
        <w:tc>
          <w:tcPr>
            <w:tcW w:w="1320" w:type="dxa"/>
            <w:vAlign w:val="bottom"/>
          </w:tcPr>
          <w:p>
            <w:pPr>
              <w:ind w:left="50"/>
              <w:spacing w:after="0"/>
              <w:rPr>
                <w:sz w:val="20"/>
                <w:szCs w:val="20"/>
                <w:color w:val="auto"/>
              </w:rPr>
            </w:pPr>
            <w:r>
              <w:rPr>
                <w:rFonts w:ascii="Calibri" w:cs="Calibri" w:eastAsia="Calibri" w:hAnsi="Calibri"/>
                <w:sz w:val="20"/>
                <w:szCs w:val="20"/>
                <w:color w:val="auto"/>
              </w:rPr>
              <w:t>for children</w:t>
            </w:r>
          </w:p>
        </w:tc>
        <w:tc>
          <w:tcPr>
            <w:tcW w:w="1210" w:type="dxa"/>
            <w:vAlign w:val="bottom"/>
          </w:tcPr>
          <w:p>
            <w:pPr>
              <w:spacing w:after="0"/>
              <w:rPr>
                <w:sz w:val="21"/>
                <w:szCs w:val="21"/>
                <w:color w:val="auto"/>
              </w:rPr>
            </w:pPr>
          </w:p>
        </w:tc>
      </w:tr>
      <w:tr>
        <w:trPr>
          <w:trHeight w:val="146"/>
        </w:trPr>
        <w:tc>
          <w:tcPr>
            <w:tcW w:w="1350" w:type="dxa"/>
            <w:vAlign w:val="bottom"/>
          </w:tcPr>
          <w:p>
            <w:pPr>
              <w:spacing w:after="0"/>
              <w:rPr>
                <w:sz w:val="12"/>
                <w:szCs w:val="12"/>
                <w:color w:val="auto"/>
              </w:rPr>
            </w:pPr>
          </w:p>
        </w:tc>
        <w:tc>
          <w:tcPr>
            <w:tcW w:w="1320" w:type="dxa"/>
            <w:vAlign w:val="bottom"/>
          </w:tcPr>
          <w:p>
            <w:pPr>
              <w:spacing w:after="0"/>
              <w:rPr>
                <w:sz w:val="12"/>
                <w:szCs w:val="12"/>
                <w:color w:val="auto"/>
              </w:rPr>
            </w:pPr>
          </w:p>
        </w:tc>
        <w:tc>
          <w:tcPr>
            <w:tcW w:w="1210" w:type="dxa"/>
            <w:vAlign w:val="bottom"/>
          </w:tcPr>
          <w:p>
            <w:pPr>
              <w:spacing w:after="0"/>
              <w:rPr>
                <w:sz w:val="12"/>
                <w:szCs w:val="12"/>
                <w:color w:val="auto"/>
              </w:rPr>
            </w:pPr>
          </w:p>
        </w:tc>
      </w:tr>
      <w:tr>
        <w:trPr>
          <w:trHeight w:val="245"/>
        </w:trPr>
        <w:tc>
          <w:tcPr>
            <w:tcW w:w="1350" w:type="dxa"/>
            <w:vAlign w:val="bottom"/>
            <w:shd w:val="clear" w:color="auto" w:fill="F2F2F2"/>
          </w:tcPr>
          <w:p>
            <w:pPr>
              <w:ind w:left="100"/>
              <w:spacing w:after="0" w:line="238" w:lineRule="exact"/>
              <w:rPr>
                <w:sz w:val="20"/>
                <w:szCs w:val="20"/>
                <w:color w:val="auto"/>
              </w:rPr>
            </w:pPr>
            <w:r>
              <w:rPr>
                <w:rFonts w:ascii="Calibri" w:cs="Calibri" w:eastAsia="Calibri" w:hAnsi="Calibri"/>
                <w:sz w:val="20"/>
                <w:szCs w:val="20"/>
                <w:b w:val="1"/>
                <w:bCs w:val="1"/>
                <w:color w:val="auto"/>
              </w:rPr>
              <w:t>Artistic Hit</w:t>
            </w:r>
          </w:p>
        </w:tc>
        <w:tc>
          <w:tcPr>
            <w:tcW w:w="1320" w:type="dxa"/>
            <w:vAlign w:val="bottom"/>
            <w:shd w:val="clear" w:color="auto" w:fill="F2F2F2"/>
          </w:tcPr>
          <w:p>
            <w:pPr>
              <w:ind w:left="50"/>
              <w:spacing w:after="0" w:line="238" w:lineRule="exact"/>
              <w:rPr>
                <w:sz w:val="20"/>
                <w:szCs w:val="20"/>
                <w:color w:val="auto"/>
              </w:rPr>
            </w:pPr>
            <w:r>
              <w:rPr>
                <w:rFonts w:ascii="Calibri" w:cs="Calibri" w:eastAsia="Calibri" w:hAnsi="Calibri"/>
                <w:sz w:val="20"/>
                <w:szCs w:val="20"/>
                <w:color w:val="auto"/>
                <w:shd w:val="clear" w:color="auto" w:fill="F2F2F2"/>
              </w:rPr>
              <w:t>Original play</w:t>
            </w:r>
          </w:p>
        </w:tc>
        <w:tc>
          <w:tcPr>
            <w:tcW w:w="1210" w:type="dxa"/>
            <w:vAlign w:val="bottom"/>
            <w:shd w:val="clear" w:color="auto" w:fill="F2F2F2"/>
          </w:tcPr>
          <w:p>
            <w:pPr>
              <w:ind w:left="430"/>
              <w:spacing w:after="0" w:line="244" w:lineRule="exact"/>
              <w:rPr>
                <w:sz w:val="20"/>
                <w:szCs w:val="20"/>
                <w:color w:val="auto"/>
              </w:rPr>
            </w:pPr>
            <w:r>
              <w:rPr>
                <w:rFonts w:ascii="Calibri" w:cs="Calibri" w:eastAsia="Calibri" w:hAnsi="Calibri"/>
                <w:sz w:val="22"/>
                <w:szCs w:val="22"/>
                <w:color w:val="auto"/>
              </w:rPr>
              <w:t>No</w:t>
            </w:r>
          </w:p>
        </w:tc>
      </w:tr>
      <w:tr>
        <w:trPr>
          <w:trHeight w:val="377"/>
        </w:trPr>
        <w:tc>
          <w:tcPr>
            <w:tcW w:w="1350" w:type="dxa"/>
            <w:vAlign w:val="bottom"/>
            <w:shd w:val="clear" w:color="auto" w:fill="F2F2F2"/>
          </w:tcPr>
          <w:p>
            <w:pPr>
              <w:spacing w:after="0"/>
              <w:rPr>
                <w:sz w:val="24"/>
                <w:szCs w:val="24"/>
                <w:color w:val="auto"/>
              </w:rPr>
            </w:pPr>
          </w:p>
        </w:tc>
        <w:tc>
          <w:tcPr>
            <w:tcW w:w="1320" w:type="dxa"/>
            <w:vAlign w:val="bottom"/>
            <w:shd w:val="clear" w:color="auto" w:fill="F2F2F2"/>
          </w:tcPr>
          <w:p>
            <w:pPr>
              <w:spacing w:after="0"/>
              <w:rPr>
                <w:sz w:val="24"/>
                <w:szCs w:val="24"/>
                <w:color w:val="auto"/>
              </w:rPr>
            </w:pPr>
          </w:p>
        </w:tc>
        <w:tc>
          <w:tcPr>
            <w:tcW w:w="1210" w:type="dxa"/>
            <w:vAlign w:val="bottom"/>
            <w:shd w:val="clear" w:color="auto" w:fill="F2F2F2"/>
          </w:tcPr>
          <w:p>
            <w:pPr>
              <w:spacing w:after="0"/>
              <w:rPr>
                <w:sz w:val="24"/>
                <w:szCs w:val="24"/>
                <w:color w:val="auto"/>
              </w:rPr>
            </w:pPr>
          </w:p>
        </w:tc>
      </w:tr>
      <w:tr>
        <w:trPr>
          <w:trHeight w:val="260"/>
        </w:trPr>
        <w:tc>
          <w:tcPr>
            <w:tcW w:w="1350" w:type="dxa"/>
            <w:vAlign w:val="bottom"/>
          </w:tcPr>
          <w:p>
            <w:pPr>
              <w:ind w:left="100"/>
              <w:spacing w:after="0" w:line="238" w:lineRule="exact"/>
              <w:rPr>
                <w:sz w:val="20"/>
                <w:szCs w:val="20"/>
                <w:color w:val="auto"/>
              </w:rPr>
            </w:pPr>
            <w:r>
              <w:rPr>
                <w:rFonts w:ascii="Calibri" w:cs="Calibri" w:eastAsia="Calibri" w:hAnsi="Calibri"/>
                <w:sz w:val="20"/>
                <w:szCs w:val="20"/>
                <w:b w:val="1"/>
                <w:bCs w:val="1"/>
                <w:color w:val="auto"/>
              </w:rPr>
              <w:t>Artistic Hit</w:t>
            </w:r>
          </w:p>
        </w:tc>
        <w:tc>
          <w:tcPr>
            <w:tcW w:w="1320" w:type="dxa"/>
            <w:vAlign w:val="bottom"/>
          </w:tcPr>
          <w:p>
            <w:pPr>
              <w:ind w:left="50"/>
              <w:spacing w:after="0" w:line="238" w:lineRule="exact"/>
              <w:rPr>
                <w:sz w:val="20"/>
                <w:szCs w:val="20"/>
                <w:color w:val="auto"/>
              </w:rPr>
            </w:pPr>
            <w:r>
              <w:rPr>
                <w:rFonts w:ascii="Calibri" w:cs="Calibri" w:eastAsia="Calibri" w:hAnsi="Calibri"/>
                <w:sz w:val="20"/>
                <w:szCs w:val="20"/>
                <w:color w:val="auto"/>
              </w:rPr>
              <w:t>Original play</w:t>
            </w:r>
          </w:p>
        </w:tc>
        <w:tc>
          <w:tcPr>
            <w:tcW w:w="1210" w:type="dxa"/>
            <w:vAlign w:val="bottom"/>
          </w:tcPr>
          <w:p>
            <w:pPr>
              <w:ind w:left="430"/>
              <w:spacing w:after="0" w:line="260" w:lineRule="exact"/>
              <w:rPr>
                <w:sz w:val="20"/>
                <w:szCs w:val="20"/>
                <w:color w:val="auto"/>
              </w:rPr>
            </w:pPr>
            <w:r>
              <w:rPr>
                <w:rFonts w:ascii="Calibri" w:cs="Calibri" w:eastAsia="Calibri" w:hAnsi="Calibri"/>
                <w:sz w:val="22"/>
                <w:szCs w:val="22"/>
                <w:color w:val="auto"/>
              </w:rPr>
              <w:t>No</w:t>
            </w:r>
          </w:p>
        </w:tc>
      </w:tr>
      <w:tr>
        <w:trPr>
          <w:trHeight w:val="362"/>
        </w:trPr>
        <w:tc>
          <w:tcPr>
            <w:tcW w:w="135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1210" w:type="dxa"/>
            <w:vAlign w:val="bottom"/>
          </w:tcPr>
          <w:p>
            <w:pPr>
              <w:spacing w:after="0"/>
              <w:rPr>
                <w:sz w:val="24"/>
                <w:szCs w:val="24"/>
                <w:color w:val="auto"/>
              </w:rPr>
            </w:pPr>
          </w:p>
        </w:tc>
      </w:tr>
      <w:tr>
        <w:trPr>
          <w:trHeight w:val="242"/>
        </w:trPr>
        <w:tc>
          <w:tcPr>
            <w:tcW w:w="1350" w:type="dxa"/>
            <w:vAlign w:val="bottom"/>
            <w:shd w:val="clear" w:color="auto" w:fill="F2F2F2"/>
          </w:tcPr>
          <w:p>
            <w:pPr>
              <w:ind w:left="100"/>
              <w:spacing w:after="0" w:line="238" w:lineRule="exact"/>
              <w:rPr>
                <w:sz w:val="20"/>
                <w:szCs w:val="20"/>
                <w:color w:val="auto"/>
              </w:rPr>
            </w:pPr>
            <w:r>
              <w:rPr>
                <w:rFonts w:ascii="Calibri" w:cs="Calibri" w:eastAsia="Calibri" w:hAnsi="Calibri"/>
                <w:sz w:val="20"/>
                <w:szCs w:val="20"/>
                <w:b w:val="1"/>
                <w:bCs w:val="1"/>
                <w:color w:val="auto"/>
                <w:shd w:val="clear" w:color="auto" w:fill="F2F2F2"/>
              </w:rPr>
              <w:t>Commercial</w:t>
            </w:r>
          </w:p>
        </w:tc>
        <w:tc>
          <w:tcPr>
            <w:tcW w:w="1320" w:type="dxa"/>
            <w:vAlign w:val="bottom"/>
            <w:shd w:val="clear" w:color="auto" w:fill="F2F2F2"/>
          </w:tcPr>
          <w:p>
            <w:pPr>
              <w:ind w:left="50"/>
              <w:spacing w:after="0" w:line="238" w:lineRule="exact"/>
              <w:rPr>
                <w:sz w:val="20"/>
                <w:szCs w:val="20"/>
                <w:color w:val="auto"/>
              </w:rPr>
            </w:pPr>
            <w:r>
              <w:rPr>
                <w:rFonts w:ascii="Calibri" w:cs="Calibri" w:eastAsia="Calibri" w:hAnsi="Calibri"/>
                <w:sz w:val="20"/>
                <w:szCs w:val="20"/>
                <w:color w:val="auto"/>
              </w:rPr>
              <w:t>Original</w:t>
            </w:r>
          </w:p>
        </w:tc>
        <w:tc>
          <w:tcPr>
            <w:tcW w:w="1210" w:type="dxa"/>
            <w:vAlign w:val="bottom"/>
            <w:shd w:val="clear" w:color="auto" w:fill="F2F2F2"/>
          </w:tcPr>
          <w:p>
            <w:pPr>
              <w:ind w:left="430"/>
              <w:spacing w:after="0" w:line="242" w:lineRule="exact"/>
              <w:rPr>
                <w:sz w:val="20"/>
                <w:szCs w:val="20"/>
                <w:color w:val="auto"/>
              </w:rPr>
            </w:pPr>
            <w:r>
              <w:rPr>
                <w:rFonts w:ascii="Calibri" w:cs="Calibri" w:eastAsia="Calibri" w:hAnsi="Calibri"/>
                <w:sz w:val="22"/>
                <w:szCs w:val="22"/>
                <w:color w:val="auto"/>
              </w:rPr>
              <w:t>No</w:t>
            </w:r>
          </w:p>
        </w:tc>
      </w:tr>
      <w:tr>
        <w:trPr>
          <w:trHeight w:val="238"/>
        </w:trPr>
        <w:tc>
          <w:tcPr>
            <w:tcW w:w="1350" w:type="dxa"/>
            <w:vAlign w:val="bottom"/>
            <w:shd w:val="clear" w:color="auto" w:fill="F2F2F2"/>
          </w:tcPr>
          <w:p>
            <w:pPr>
              <w:ind w:left="100"/>
              <w:spacing w:after="0" w:line="238" w:lineRule="exact"/>
              <w:rPr>
                <w:sz w:val="20"/>
                <w:szCs w:val="20"/>
                <w:color w:val="auto"/>
              </w:rPr>
            </w:pPr>
            <w:r>
              <w:rPr>
                <w:rFonts w:ascii="Calibri" w:cs="Calibri" w:eastAsia="Calibri" w:hAnsi="Calibri"/>
                <w:sz w:val="20"/>
                <w:szCs w:val="20"/>
                <w:b w:val="1"/>
                <w:bCs w:val="1"/>
                <w:color w:val="auto"/>
              </w:rPr>
              <w:t>Hit</w:t>
            </w:r>
          </w:p>
        </w:tc>
        <w:tc>
          <w:tcPr>
            <w:tcW w:w="1320" w:type="dxa"/>
            <w:vAlign w:val="bottom"/>
            <w:shd w:val="clear" w:color="auto" w:fill="F2F2F2"/>
          </w:tcPr>
          <w:p>
            <w:pPr>
              <w:ind w:left="50"/>
              <w:spacing w:after="0" w:line="238" w:lineRule="exact"/>
              <w:rPr>
                <w:sz w:val="20"/>
                <w:szCs w:val="20"/>
                <w:color w:val="auto"/>
              </w:rPr>
            </w:pPr>
            <w:r>
              <w:rPr>
                <w:rFonts w:ascii="Calibri" w:cs="Calibri" w:eastAsia="Calibri" w:hAnsi="Calibri"/>
                <w:sz w:val="20"/>
                <w:szCs w:val="20"/>
                <w:color w:val="auto"/>
              </w:rPr>
              <w:t>musical</w:t>
            </w:r>
          </w:p>
        </w:tc>
        <w:tc>
          <w:tcPr>
            <w:tcW w:w="1210" w:type="dxa"/>
            <w:vAlign w:val="bottom"/>
            <w:shd w:val="clear" w:color="auto" w:fill="F2F2F2"/>
          </w:tcPr>
          <w:p>
            <w:pPr>
              <w:spacing w:after="0"/>
              <w:rPr>
                <w:sz w:val="20"/>
                <w:szCs w:val="20"/>
                <w:color w:val="auto"/>
              </w:rPr>
            </w:pPr>
          </w:p>
        </w:tc>
      </w:tr>
      <w:tr>
        <w:trPr>
          <w:trHeight w:val="139"/>
        </w:trPr>
        <w:tc>
          <w:tcPr>
            <w:tcW w:w="1350" w:type="dxa"/>
            <w:vAlign w:val="bottom"/>
            <w:shd w:val="clear" w:color="auto" w:fill="F2F2F2"/>
          </w:tcPr>
          <w:p>
            <w:pPr>
              <w:spacing w:after="0"/>
              <w:rPr>
                <w:sz w:val="12"/>
                <w:szCs w:val="12"/>
                <w:color w:val="auto"/>
              </w:rPr>
            </w:pPr>
          </w:p>
        </w:tc>
        <w:tc>
          <w:tcPr>
            <w:tcW w:w="1320" w:type="dxa"/>
            <w:vAlign w:val="bottom"/>
            <w:shd w:val="clear" w:color="auto" w:fill="F2F2F2"/>
          </w:tcPr>
          <w:p>
            <w:pPr>
              <w:spacing w:after="0"/>
              <w:rPr>
                <w:sz w:val="12"/>
                <w:szCs w:val="12"/>
                <w:color w:val="auto"/>
              </w:rPr>
            </w:pPr>
          </w:p>
        </w:tc>
        <w:tc>
          <w:tcPr>
            <w:tcW w:w="1210" w:type="dxa"/>
            <w:vAlign w:val="bottom"/>
            <w:shd w:val="clear" w:color="auto" w:fill="F2F2F2"/>
          </w:tcPr>
          <w:p>
            <w:pPr>
              <w:spacing w:after="0"/>
              <w:rPr>
                <w:sz w:val="12"/>
                <w:szCs w:val="12"/>
                <w:color w:val="auto"/>
              </w:rPr>
            </w:pPr>
          </w:p>
        </w:tc>
      </w:tr>
      <w:tr>
        <w:trPr>
          <w:trHeight w:val="260"/>
        </w:trPr>
        <w:tc>
          <w:tcPr>
            <w:tcW w:w="1350" w:type="dxa"/>
            <w:vAlign w:val="bottom"/>
          </w:tcPr>
          <w:p>
            <w:pPr>
              <w:ind w:left="100"/>
              <w:spacing w:after="0" w:line="238" w:lineRule="exact"/>
              <w:rPr>
                <w:sz w:val="20"/>
                <w:szCs w:val="20"/>
                <w:color w:val="auto"/>
              </w:rPr>
            </w:pPr>
            <w:r>
              <w:rPr>
                <w:rFonts w:ascii="Calibri" w:cs="Calibri" w:eastAsia="Calibri" w:hAnsi="Calibri"/>
                <w:sz w:val="20"/>
                <w:szCs w:val="20"/>
                <w:b w:val="1"/>
                <w:bCs w:val="1"/>
                <w:color w:val="auto"/>
              </w:rPr>
              <w:t>Commercial</w:t>
            </w:r>
          </w:p>
        </w:tc>
        <w:tc>
          <w:tcPr>
            <w:tcW w:w="1320" w:type="dxa"/>
            <w:vAlign w:val="bottom"/>
          </w:tcPr>
          <w:p>
            <w:pPr>
              <w:ind w:left="50"/>
              <w:spacing w:after="0" w:line="238" w:lineRule="exact"/>
              <w:rPr>
                <w:sz w:val="20"/>
                <w:szCs w:val="20"/>
                <w:color w:val="auto"/>
              </w:rPr>
            </w:pPr>
            <w:r>
              <w:rPr>
                <w:rFonts w:ascii="Calibri" w:cs="Calibri" w:eastAsia="Calibri" w:hAnsi="Calibri"/>
                <w:sz w:val="20"/>
                <w:szCs w:val="20"/>
                <w:color w:val="auto"/>
              </w:rPr>
              <w:t>Original</w:t>
            </w:r>
          </w:p>
        </w:tc>
        <w:tc>
          <w:tcPr>
            <w:tcW w:w="1210" w:type="dxa"/>
            <w:vAlign w:val="bottom"/>
          </w:tcPr>
          <w:p>
            <w:pPr>
              <w:ind w:left="430"/>
              <w:spacing w:after="0" w:line="260" w:lineRule="exact"/>
              <w:rPr>
                <w:sz w:val="20"/>
                <w:szCs w:val="20"/>
                <w:color w:val="auto"/>
              </w:rPr>
            </w:pPr>
            <w:r>
              <w:rPr>
                <w:rFonts w:ascii="Calibri" w:cs="Calibri" w:eastAsia="Calibri" w:hAnsi="Calibri"/>
                <w:sz w:val="22"/>
                <w:szCs w:val="22"/>
                <w:color w:val="auto"/>
              </w:rPr>
              <w:t>No</w:t>
            </w:r>
          </w:p>
        </w:tc>
      </w:tr>
      <w:tr>
        <w:trPr>
          <w:trHeight w:val="222"/>
        </w:trPr>
        <w:tc>
          <w:tcPr>
            <w:tcW w:w="1350" w:type="dxa"/>
            <w:vAlign w:val="bottom"/>
          </w:tcPr>
          <w:p>
            <w:pPr>
              <w:ind w:left="100"/>
              <w:spacing w:after="0" w:line="222" w:lineRule="exact"/>
              <w:rPr>
                <w:sz w:val="20"/>
                <w:szCs w:val="20"/>
                <w:color w:val="auto"/>
              </w:rPr>
            </w:pPr>
            <w:r>
              <w:rPr>
                <w:rFonts w:ascii="Calibri" w:cs="Calibri" w:eastAsia="Calibri" w:hAnsi="Calibri"/>
                <w:sz w:val="20"/>
                <w:szCs w:val="20"/>
                <w:b w:val="1"/>
                <w:bCs w:val="1"/>
                <w:color w:val="auto"/>
              </w:rPr>
              <w:t>Hit</w:t>
            </w:r>
          </w:p>
        </w:tc>
        <w:tc>
          <w:tcPr>
            <w:tcW w:w="1320" w:type="dxa"/>
            <w:vAlign w:val="bottom"/>
          </w:tcPr>
          <w:p>
            <w:pPr>
              <w:ind w:left="50"/>
              <w:spacing w:after="0" w:line="222" w:lineRule="exact"/>
              <w:rPr>
                <w:sz w:val="20"/>
                <w:szCs w:val="20"/>
                <w:color w:val="auto"/>
              </w:rPr>
            </w:pPr>
            <w:r>
              <w:rPr>
                <w:rFonts w:ascii="Calibri" w:cs="Calibri" w:eastAsia="Calibri" w:hAnsi="Calibri"/>
                <w:sz w:val="20"/>
                <w:szCs w:val="20"/>
                <w:color w:val="auto"/>
              </w:rPr>
              <w:t>musical</w:t>
            </w:r>
          </w:p>
        </w:tc>
        <w:tc>
          <w:tcPr>
            <w:tcW w:w="1210" w:type="dxa"/>
            <w:vAlign w:val="bottom"/>
          </w:tcPr>
          <w:p>
            <w:pPr>
              <w:spacing w:after="0"/>
              <w:rPr>
                <w:sz w:val="19"/>
                <w:szCs w:val="19"/>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20"/>
        </w:trPr>
        <w:tc>
          <w:tcPr>
            <w:tcW w:w="5530" w:type="dxa"/>
            <w:vAlign w:val="bottom"/>
            <w:shd w:val="clear" w:color="auto" w:fill="F2F2F2"/>
          </w:tcPr>
          <w:p>
            <w:pPr>
              <w:ind w:left="100"/>
              <w:spacing w:after="0"/>
              <w:rPr>
                <w:sz w:val="20"/>
                <w:szCs w:val="20"/>
                <w:color w:val="auto"/>
              </w:rPr>
            </w:pPr>
            <w:r>
              <w:rPr>
                <w:rFonts w:ascii="Calibri" w:cs="Calibri" w:eastAsia="Calibri" w:hAnsi="Calibri"/>
                <w:sz w:val="18"/>
                <w:szCs w:val="18"/>
                <w:color w:val="auto"/>
              </w:rPr>
              <w:t>Toured various theaters. 1200- 1500 audience members total. Broke</w:t>
            </w:r>
          </w:p>
        </w:tc>
        <w:tc>
          <w:tcPr>
            <w:tcW w:w="4190" w:type="dxa"/>
            <w:vAlign w:val="bottom"/>
            <w:shd w:val="clear" w:color="auto" w:fill="F2F2F2"/>
          </w:tcPr>
          <w:p>
            <w:pPr>
              <w:ind w:left="50"/>
              <w:spacing w:after="0"/>
              <w:rPr>
                <w:sz w:val="20"/>
                <w:szCs w:val="20"/>
                <w:color w:val="auto"/>
              </w:rPr>
            </w:pPr>
            <w:r>
              <w:rPr>
                <w:rFonts w:ascii="Calibri" w:cs="Calibri" w:eastAsia="Calibri" w:hAnsi="Calibri"/>
                <w:sz w:val="18"/>
                <w:szCs w:val="18"/>
                <w:color w:val="auto"/>
              </w:rPr>
              <w:t>Positive local reviews.</w:t>
            </w:r>
          </w:p>
        </w:tc>
      </w:tr>
      <w:tr>
        <w:trPr>
          <w:trHeight w:val="221"/>
        </w:trPr>
        <w:tc>
          <w:tcPr>
            <w:tcW w:w="5530" w:type="dxa"/>
            <w:vAlign w:val="bottom"/>
            <w:shd w:val="clear" w:color="auto" w:fill="F2F2F2"/>
          </w:tcPr>
          <w:p>
            <w:pPr>
              <w:ind w:left="100"/>
              <w:spacing w:after="0"/>
              <w:rPr>
                <w:sz w:val="20"/>
                <w:szCs w:val="20"/>
                <w:color w:val="auto"/>
              </w:rPr>
            </w:pPr>
            <w:r>
              <w:rPr>
                <w:rFonts w:ascii="Calibri" w:cs="Calibri" w:eastAsia="Calibri" w:hAnsi="Calibri"/>
                <w:sz w:val="18"/>
                <w:szCs w:val="18"/>
                <w:color w:val="auto"/>
              </w:rPr>
              <w:t>even. Additional tours planned.</w:t>
            </w:r>
          </w:p>
        </w:tc>
        <w:tc>
          <w:tcPr>
            <w:tcW w:w="4190" w:type="dxa"/>
            <w:vAlign w:val="bottom"/>
            <w:shd w:val="clear" w:color="auto" w:fill="F2F2F2"/>
          </w:tcPr>
          <w:p>
            <w:pPr>
              <w:spacing w:after="0"/>
              <w:rPr>
                <w:sz w:val="19"/>
                <w:szCs w:val="19"/>
                <w:color w:val="auto"/>
              </w:rPr>
            </w:pPr>
          </w:p>
        </w:tc>
      </w:tr>
      <w:tr>
        <w:trPr>
          <w:trHeight w:val="275"/>
        </w:trPr>
        <w:tc>
          <w:tcPr>
            <w:tcW w:w="5530" w:type="dxa"/>
            <w:vAlign w:val="bottom"/>
            <w:shd w:val="clear" w:color="auto" w:fill="F2F2F2"/>
          </w:tcPr>
          <w:p>
            <w:pPr>
              <w:spacing w:after="0"/>
              <w:rPr>
                <w:sz w:val="23"/>
                <w:szCs w:val="23"/>
                <w:color w:val="auto"/>
              </w:rPr>
            </w:pPr>
          </w:p>
        </w:tc>
        <w:tc>
          <w:tcPr>
            <w:tcW w:w="4190" w:type="dxa"/>
            <w:vAlign w:val="bottom"/>
            <w:shd w:val="clear" w:color="auto" w:fill="F2F2F2"/>
          </w:tcPr>
          <w:p>
            <w:pPr>
              <w:spacing w:after="0"/>
              <w:rPr>
                <w:sz w:val="23"/>
                <w:szCs w:val="23"/>
                <w:color w:val="auto"/>
              </w:rPr>
            </w:pPr>
          </w:p>
        </w:tc>
      </w:tr>
      <w:tr>
        <w:trPr>
          <w:trHeight w:val="214"/>
        </w:trPr>
        <w:tc>
          <w:tcPr>
            <w:tcW w:w="5530" w:type="dxa"/>
            <w:vAlign w:val="bottom"/>
          </w:tcPr>
          <w:p>
            <w:pPr>
              <w:ind w:left="100"/>
              <w:spacing w:after="0" w:line="215" w:lineRule="exact"/>
              <w:rPr>
                <w:sz w:val="20"/>
                <w:szCs w:val="20"/>
                <w:color w:val="auto"/>
              </w:rPr>
            </w:pPr>
            <w:r>
              <w:rPr>
                <w:rFonts w:ascii="Calibri" w:cs="Calibri" w:eastAsia="Calibri" w:hAnsi="Calibri"/>
                <w:sz w:val="18"/>
                <w:szCs w:val="18"/>
                <w:color w:val="auto"/>
              </w:rPr>
              <w:t>Continual performances in New York, over 12,000 children total in</w:t>
            </w:r>
          </w:p>
        </w:tc>
        <w:tc>
          <w:tcPr>
            <w:tcW w:w="4190" w:type="dxa"/>
            <w:vAlign w:val="bottom"/>
          </w:tcPr>
          <w:p>
            <w:pPr>
              <w:ind w:left="50"/>
              <w:spacing w:after="0" w:line="215" w:lineRule="exact"/>
              <w:rPr>
                <w:sz w:val="20"/>
                <w:szCs w:val="20"/>
                <w:color w:val="auto"/>
              </w:rPr>
            </w:pPr>
            <w:r>
              <w:rPr>
                <w:rFonts w:ascii="Calibri" w:cs="Calibri" w:eastAsia="Calibri" w:hAnsi="Calibri"/>
                <w:sz w:val="18"/>
                <w:szCs w:val="18"/>
                <w:color w:val="auto"/>
              </w:rPr>
              <w:t>No official coverage in publications</w:t>
            </w:r>
          </w:p>
        </w:tc>
      </w:tr>
      <w:tr>
        <w:trPr>
          <w:trHeight w:val="221"/>
        </w:trPr>
        <w:tc>
          <w:tcPr>
            <w:tcW w:w="5530" w:type="dxa"/>
            <w:vAlign w:val="bottom"/>
          </w:tcPr>
          <w:p>
            <w:pPr>
              <w:ind w:left="100"/>
              <w:spacing w:after="0"/>
              <w:rPr>
                <w:sz w:val="20"/>
                <w:szCs w:val="20"/>
                <w:color w:val="auto"/>
              </w:rPr>
            </w:pPr>
            <w:r>
              <w:rPr>
                <w:rFonts w:ascii="Calibri" w:cs="Calibri" w:eastAsia="Calibri" w:hAnsi="Calibri"/>
                <w:sz w:val="18"/>
                <w:szCs w:val="18"/>
                <w:color w:val="auto"/>
              </w:rPr>
              <w:t>audience</w:t>
            </w:r>
          </w:p>
        </w:tc>
        <w:tc>
          <w:tcPr>
            <w:tcW w:w="4190" w:type="dxa"/>
            <w:vAlign w:val="bottom"/>
          </w:tcPr>
          <w:p>
            <w:pPr>
              <w:spacing w:after="0"/>
              <w:rPr>
                <w:sz w:val="19"/>
                <w:szCs w:val="19"/>
                <w:color w:val="auto"/>
              </w:rPr>
            </w:pPr>
          </w:p>
        </w:tc>
      </w:tr>
      <w:tr>
        <w:trPr>
          <w:trHeight w:val="438"/>
        </w:trPr>
        <w:tc>
          <w:tcPr>
            <w:tcW w:w="5530" w:type="dxa"/>
            <w:vAlign w:val="bottom"/>
          </w:tcPr>
          <w:p>
            <w:pPr>
              <w:spacing w:after="0"/>
              <w:rPr>
                <w:sz w:val="24"/>
                <w:szCs w:val="24"/>
                <w:color w:val="auto"/>
              </w:rPr>
            </w:pPr>
          </w:p>
        </w:tc>
        <w:tc>
          <w:tcPr>
            <w:tcW w:w="4190" w:type="dxa"/>
            <w:vAlign w:val="bottom"/>
          </w:tcPr>
          <w:p>
            <w:pPr>
              <w:spacing w:after="0"/>
              <w:rPr>
                <w:sz w:val="24"/>
                <w:szCs w:val="24"/>
                <w:color w:val="auto"/>
              </w:rPr>
            </w:pPr>
          </w:p>
        </w:tc>
      </w:tr>
      <w:tr>
        <w:trPr>
          <w:trHeight w:val="214"/>
        </w:trPr>
        <w:tc>
          <w:tcPr>
            <w:tcW w:w="5530" w:type="dxa"/>
            <w:vAlign w:val="bottom"/>
            <w:shd w:val="clear" w:color="auto" w:fill="F2F2F2"/>
          </w:tcPr>
          <w:p>
            <w:pPr>
              <w:ind w:left="100"/>
              <w:spacing w:after="0" w:line="215" w:lineRule="exact"/>
              <w:rPr>
                <w:sz w:val="20"/>
                <w:szCs w:val="20"/>
                <w:color w:val="auto"/>
              </w:rPr>
            </w:pPr>
            <w:r>
              <w:rPr>
                <w:rFonts w:ascii="Calibri" w:cs="Calibri" w:eastAsia="Calibri" w:hAnsi="Calibri"/>
                <w:sz w:val="18"/>
                <w:szCs w:val="18"/>
                <w:color w:val="auto"/>
                <w:shd w:val="clear" w:color="auto" w:fill="F2F2F2"/>
              </w:rPr>
              <w:t>Show ran for two weeks Off-Off Broadway in New York. Made $2,500 in</w:t>
            </w:r>
          </w:p>
        </w:tc>
        <w:tc>
          <w:tcPr>
            <w:tcW w:w="4190" w:type="dxa"/>
            <w:vAlign w:val="bottom"/>
            <w:shd w:val="clear" w:color="auto" w:fill="F2F2F2"/>
          </w:tcPr>
          <w:p>
            <w:pPr>
              <w:ind w:left="50"/>
              <w:spacing w:after="0" w:line="215" w:lineRule="exact"/>
              <w:rPr>
                <w:sz w:val="20"/>
                <w:szCs w:val="20"/>
                <w:color w:val="auto"/>
              </w:rPr>
            </w:pPr>
            <w:r>
              <w:rPr>
                <w:rFonts w:ascii="Calibri" w:cs="Calibri" w:eastAsia="Calibri" w:hAnsi="Calibri"/>
                <w:sz w:val="18"/>
                <w:szCs w:val="18"/>
                <w:color w:val="auto"/>
                <w:shd w:val="clear" w:color="auto" w:fill="F2F2F2"/>
              </w:rPr>
              <w:t>Was nominated for two New York Innovative Theatre</w:t>
            </w:r>
          </w:p>
        </w:tc>
      </w:tr>
      <w:tr>
        <w:trPr>
          <w:trHeight w:val="221"/>
        </w:trPr>
        <w:tc>
          <w:tcPr>
            <w:tcW w:w="5530" w:type="dxa"/>
            <w:vAlign w:val="bottom"/>
            <w:shd w:val="clear" w:color="auto" w:fill="F2F2F2"/>
          </w:tcPr>
          <w:p>
            <w:pPr>
              <w:ind w:left="100"/>
              <w:spacing w:after="0"/>
              <w:rPr>
                <w:sz w:val="20"/>
                <w:szCs w:val="20"/>
                <w:color w:val="auto"/>
              </w:rPr>
            </w:pPr>
            <w:r>
              <w:rPr>
                <w:rFonts w:ascii="Calibri" w:cs="Calibri" w:eastAsia="Calibri" w:hAnsi="Calibri"/>
                <w:sz w:val="18"/>
                <w:szCs w:val="18"/>
                <w:color w:val="auto"/>
              </w:rPr>
              <w:t>ticket sales</w:t>
            </w:r>
          </w:p>
        </w:tc>
        <w:tc>
          <w:tcPr>
            <w:tcW w:w="4190" w:type="dxa"/>
            <w:vAlign w:val="bottom"/>
            <w:shd w:val="clear" w:color="auto" w:fill="F2F2F2"/>
          </w:tcPr>
          <w:p>
            <w:pPr>
              <w:ind w:left="50"/>
              <w:spacing w:after="0"/>
              <w:rPr>
                <w:sz w:val="20"/>
                <w:szCs w:val="20"/>
                <w:color w:val="auto"/>
              </w:rPr>
            </w:pPr>
            <w:r>
              <w:rPr>
                <w:rFonts w:ascii="Calibri" w:cs="Calibri" w:eastAsia="Calibri" w:hAnsi="Calibri"/>
                <w:sz w:val="18"/>
                <w:szCs w:val="18"/>
                <w:color w:val="auto"/>
              </w:rPr>
              <w:t>Awards and won one. Positive local reviews.</w:t>
            </w:r>
          </w:p>
        </w:tc>
      </w:tr>
      <w:tr>
        <w:trPr>
          <w:trHeight w:val="186"/>
        </w:trPr>
        <w:tc>
          <w:tcPr>
            <w:tcW w:w="5530" w:type="dxa"/>
            <w:vAlign w:val="bottom"/>
            <w:shd w:val="clear" w:color="auto" w:fill="F2F2F2"/>
          </w:tcPr>
          <w:p>
            <w:pPr>
              <w:spacing w:after="0"/>
              <w:rPr>
                <w:sz w:val="16"/>
                <w:szCs w:val="16"/>
                <w:color w:val="auto"/>
              </w:rPr>
            </w:pPr>
          </w:p>
        </w:tc>
        <w:tc>
          <w:tcPr>
            <w:tcW w:w="4190" w:type="dxa"/>
            <w:vAlign w:val="bottom"/>
            <w:shd w:val="clear" w:color="auto" w:fill="F2F2F2"/>
          </w:tcPr>
          <w:p>
            <w:pPr>
              <w:spacing w:after="0"/>
              <w:rPr>
                <w:sz w:val="16"/>
                <w:szCs w:val="16"/>
                <w:color w:val="auto"/>
              </w:rPr>
            </w:pPr>
          </w:p>
        </w:tc>
      </w:tr>
      <w:tr>
        <w:trPr>
          <w:trHeight w:val="214"/>
        </w:trPr>
        <w:tc>
          <w:tcPr>
            <w:tcW w:w="5530" w:type="dxa"/>
            <w:vAlign w:val="bottom"/>
          </w:tcPr>
          <w:p>
            <w:pPr>
              <w:ind w:left="100"/>
              <w:spacing w:after="0" w:line="215" w:lineRule="exact"/>
              <w:rPr>
                <w:sz w:val="20"/>
                <w:szCs w:val="20"/>
                <w:color w:val="auto"/>
              </w:rPr>
            </w:pPr>
            <w:r>
              <w:rPr>
                <w:rFonts w:ascii="Calibri" w:cs="Calibri" w:eastAsia="Calibri" w:hAnsi="Calibri"/>
                <w:sz w:val="18"/>
                <w:szCs w:val="18"/>
                <w:color w:val="auto"/>
              </w:rPr>
              <w:t>1 month in New York, nearly sold out. $20,000 in ticket sales. Play being</w:t>
            </w:r>
          </w:p>
        </w:tc>
        <w:tc>
          <w:tcPr>
            <w:tcW w:w="4190" w:type="dxa"/>
            <w:vAlign w:val="bottom"/>
          </w:tcPr>
          <w:p>
            <w:pPr>
              <w:ind w:left="50"/>
              <w:spacing w:after="0" w:line="215" w:lineRule="exact"/>
              <w:rPr>
                <w:sz w:val="20"/>
                <w:szCs w:val="20"/>
                <w:color w:val="auto"/>
              </w:rPr>
            </w:pPr>
            <w:r>
              <w:rPr>
                <w:rFonts w:ascii="Calibri" w:cs="Calibri" w:eastAsia="Calibri" w:hAnsi="Calibri"/>
                <w:sz w:val="18"/>
                <w:szCs w:val="18"/>
                <w:color w:val="auto"/>
              </w:rPr>
              <w:t>Extremely positive local and national reviews. Reviews</w:t>
            </w:r>
          </w:p>
        </w:tc>
      </w:tr>
      <w:tr>
        <w:trPr>
          <w:trHeight w:val="219"/>
        </w:trPr>
        <w:tc>
          <w:tcPr>
            <w:tcW w:w="5530" w:type="dxa"/>
            <w:vAlign w:val="bottom"/>
          </w:tcPr>
          <w:p>
            <w:pPr>
              <w:ind w:left="100"/>
              <w:spacing w:after="0"/>
              <w:rPr>
                <w:sz w:val="20"/>
                <w:szCs w:val="20"/>
                <w:color w:val="auto"/>
              </w:rPr>
            </w:pPr>
            <w:r>
              <w:rPr>
                <w:rFonts w:ascii="Calibri" w:cs="Calibri" w:eastAsia="Calibri" w:hAnsi="Calibri"/>
                <w:sz w:val="18"/>
                <w:szCs w:val="18"/>
                <w:color w:val="auto"/>
              </w:rPr>
              <w:t>published as a book</w:t>
            </w:r>
          </w:p>
        </w:tc>
        <w:tc>
          <w:tcPr>
            <w:tcW w:w="4190" w:type="dxa"/>
            <w:vAlign w:val="bottom"/>
          </w:tcPr>
          <w:p>
            <w:pPr>
              <w:ind w:left="50"/>
              <w:spacing w:after="0"/>
              <w:rPr>
                <w:sz w:val="20"/>
                <w:szCs w:val="20"/>
                <w:color w:val="auto"/>
              </w:rPr>
            </w:pPr>
            <w:r>
              <w:rPr>
                <w:rFonts w:ascii="Calibri" w:cs="Calibri" w:eastAsia="Calibri" w:hAnsi="Calibri"/>
                <w:sz w:val="18"/>
                <w:szCs w:val="18"/>
                <w:color w:val="auto"/>
              </w:rPr>
              <w:t>were most positive of any play in the study.</w:t>
            </w:r>
          </w:p>
        </w:tc>
      </w:tr>
      <w:tr>
        <w:trPr>
          <w:trHeight w:val="189"/>
        </w:trPr>
        <w:tc>
          <w:tcPr>
            <w:tcW w:w="5530" w:type="dxa"/>
            <w:vAlign w:val="bottom"/>
          </w:tcPr>
          <w:p>
            <w:pPr>
              <w:spacing w:after="0"/>
              <w:rPr>
                <w:sz w:val="16"/>
                <w:szCs w:val="16"/>
                <w:color w:val="auto"/>
              </w:rPr>
            </w:pPr>
          </w:p>
        </w:tc>
        <w:tc>
          <w:tcPr>
            <w:tcW w:w="4190" w:type="dxa"/>
            <w:vAlign w:val="bottom"/>
          </w:tcPr>
          <w:p>
            <w:pPr>
              <w:spacing w:after="0"/>
              <w:rPr>
                <w:sz w:val="16"/>
                <w:szCs w:val="16"/>
                <w:color w:val="auto"/>
              </w:rPr>
            </w:pPr>
          </w:p>
        </w:tc>
      </w:tr>
      <w:tr>
        <w:trPr>
          <w:trHeight w:val="214"/>
        </w:trPr>
        <w:tc>
          <w:tcPr>
            <w:tcW w:w="5530" w:type="dxa"/>
            <w:vAlign w:val="bottom"/>
            <w:shd w:val="clear" w:color="auto" w:fill="F2F2F2"/>
          </w:tcPr>
          <w:p>
            <w:pPr>
              <w:ind w:left="100"/>
              <w:spacing w:after="0" w:line="215" w:lineRule="exact"/>
              <w:rPr>
                <w:sz w:val="20"/>
                <w:szCs w:val="20"/>
                <w:color w:val="auto"/>
              </w:rPr>
            </w:pPr>
            <w:r>
              <w:rPr>
                <w:rFonts w:ascii="Calibri" w:cs="Calibri" w:eastAsia="Calibri" w:hAnsi="Calibri"/>
                <w:sz w:val="18"/>
                <w:szCs w:val="18"/>
                <w:color w:val="auto"/>
                <w:shd w:val="clear" w:color="auto" w:fill="F2F2F2"/>
              </w:rPr>
              <w:t>5 sold out performances in New York, audience of 1,100. Gained an off-</w:t>
            </w:r>
          </w:p>
        </w:tc>
        <w:tc>
          <w:tcPr>
            <w:tcW w:w="4190" w:type="dxa"/>
            <w:vAlign w:val="bottom"/>
            <w:shd w:val="clear" w:color="auto" w:fill="F2F2F2"/>
          </w:tcPr>
          <w:p>
            <w:pPr>
              <w:ind w:left="50"/>
              <w:spacing w:after="0" w:line="215" w:lineRule="exact"/>
              <w:rPr>
                <w:sz w:val="20"/>
                <w:szCs w:val="20"/>
                <w:color w:val="auto"/>
              </w:rPr>
            </w:pPr>
            <w:r>
              <w:rPr>
                <w:rFonts w:ascii="Calibri" w:cs="Calibri" w:eastAsia="Calibri" w:hAnsi="Calibri"/>
                <w:sz w:val="18"/>
                <w:szCs w:val="18"/>
                <w:color w:val="auto"/>
              </w:rPr>
              <w:t>Mixed to positive reviews in local and national press.</w:t>
            </w:r>
          </w:p>
        </w:tc>
      </w:tr>
      <w:tr>
        <w:trPr>
          <w:trHeight w:val="218"/>
        </w:trPr>
        <w:tc>
          <w:tcPr>
            <w:tcW w:w="5530" w:type="dxa"/>
            <w:vAlign w:val="bottom"/>
            <w:shd w:val="clear" w:color="auto" w:fill="F2F2F2"/>
          </w:tcPr>
          <w:p>
            <w:pPr>
              <w:ind w:left="100"/>
              <w:spacing w:after="0" w:line="218" w:lineRule="exact"/>
              <w:rPr>
                <w:sz w:val="20"/>
                <w:szCs w:val="20"/>
                <w:color w:val="auto"/>
              </w:rPr>
            </w:pPr>
            <w:r>
              <w:rPr>
                <w:rFonts w:ascii="Calibri" w:cs="Calibri" w:eastAsia="Calibri" w:hAnsi="Calibri"/>
                <w:sz w:val="18"/>
                <w:szCs w:val="18"/>
                <w:color w:val="auto"/>
              </w:rPr>
              <w:t>Broadway run for over 2 months.</w:t>
            </w:r>
          </w:p>
        </w:tc>
        <w:tc>
          <w:tcPr>
            <w:tcW w:w="4190" w:type="dxa"/>
            <w:vAlign w:val="bottom"/>
            <w:shd w:val="clear" w:color="auto" w:fill="F2F2F2"/>
          </w:tcPr>
          <w:p>
            <w:pPr>
              <w:spacing w:after="0"/>
              <w:rPr>
                <w:sz w:val="18"/>
                <w:szCs w:val="18"/>
                <w:color w:val="auto"/>
              </w:rPr>
            </w:pPr>
          </w:p>
        </w:tc>
      </w:tr>
      <w:tr>
        <w:trPr>
          <w:trHeight w:val="186"/>
        </w:trPr>
        <w:tc>
          <w:tcPr>
            <w:tcW w:w="5530" w:type="dxa"/>
            <w:vAlign w:val="bottom"/>
            <w:shd w:val="clear" w:color="auto" w:fill="F2F2F2"/>
          </w:tcPr>
          <w:p>
            <w:pPr>
              <w:spacing w:after="0"/>
              <w:rPr>
                <w:sz w:val="16"/>
                <w:szCs w:val="16"/>
                <w:color w:val="auto"/>
              </w:rPr>
            </w:pPr>
          </w:p>
        </w:tc>
        <w:tc>
          <w:tcPr>
            <w:tcW w:w="4190" w:type="dxa"/>
            <w:vAlign w:val="bottom"/>
            <w:shd w:val="clear" w:color="auto" w:fill="F2F2F2"/>
          </w:tcPr>
          <w:p>
            <w:pPr>
              <w:spacing w:after="0"/>
              <w:rPr>
                <w:sz w:val="16"/>
                <w:szCs w:val="16"/>
                <w:color w:val="auto"/>
              </w:rPr>
            </w:pPr>
          </w:p>
        </w:tc>
      </w:tr>
      <w:tr>
        <w:trPr>
          <w:trHeight w:val="214"/>
        </w:trPr>
        <w:tc>
          <w:tcPr>
            <w:tcW w:w="5530" w:type="dxa"/>
            <w:vAlign w:val="bottom"/>
          </w:tcPr>
          <w:p>
            <w:pPr>
              <w:ind w:left="100"/>
              <w:spacing w:after="0" w:line="215" w:lineRule="exact"/>
              <w:rPr>
                <w:sz w:val="20"/>
                <w:szCs w:val="20"/>
                <w:color w:val="auto"/>
              </w:rPr>
            </w:pPr>
            <w:r>
              <w:rPr>
                <w:rFonts w:ascii="Calibri" w:cs="Calibri" w:eastAsia="Calibri" w:hAnsi="Calibri"/>
                <w:sz w:val="18"/>
                <w:szCs w:val="18"/>
                <w:color w:val="auto"/>
              </w:rPr>
              <w:t>Ran for 4 months. 300 seat theatre; four show a week; 12 weeks;</w:t>
            </w:r>
          </w:p>
        </w:tc>
        <w:tc>
          <w:tcPr>
            <w:tcW w:w="4190" w:type="dxa"/>
            <w:vAlign w:val="bottom"/>
          </w:tcPr>
          <w:p>
            <w:pPr>
              <w:ind w:left="50"/>
              <w:spacing w:after="0" w:line="215" w:lineRule="exact"/>
              <w:rPr>
                <w:sz w:val="20"/>
                <w:szCs w:val="20"/>
                <w:color w:val="auto"/>
              </w:rPr>
            </w:pPr>
            <w:r>
              <w:rPr>
                <w:rFonts w:ascii="Calibri" w:cs="Calibri" w:eastAsia="Calibri" w:hAnsi="Calibri"/>
                <w:sz w:val="18"/>
                <w:szCs w:val="18"/>
                <w:color w:val="auto"/>
              </w:rPr>
              <w:t>Winner of Best Local Musical and four other awards.</w:t>
            </w:r>
          </w:p>
        </w:tc>
      </w:tr>
      <w:tr>
        <w:trPr>
          <w:trHeight w:val="221"/>
        </w:trPr>
        <w:tc>
          <w:tcPr>
            <w:tcW w:w="5530" w:type="dxa"/>
            <w:vAlign w:val="bottom"/>
          </w:tcPr>
          <w:p>
            <w:pPr>
              <w:ind w:left="100"/>
              <w:spacing w:after="0"/>
              <w:rPr>
                <w:sz w:val="20"/>
                <w:szCs w:val="20"/>
                <w:color w:val="auto"/>
              </w:rPr>
            </w:pPr>
            <w:r>
              <w:rPr>
                <w:rFonts w:ascii="Calibri" w:cs="Calibri" w:eastAsia="Calibri" w:hAnsi="Calibri"/>
                <w:sz w:val="18"/>
                <w:szCs w:val="18"/>
                <w:color w:val="auto"/>
              </w:rPr>
              <w:t>general 2/3 full to full houses</w:t>
            </w:r>
          </w:p>
        </w:tc>
        <w:tc>
          <w:tcPr>
            <w:tcW w:w="4190" w:type="dxa"/>
            <w:vAlign w:val="bottom"/>
          </w:tcPr>
          <w:p>
            <w:pPr>
              <w:ind w:left="50"/>
              <w:spacing w:after="0"/>
              <w:rPr>
                <w:sz w:val="20"/>
                <w:szCs w:val="20"/>
                <w:color w:val="auto"/>
              </w:rPr>
            </w:pPr>
            <w:r>
              <w:rPr>
                <w:rFonts w:ascii="Calibri" w:cs="Calibri" w:eastAsia="Calibri" w:hAnsi="Calibri"/>
                <w:sz w:val="18"/>
                <w:szCs w:val="18"/>
                <w:color w:val="auto"/>
              </w:rPr>
              <w:t>Generally positive reviews.</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8860"/>
        <w:spacing w:after="0"/>
        <w:rPr>
          <w:sz w:val="20"/>
          <w:szCs w:val="20"/>
          <w:color w:val="auto"/>
        </w:rPr>
      </w:pPr>
      <w:r>
        <w:rPr>
          <w:rFonts w:ascii="Calibri" w:cs="Calibri" w:eastAsia="Calibri" w:hAnsi="Calibri"/>
          <w:sz w:val="22"/>
          <w:szCs w:val="22"/>
          <w:color w:val="auto"/>
        </w:rPr>
        <w:t>47</w:t>
      </w:r>
    </w:p>
    <w:p>
      <w:pPr>
        <w:sectPr>
          <w:pgSz w:w="15840" w:h="12240" w:orient="landscape"/>
          <w:cols w:equalWidth="0" w:num="2">
            <w:col w:w="3880" w:space="0"/>
            <w:col w:w="9720"/>
          </w:cols>
          <w:pgMar w:left="1440" w:top="1416" w:right="800" w:bottom="474" w:gutter="0" w:footer="0" w:header="0"/>
        </w:sectPr>
      </w:pPr>
    </w:p>
    <w:bookmarkStart w:id="48" w:name="page49"/>
    <w:bookmarkEnd w:id="48"/>
    <w:p>
      <w:pPr>
        <w:jc w:val="center"/>
        <w:spacing w:after="0"/>
        <w:rPr>
          <w:sz w:val="20"/>
          <w:szCs w:val="20"/>
          <w:color w:val="auto"/>
        </w:rPr>
      </w:pPr>
      <w:r>
        <w:rPr>
          <w:rFonts w:ascii="Calibri" w:cs="Calibri" w:eastAsia="Calibri" w:hAnsi="Calibri"/>
          <w:sz w:val="28"/>
          <w:szCs w:val="28"/>
          <w:b w:val="1"/>
          <w:bCs w:val="1"/>
          <w:color w:val="auto"/>
        </w:rPr>
        <w:t>Appendix : Survey Procedure and Questions</w:t>
      </w:r>
    </w:p>
    <w:p>
      <w:pPr>
        <w:spacing w:after="0" w:line="239" w:lineRule="exact"/>
        <w:rPr>
          <w:sz w:val="20"/>
          <w:szCs w:val="20"/>
          <w:color w:val="auto"/>
        </w:rPr>
      </w:pPr>
    </w:p>
    <w:p>
      <w:pPr>
        <w:ind w:right="480"/>
        <w:spacing w:after="0" w:line="236" w:lineRule="auto"/>
        <w:rPr>
          <w:sz w:val="20"/>
          <w:szCs w:val="20"/>
          <w:color w:val="auto"/>
        </w:rPr>
      </w:pPr>
      <w:r>
        <w:rPr>
          <w:rFonts w:ascii="Calibri" w:cs="Calibri" w:eastAsia="Calibri" w:hAnsi="Calibri"/>
          <w:sz w:val="20"/>
          <w:szCs w:val="20"/>
          <w:color w:val="auto"/>
        </w:rPr>
        <w:t>Judges were contacted from among the list of experts who had previously acted as judges for major theater competitions and grants (the National Endowment for the Arts, Drama Desk Awards, New York Drama Critics' Circle, Pulitzer Prize for Drama, Theatre World Award, and Tony Awards).</w:t>
      </w:r>
    </w:p>
    <w:p>
      <w:pPr>
        <w:spacing w:after="0" w:line="230" w:lineRule="exact"/>
        <w:rPr>
          <w:sz w:val="20"/>
          <w:szCs w:val="20"/>
          <w:color w:val="auto"/>
        </w:rPr>
      </w:pPr>
    </w:p>
    <w:p>
      <w:pPr>
        <w:ind w:right="260"/>
        <w:spacing w:after="0" w:line="225" w:lineRule="auto"/>
        <w:rPr>
          <w:sz w:val="20"/>
          <w:szCs w:val="20"/>
          <w:color w:val="auto"/>
        </w:rPr>
      </w:pPr>
      <w:r>
        <w:rPr>
          <w:rFonts w:ascii="Calibri" w:cs="Calibri" w:eastAsia="Calibri" w:hAnsi="Calibri"/>
          <w:sz w:val="20"/>
          <w:szCs w:val="20"/>
          <w:color w:val="auto"/>
        </w:rPr>
        <w:t>Judges were electronically asked to score six projects using the criteria below. All questions asked on a 1-5 point Likert scale, with 1 being "strongly disagree" and 5 being "strongly agree"</w:t>
      </w:r>
    </w:p>
    <w:p>
      <w:pPr>
        <w:spacing w:after="0" w:line="182"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Novelty</w:t>
      </w:r>
    </w:p>
    <w:p>
      <w:pPr>
        <w:spacing w:after="0" w:line="183" w:lineRule="exact"/>
        <w:rPr>
          <w:sz w:val="20"/>
          <w:szCs w:val="20"/>
          <w:color w:val="auto"/>
        </w:rPr>
      </w:pPr>
    </w:p>
    <w:p>
      <w:pPr>
        <w:spacing w:after="0"/>
        <w:rPr>
          <w:sz w:val="20"/>
          <w:szCs w:val="20"/>
          <w:color w:val="auto"/>
        </w:rPr>
      </w:pPr>
      <w:r>
        <w:rPr>
          <w:rFonts w:ascii="Calibri" w:cs="Calibri" w:eastAsia="Calibri" w:hAnsi="Calibri"/>
          <w:sz w:val="20"/>
          <w:szCs w:val="20"/>
          <w:color w:val="auto"/>
        </w:rPr>
        <w:t>This project displays a high degree of artistic ingenuity</w:t>
      </w:r>
    </w:p>
    <w:p>
      <w:pPr>
        <w:spacing w:after="0" w:line="185" w:lineRule="exact"/>
        <w:rPr>
          <w:sz w:val="20"/>
          <w:szCs w:val="20"/>
          <w:color w:val="auto"/>
        </w:rPr>
      </w:pPr>
    </w:p>
    <w:p>
      <w:pPr>
        <w:spacing w:after="0"/>
        <w:rPr>
          <w:sz w:val="20"/>
          <w:szCs w:val="20"/>
          <w:color w:val="auto"/>
        </w:rPr>
      </w:pPr>
      <w:r>
        <w:rPr>
          <w:rFonts w:ascii="Calibri" w:cs="Calibri" w:eastAsia="Calibri" w:hAnsi="Calibri"/>
          <w:sz w:val="20"/>
          <w:szCs w:val="20"/>
          <w:color w:val="auto"/>
        </w:rPr>
        <w:t>Assuming it was completed as planned, this project would advance the art form</w:t>
      </w:r>
    </w:p>
    <w:p>
      <w:pPr>
        <w:spacing w:after="0" w:line="183" w:lineRule="exact"/>
        <w:rPr>
          <w:sz w:val="20"/>
          <w:szCs w:val="20"/>
          <w:color w:val="auto"/>
        </w:rPr>
      </w:pPr>
    </w:p>
    <w:p>
      <w:pPr>
        <w:spacing w:after="0"/>
        <w:rPr>
          <w:sz w:val="20"/>
          <w:szCs w:val="20"/>
          <w:color w:val="auto"/>
        </w:rPr>
      </w:pPr>
      <w:r>
        <w:rPr>
          <w:rFonts w:ascii="Calibri" w:cs="Calibri" w:eastAsia="Calibri" w:hAnsi="Calibri"/>
          <w:sz w:val="20"/>
          <w:szCs w:val="20"/>
          <w:color w:val="auto"/>
        </w:rPr>
        <w:t>This project is original</w:t>
      </w: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Quality</w:t>
      </w:r>
    </w:p>
    <w:p>
      <w:pPr>
        <w:spacing w:after="0" w:line="185" w:lineRule="exact"/>
        <w:rPr>
          <w:sz w:val="20"/>
          <w:szCs w:val="20"/>
          <w:color w:val="auto"/>
        </w:rPr>
      </w:pPr>
    </w:p>
    <w:p>
      <w:pPr>
        <w:spacing w:after="0"/>
        <w:rPr>
          <w:sz w:val="20"/>
          <w:szCs w:val="20"/>
          <w:color w:val="auto"/>
        </w:rPr>
      </w:pPr>
      <w:r>
        <w:rPr>
          <w:rFonts w:ascii="Calibri" w:cs="Calibri" w:eastAsia="Calibri" w:hAnsi="Calibri"/>
          <w:sz w:val="20"/>
          <w:szCs w:val="20"/>
          <w:color w:val="auto"/>
        </w:rPr>
        <w:t>The proposal for the project is of high quality</w:t>
      </w:r>
    </w:p>
    <w:p>
      <w:pPr>
        <w:spacing w:after="0" w:line="183" w:lineRule="exact"/>
        <w:rPr>
          <w:sz w:val="20"/>
          <w:szCs w:val="20"/>
          <w:color w:val="auto"/>
        </w:rPr>
      </w:pPr>
    </w:p>
    <w:p>
      <w:pPr>
        <w:spacing w:after="0"/>
        <w:rPr>
          <w:sz w:val="20"/>
          <w:szCs w:val="20"/>
          <w:color w:val="auto"/>
        </w:rPr>
      </w:pPr>
      <w:r>
        <w:rPr>
          <w:rFonts w:ascii="Calibri" w:cs="Calibri" w:eastAsia="Calibri" w:hAnsi="Calibri"/>
          <w:sz w:val="20"/>
          <w:szCs w:val="20"/>
          <w:color w:val="auto"/>
        </w:rPr>
        <w:t>The video added to the proposal in a meaningful way</w:t>
      </w:r>
    </w:p>
    <w:p>
      <w:pPr>
        <w:spacing w:after="0" w:line="185" w:lineRule="exact"/>
        <w:rPr>
          <w:sz w:val="20"/>
          <w:szCs w:val="20"/>
          <w:color w:val="auto"/>
        </w:rPr>
      </w:pPr>
    </w:p>
    <w:p>
      <w:pPr>
        <w:spacing w:after="0"/>
        <w:rPr>
          <w:sz w:val="20"/>
          <w:szCs w:val="20"/>
          <w:color w:val="auto"/>
        </w:rPr>
      </w:pPr>
      <w:r>
        <w:rPr>
          <w:rFonts w:ascii="Calibri" w:cs="Calibri" w:eastAsia="Calibri" w:hAnsi="Calibri"/>
          <w:sz w:val="20"/>
          <w:szCs w:val="20"/>
          <w:color w:val="auto"/>
        </w:rPr>
        <w:t>The artistic vision of the proposal is clear</w:t>
      </w: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Feasibility/Realism</w:t>
      </w:r>
    </w:p>
    <w:p>
      <w:pPr>
        <w:spacing w:after="0" w:line="183" w:lineRule="exact"/>
        <w:rPr>
          <w:sz w:val="20"/>
          <w:szCs w:val="20"/>
          <w:color w:val="auto"/>
        </w:rPr>
      </w:pPr>
    </w:p>
    <w:p>
      <w:pPr>
        <w:spacing w:after="0"/>
        <w:rPr>
          <w:sz w:val="20"/>
          <w:szCs w:val="20"/>
          <w:color w:val="auto"/>
        </w:rPr>
      </w:pPr>
      <w:r>
        <w:rPr>
          <w:rFonts w:ascii="Calibri" w:cs="Calibri" w:eastAsia="Calibri" w:hAnsi="Calibri"/>
          <w:sz w:val="20"/>
          <w:szCs w:val="20"/>
          <w:color w:val="auto"/>
        </w:rPr>
        <w:t>The artistic and/or commercial goals of this project are achievable</w:t>
      </w:r>
    </w:p>
    <w:p>
      <w:pPr>
        <w:spacing w:after="0" w:line="186" w:lineRule="exact"/>
        <w:rPr>
          <w:sz w:val="20"/>
          <w:szCs w:val="20"/>
          <w:color w:val="auto"/>
        </w:rPr>
      </w:pPr>
    </w:p>
    <w:p>
      <w:pPr>
        <w:spacing w:after="0"/>
        <w:rPr>
          <w:sz w:val="20"/>
          <w:szCs w:val="20"/>
          <w:color w:val="auto"/>
        </w:rPr>
      </w:pPr>
      <w:r>
        <w:rPr>
          <w:rFonts w:ascii="Calibri" w:cs="Calibri" w:eastAsia="Calibri" w:hAnsi="Calibri"/>
          <w:sz w:val="20"/>
          <w:szCs w:val="20"/>
          <w:color w:val="auto"/>
        </w:rPr>
        <w:t>The individual or group proposing this project are qualified to complete the project</w:t>
      </w:r>
    </w:p>
    <w:p>
      <w:pPr>
        <w:spacing w:after="0" w:line="183" w:lineRule="exact"/>
        <w:rPr>
          <w:sz w:val="20"/>
          <w:szCs w:val="20"/>
          <w:color w:val="auto"/>
        </w:rPr>
      </w:pPr>
    </w:p>
    <w:p>
      <w:pPr>
        <w:spacing w:after="0"/>
        <w:rPr>
          <w:sz w:val="20"/>
          <w:szCs w:val="20"/>
          <w:color w:val="auto"/>
        </w:rPr>
      </w:pPr>
      <w:r>
        <w:rPr>
          <w:rFonts w:ascii="Calibri" w:cs="Calibri" w:eastAsia="Calibri" w:hAnsi="Calibri"/>
          <w:sz w:val="20"/>
          <w:szCs w:val="20"/>
          <w:color w:val="auto"/>
        </w:rPr>
        <w:t>This project can be implemented with the resources in the proposal</w:t>
      </w: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Stakeholders and Reach</w:t>
      </w:r>
    </w:p>
    <w:p>
      <w:pPr>
        <w:spacing w:after="0" w:line="185" w:lineRule="exact"/>
        <w:rPr>
          <w:sz w:val="20"/>
          <w:szCs w:val="20"/>
          <w:color w:val="auto"/>
        </w:rPr>
      </w:pPr>
    </w:p>
    <w:p>
      <w:pPr>
        <w:spacing w:after="0"/>
        <w:rPr>
          <w:sz w:val="20"/>
          <w:szCs w:val="20"/>
          <w:color w:val="auto"/>
        </w:rPr>
      </w:pPr>
      <w:r>
        <w:rPr>
          <w:rFonts w:ascii="Calibri" w:cs="Calibri" w:eastAsia="Calibri" w:hAnsi="Calibri"/>
          <w:sz w:val="20"/>
          <w:szCs w:val="20"/>
          <w:color w:val="auto"/>
        </w:rPr>
        <w:t>This project would reach a diverse audience</w:t>
      </w:r>
    </w:p>
    <w:p>
      <w:pPr>
        <w:spacing w:after="0" w:line="183" w:lineRule="exact"/>
        <w:rPr>
          <w:sz w:val="20"/>
          <w:szCs w:val="20"/>
          <w:color w:val="auto"/>
        </w:rPr>
      </w:pPr>
    </w:p>
    <w:p>
      <w:pPr>
        <w:spacing w:after="0"/>
        <w:rPr>
          <w:sz w:val="20"/>
          <w:szCs w:val="20"/>
          <w:color w:val="auto"/>
        </w:rPr>
      </w:pPr>
      <w:r>
        <w:rPr>
          <w:rFonts w:ascii="Calibri" w:cs="Calibri" w:eastAsia="Calibri" w:hAnsi="Calibri"/>
          <w:sz w:val="20"/>
          <w:szCs w:val="20"/>
          <w:color w:val="auto"/>
        </w:rPr>
        <w:t>This project would attract a wide range of potential funders and stakeholders</w:t>
      </w:r>
    </w:p>
    <w:p>
      <w:pPr>
        <w:spacing w:after="0" w:line="185" w:lineRule="exact"/>
        <w:rPr>
          <w:sz w:val="20"/>
          <w:szCs w:val="20"/>
          <w:color w:val="auto"/>
        </w:rPr>
      </w:pPr>
    </w:p>
    <w:p>
      <w:pPr>
        <w:spacing w:after="0"/>
        <w:rPr>
          <w:sz w:val="20"/>
          <w:szCs w:val="20"/>
          <w:color w:val="auto"/>
        </w:rPr>
      </w:pPr>
      <w:r>
        <w:rPr>
          <w:rFonts w:ascii="Calibri" w:cs="Calibri" w:eastAsia="Calibri" w:hAnsi="Calibri"/>
          <w:sz w:val="20"/>
          <w:szCs w:val="20"/>
          <w:color w:val="auto"/>
        </w:rPr>
        <w:t>This project would be commercially viable/profitable</w:t>
      </w: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Relevance</w:t>
      </w:r>
    </w:p>
    <w:p>
      <w:pPr>
        <w:spacing w:after="0" w:line="183" w:lineRule="exact"/>
        <w:rPr>
          <w:sz w:val="20"/>
          <w:szCs w:val="20"/>
          <w:color w:val="auto"/>
        </w:rPr>
      </w:pPr>
    </w:p>
    <w:p>
      <w:pPr>
        <w:spacing w:after="0"/>
        <w:rPr>
          <w:sz w:val="20"/>
          <w:szCs w:val="20"/>
          <w:color w:val="auto"/>
        </w:rPr>
      </w:pPr>
      <w:r>
        <w:rPr>
          <w:rFonts w:ascii="Calibri" w:cs="Calibri" w:eastAsia="Calibri" w:hAnsi="Calibri"/>
          <w:sz w:val="20"/>
          <w:szCs w:val="20"/>
          <w:color w:val="auto"/>
        </w:rPr>
        <w:t>Assuming it was completed as planned, this project would advance a cultural, political, or artistic dialogue</w:t>
      </w:r>
    </w:p>
    <w:p>
      <w:pPr>
        <w:spacing w:after="0" w:line="185" w:lineRule="exact"/>
        <w:rPr>
          <w:sz w:val="20"/>
          <w:szCs w:val="20"/>
          <w:color w:val="auto"/>
        </w:rPr>
      </w:pPr>
    </w:p>
    <w:p>
      <w:pPr>
        <w:spacing w:after="0"/>
        <w:rPr>
          <w:sz w:val="20"/>
          <w:szCs w:val="20"/>
          <w:color w:val="auto"/>
        </w:rPr>
      </w:pPr>
      <w:r>
        <w:rPr>
          <w:rFonts w:ascii="Calibri" w:cs="Calibri" w:eastAsia="Calibri" w:hAnsi="Calibri"/>
          <w:sz w:val="20"/>
          <w:szCs w:val="20"/>
          <w:color w:val="auto"/>
        </w:rPr>
        <w:t>This project promotes a high sense of audience engagement</w:t>
      </w:r>
    </w:p>
    <w:p>
      <w:pPr>
        <w:spacing w:after="0" w:line="185" w:lineRule="exact"/>
        <w:rPr>
          <w:sz w:val="20"/>
          <w:szCs w:val="20"/>
          <w:color w:val="auto"/>
        </w:rPr>
      </w:pPr>
    </w:p>
    <w:p>
      <w:pPr>
        <w:spacing w:after="0"/>
        <w:rPr>
          <w:sz w:val="20"/>
          <w:szCs w:val="20"/>
          <w:color w:val="auto"/>
        </w:rPr>
      </w:pPr>
      <w:r>
        <w:rPr>
          <w:rFonts w:ascii="Calibri" w:cs="Calibri" w:eastAsia="Calibri" w:hAnsi="Calibri"/>
          <w:sz w:val="20"/>
          <w:szCs w:val="20"/>
          <w:color w:val="auto"/>
        </w:rPr>
        <w:t>I feel personally excited about this project</w:t>
      </w: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48</w:t>
      </w:r>
    </w:p>
    <w:sectPr>
      <w:pgSz w:w="12240" w:h="15840" w:orient="portrait"/>
      <w:cols w:equalWidth="0" w:num="1">
        <w:col w:w="9360"/>
      </w:cols>
      <w:pgMar w:left="1440" w:top="1439" w:right="1440" w:bottom="474" w:gutter="0" w:footer="0" w:header="0"/>
    </w:sectPr>
  </w:body>
</w:document>
</file>

<file path=word/fontTable.xml><?xml version="1.0" encoding="utf-8"?>
<w:fonts xmlns:w="http://schemas.openxmlformats.org/wordprocessingml/2006/main">
  <w:font w:name="Calibri">
    <w:panose1 w:val="020F0502020204030204"/>
    <w:charset w:val="A1"/>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2000009F" w:csb1="DFD70000"/>
  </w:font>
  <w:font w:name="Garamond">
    <w:panose1 w:val="02020404030301010803"/>
    <w:charset w:val="00"/>
    <w:family w:val="roman"/>
    <w:pitch w:val="variable"/>
    <w:sig w:usb0="00000287" w:usb1="00000000" w:usb2="00000000" w:usb3="00000000" w:csb0="0000009F" w:csb1="DFD7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12200854"/>
    <w:multiLevelType w:val="hybridMultilevel"/>
    <w:lvl w:ilvl="0">
      <w:lvlJc w:val="left"/>
      <w:lvlText w:val="&amp;"/>
      <w:numFmt w:val="bullet"/>
      <w:start w:val="1"/>
    </w:lvl>
  </w:abstractNum>
  <w:abstractNum w:abstractNumId="1">
    <w:nsid w:val="4DB127F8"/>
    <w:multiLevelType w:val="hybridMultilevel"/>
    <w:lvl w:ilvl="0">
      <w:lvlJc w:val="left"/>
      <w:lvlText w:val="%1"/>
      <w:numFmt w:val="decimal"/>
      <w:start w:val="1"/>
    </w:lvl>
  </w:abstractNum>
  <w:abstractNum w:abstractNumId="2">
    <w:nsid w:val="216231B"/>
    <w:multiLevelType w:val="hybridMultilevel"/>
    <w:lvl w:ilvl="0">
      <w:lvlJc w:val="left"/>
      <w:lvlText w:val="&amp;"/>
      <w:numFmt w:val="bullet"/>
      <w:start w:val="1"/>
    </w:lvl>
  </w:abstractNum>
  <w:abstractNum w:abstractNumId="3">
    <w:nsid w:val="1F16E9E8"/>
    <w:multiLevelType w:val="hybridMultilevel"/>
    <w:lvl w:ilvl="0">
      <w:lvlJc w:val="left"/>
      <w:lvlText w:val="%1"/>
      <w:numFmt w:val="decimal"/>
      <w:start w:val="2"/>
    </w:lvl>
  </w:abstractNum>
  <w:abstractNum w:abstractNumId="4">
    <w:nsid w:val="1190CDE7"/>
    <w:multiLevelType w:val="hybridMultilevel"/>
    <w:lvl w:ilvl="0">
      <w:lvlJc w:val="left"/>
      <w:lvlText w:val="%1"/>
      <w:numFmt w:val="decimal"/>
      <w:start w:val="3"/>
    </w:lvl>
  </w:abstractNum>
  <w:abstractNum w:abstractNumId="5">
    <w:nsid w:val="66EF438D"/>
    <w:multiLevelType w:val="hybridMultilevel"/>
    <w:lvl w:ilvl="0">
      <w:lvlJc w:val="left"/>
      <w:lvlText w:val="%1"/>
      <w:numFmt w:val="decimal"/>
      <w:start w:val="4"/>
    </w:lvl>
  </w:abstractNum>
  <w:abstractNum w:abstractNumId="6">
    <w:nsid w:val="140E0F76"/>
    <w:multiLevelType w:val="hybridMultilevel"/>
    <w:lvl w:ilvl="0">
      <w:lvlJc w:val="left"/>
      <w:lvlText w:val="%1"/>
      <w:numFmt w:val="decimal"/>
      <w:start w:val="5"/>
    </w:lvl>
  </w:abstractNum>
  <w:abstractNum w:abstractNumId="7">
    <w:nsid w:val="3352255A"/>
    <w:multiLevelType w:val="hybridMultilevel"/>
    <w:lvl w:ilvl="0">
      <w:lvlJc w:val="left"/>
      <w:lvlText w:val="%1"/>
      <w:numFmt w:val="decimal"/>
      <w:start w:val="7"/>
    </w:lvl>
  </w:abstractNum>
  <w:abstractNum w:abstractNumId="8">
    <w:nsid w:val="109CF92E"/>
    <w:multiLevelType w:val="hybridMultilevel"/>
    <w:lvl w:ilvl="0">
      <w:lvlJc w:val="left"/>
      <w:lvlText w:val="%1"/>
      <w:numFmt w:val="decimal"/>
      <w:start w:val="8"/>
    </w:lvl>
  </w:abstractNum>
  <w:abstractNum w:abstractNumId="9">
    <w:nsid w:val="DED7263"/>
    <w:multiLevelType w:val="hybridMultilevel"/>
    <w:lvl w:ilvl="0">
      <w:lvlJc w:val="left"/>
      <w:lvlText w:val="%1"/>
      <w:numFmt w:val="decimal"/>
      <w:start w:val="9"/>
    </w:lvl>
  </w:abstractNum>
  <w:abstractNum w:abstractNumId="10">
    <w:nsid w:val="7FDCC233"/>
    <w:multiLevelType w:val="hybridMultilevel"/>
    <w:lvl w:ilvl="0">
      <w:lvlJc w:val="left"/>
      <w:lvlText w:val="(%1)"/>
      <w:numFmt w:val="lowerLetter"/>
      <w:start w:val="1"/>
    </w:lvl>
  </w:abstractNum>
  <w:abstractNum w:abstractNumId="11">
    <w:nsid w:val="1BEFD79F"/>
    <w:multiLevelType w:val="hybridMultilevel"/>
    <w:lvl w:ilvl="0">
      <w:lvlJc w:val="left"/>
      <w:lvlText w:val="%1"/>
      <w:numFmt w:val="decimal"/>
      <w:start w:val="11"/>
    </w:lvl>
  </w:abstractNum>
  <w:abstractNum w:abstractNumId="12">
    <w:nsid w:val="41A7C4C9"/>
    <w:multiLevelType w:val="hybridMultilevel"/>
    <w:lvl w:ilvl="0">
      <w:lvlJc w:val="left"/>
      <w:lvlText w:val="%1"/>
      <w:numFmt w:val="decimal"/>
      <w:start w:val="13"/>
    </w:lvl>
  </w:abstractNum>
  <w:abstractNum w:abstractNumId="13">
    <w:nsid w:val="6B68079A"/>
    <w:multiLevelType w:val="hybridMultilevel"/>
    <w:lvl w:ilvl="0">
      <w:lvlJc w:val="left"/>
      <w:lvlText w:val="&amp;"/>
      <w:numFmt w:val="bullet"/>
      <w:start w:val="1"/>
    </w:lvl>
  </w:abstractNum>
  <w:abstractNum w:abstractNumId="14">
    <w:nsid w:val="4E6AFB66"/>
    <w:multiLevelType w:val="hybridMultilevel"/>
    <w:lvl w:ilvl="0">
      <w:lvlJc w:val="left"/>
      <w:lvlText w:val="%1"/>
      <w:numFmt w:val="decimal"/>
      <w:start w:val="15"/>
    </w:lvl>
  </w:abstractNum>
  <w:abstractNum w:abstractNumId="15">
    <w:nsid w:val="25E45D32"/>
    <w:multiLevelType w:val="hybridMultilevel"/>
    <w:lvl w:ilvl="0">
      <w:lvlJc w:val="left"/>
      <w:lvlText w:val="%1"/>
      <w:numFmt w:val="decimal"/>
      <w:start w:val="17"/>
    </w:lvl>
  </w:abstractNum>
  <w:abstractNum w:abstractNumId="16">
    <w:nsid w:val="519B500D"/>
    <w:multiLevelType w:val="hybridMultilevel"/>
    <w:lvl w:ilvl="0">
      <w:lvlJc w:val="left"/>
      <w:lvlText w:val="(%1)"/>
      <w:numFmt w:val="decimal"/>
      <w:start w:val="5"/>
    </w:lvl>
  </w:abstractNum>
  <w:abstractNum w:abstractNumId="17">
    <w:nsid w:val="431BD7B7"/>
    <w:multiLevelType w:val="hybridMultilevel"/>
    <w:lvl w:ilvl="0">
      <w:lvlJc w:val="left"/>
      <w:lvlText w:val="%1"/>
      <w:numFmt w:val="decimal"/>
      <w:start w:val="120"/>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10" Type="http://schemas.openxmlformats.org/officeDocument/2006/relationships/hyperlink" Target="mailto:*emollick@wharton.upenn.edu" TargetMode="External"/><Relationship Id="rId11" Type="http://schemas.openxmlformats.org/officeDocument/2006/relationships/hyperlink" Target="mailto:RNanda@hbs.edu"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2020-09-15T05:12:07Z</dcterms:created>
  <dcterms:modified xsi:type="dcterms:W3CDTF">2020-09-15T05:12:07Z</dcterms:modified>
</cp:coreProperties>
</file>