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317500</wp:posOffset>
            </wp:positionH>
            <wp:positionV relativeFrom="page">
              <wp:posOffset>63500</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12800" cy="165100"/>
                    </a:xfrm>
                    <a:prstGeom prst="rect">
                      <a:avLst/>
                    </a:prstGeom>
                    <a:noFill/>
                  </pic:spPr>
                </pic:pic>
              </a:graphicData>
            </a:graphic>
          </wp:anchor>
        </w:drawing>
        <w:t>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62230</wp:posOffset>
                </wp:positionV>
                <wp:extent cx="6527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pt" to="514pt,4.9pt" o:allowincell="f" strokecolor="#000000" strokeweight="0.5102pt"/>
            </w:pict>
          </mc:Fallback>
        </mc:AlternateContent>
      </w:r>
    </w:p>
    <w:p>
      <w:pPr>
        <w:sectPr>
          <w:pgSz w:w="12240" w:h="15840" w:orient="portrait"/>
          <w:cols w:equalWidth="0" w:num="1">
            <w:col w:w="10280"/>
          </w:cols>
          <w:pgMar w:left="980" w:top="719" w:right="980" w:bottom="870" w:gutter="0" w:footer="0" w:header="0"/>
        </w:sectPr>
      </w:pPr>
    </w:p>
    <w:p>
      <w:pPr>
        <w:spacing w:after="0" w:line="200" w:lineRule="exact"/>
        <w:rPr>
          <w:sz w:val="24"/>
          <w:szCs w:val="24"/>
          <w:color w:val="auto"/>
        </w:rPr>
      </w:pPr>
    </w:p>
    <w:p>
      <w:pPr>
        <w:spacing w:after="0" w:line="313" w:lineRule="exact"/>
        <w:rPr>
          <w:sz w:val="24"/>
          <w:szCs w:val="24"/>
          <w:color w:val="auto"/>
        </w:rPr>
      </w:pPr>
    </w:p>
    <w:p>
      <w:pPr>
        <w:ind w:right="2218"/>
        <w:spacing w:after="0" w:line="217" w:lineRule="auto"/>
        <w:rPr>
          <w:sz w:val="20"/>
          <w:szCs w:val="20"/>
          <w:color w:val="auto"/>
        </w:rPr>
      </w:pPr>
      <w:r>
        <w:rPr>
          <w:rFonts w:ascii="Arial" w:cs="Arial" w:eastAsia="Arial" w:hAnsi="Arial"/>
          <w:sz w:val="36"/>
          <w:szCs w:val="36"/>
          <w:color w:val="auto"/>
        </w:rPr>
        <w:t>Theater Translation Research Methodologies</w:t>
      </w:r>
    </w:p>
    <w:p>
      <w:pPr>
        <w:spacing w:after="0" w:line="20" w:lineRule="exact"/>
        <w:rPr>
          <w:sz w:val="24"/>
          <w:szCs w:val="24"/>
          <w:color w:val="auto"/>
        </w:rPr>
      </w:pPr>
      <w:r>
        <w:rPr>
          <w:sz w:val="24"/>
          <w:szCs w:val="24"/>
          <w:color w:val="auto"/>
        </w:rPr>
        <w:br w:type="column"/>
      </w:r>
    </w:p>
    <w:p>
      <w:pPr>
        <w:spacing w:after="0" w:line="213" w:lineRule="exact"/>
        <w:rPr>
          <w:sz w:val="24"/>
          <w:szCs w:val="24"/>
          <w:color w:val="auto"/>
        </w:rPr>
      </w:pPr>
    </w:p>
    <w:p>
      <w:pPr>
        <w:ind w:left="2"/>
        <w:spacing w:after="0"/>
        <w:rPr>
          <w:sz w:val="20"/>
          <w:szCs w:val="20"/>
          <w:color w:val="auto"/>
        </w:rPr>
      </w:pPr>
      <w:r>
        <w:rPr>
          <w:rFonts w:ascii="Arial" w:cs="Arial" w:eastAsia="Arial" w:hAnsi="Arial"/>
          <w:sz w:val="12"/>
          <w:szCs w:val="12"/>
          <w:color w:val="auto"/>
        </w:rPr>
        <w:t>International Journal of Qualitative Methods</w:t>
      </w:r>
    </w:p>
    <w:p>
      <w:pPr>
        <w:spacing w:after="0" w:line="8" w:lineRule="exact"/>
        <w:rPr>
          <w:sz w:val="24"/>
          <w:szCs w:val="24"/>
          <w:color w:val="auto"/>
        </w:rPr>
      </w:pPr>
    </w:p>
    <w:p>
      <w:pPr>
        <w:ind w:left="2"/>
        <w:spacing w:after="0"/>
        <w:rPr>
          <w:sz w:val="20"/>
          <w:szCs w:val="20"/>
          <w:color w:val="auto"/>
        </w:rPr>
      </w:pPr>
      <w:r>
        <w:rPr>
          <w:rFonts w:ascii="Arial" w:cs="Arial" w:eastAsia="Arial" w:hAnsi="Arial"/>
          <w:sz w:val="14"/>
          <w:szCs w:val="14"/>
          <w:color w:val="auto"/>
        </w:rPr>
        <w:t>Volume 19: 1–8</w:t>
      </w:r>
    </w:p>
    <w:p>
      <w:pPr>
        <w:spacing w:after="0" w:line="34" w:lineRule="exact"/>
        <w:rPr>
          <w:sz w:val="24"/>
          <w:szCs w:val="24"/>
          <w:color w:val="auto"/>
        </w:rPr>
      </w:pPr>
    </w:p>
    <w:p>
      <w:pPr>
        <w:ind w:left="2" w:right="380" w:hanging="2"/>
        <w:spacing w:after="0" w:line="287" w:lineRule="auto"/>
        <w:tabs>
          <w:tab w:leader="none" w:pos="168" w:val="left"/>
        </w:tabs>
        <w:numPr>
          <w:ilvl w:val="0"/>
          <w:numId w:val="1"/>
        </w:numPr>
        <w:rPr>
          <w:rFonts w:ascii="Arial" w:cs="Arial" w:eastAsia="Arial" w:hAnsi="Arial"/>
          <w:sz w:val="12"/>
          <w:szCs w:val="12"/>
          <w:color w:val="auto"/>
        </w:rPr>
      </w:pPr>
      <w:r>
        <w:rPr>
          <w:rFonts w:ascii="Arial" w:cs="Arial" w:eastAsia="Arial" w:hAnsi="Arial"/>
          <w:sz w:val="12"/>
          <w:szCs w:val="12"/>
          <w:color w:val="auto"/>
        </w:rPr>
        <w:t xml:space="preserve">The Author(s) 2020 Article reuse guidelines: </w:t>
      </w:r>
      <w:hyperlink r:id="rId9">
        <w:r>
          <w:rPr>
            <w:rFonts w:ascii="Arial" w:cs="Arial" w:eastAsia="Arial" w:hAnsi="Arial"/>
            <w:sz w:val="12"/>
            <w:szCs w:val="12"/>
            <w:color w:val="auto"/>
          </w:rPr>
          <w:t>sagepub.com/journals-permissions</w:t>
        </w:r>
      </w:hyperlink>
      <w:r>
        <w:rPr>
          <w:rFonts w:ascii="Arial" w:cs="Arial" w:eastAsia="Arial" w:hAnsi="Arial"/>
          <w:sz w:val="12"/>
          <w:szCs w:val="12"/>
          <w:color w:val="auto"/>
        </w:rPr>
        <w:t xml:space="preserve"> </w:t>
      </w:r>
      <w:hyperlink r:id="rId10">
        <w:r>
          <w:rPr>
            <w:rFonts w:ascii="Arial" w:cs="Arial" w:eastAsia="Arial" w:hAnsi="Arial"/>
            <w:sz w:val="12"/>
            <w:szCs w:val="12"/>
            <w:color w:val="auto"/>
          </w:rPr>
          <w:t>DOI: 10.1177/1609406920937146</w:t>
        </w:r>
      </w:hyperlink>
      <w:r>
        <w:rPr>
          <w:rFonts w:ascii="Arial" w:cs="Arial" w:eastAsia="Arial" w:hAnsi="Arial"/>
          <w:sz w:val="12"/>
          <w:szCs w:val="12"/>
          <w:color w:val="auto"/>
        </w:rPr>
        <w:t xml:space="preserve"> </w:t>
      </w:r>
      <w:hyperlink r:id="rId11">
        <w:r>
          <w:rPr>
            <w:rFonts w:ascii="Arial" w:cs="Arial" w:eastAsia="Arial" w:hAnsi="Arial"/>
            <w:sz w:val="12"/>
            <w:szCs w:val="12"/>
            <w:color w:val="auto"/>
          </w:rPr>
          <w:t>journals.sagepub.com/home/ijq</w:t>
        </w:r>
      </w:hyperlink>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-12065</wp:posOffset>
            </wp:positionH>
            <wp:positionV relativeFrom="paragraph">
              <wp:posOffset>6985</wp:posOffset>
            </wp:positionV>
            <wp:extent cx="504190" cy="1701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04190" cy="170180"/>
                    </a:xfrm>
                    <a:prstGeom prst="rect">
                      <a:avLst/>
                    </a:prstGeom>
                    <a:noFill/>
                  </pic:spPr>
                </pic:pic>
              </a:graphicData>
            </a:graphic>
          </wp:anchor>
        </w:drawing>
      </w:r>
    </w:p>
    <w:p>
      <w:pPr>
        <w:spacing w:after="0" w:line="200" w:lineRule="exact"/>
        <w:rPr>
          <w:rFonts w:ascii="Arial" w:cs="Arial" w:eastAsia="Arial" w:hAnsi="Arial"/>
          <w:sz w:val="12"/>
          <w:szCs w:val="12"/>
          <w:color w:val="auto"/>
        </w:rPr>
      </w:pPr>
    </w:p>
    <w:p>
      <w:pPr>
        <w:sectPr>
          <w:pgSz w:w="12240" w:h="15840" w:orient="portrait"/>
          <w:cols w:equalWidth="0" w:num="2">
            <w:col w:w="7238" w:space="720"/>
            <w:col w:w="2322"/>
          </w:cols>
          <w:pgMar w:left="980" w:top="719" w:right="980" w:bottom="870" w:gutter="0" w:footer="0" w:header="0"/>
          <w:type w:val="continuous"/>
        </w:sectPr>
      </w:pPr>
    </w:p>
    <w:p>
      <w:pPr>
        <w:spacing w:after="0" w:line="263"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4"/>
          <w:szCs w:val="24"/>
          <w:color w:val="auto"/>
        </w:rPr>
        <w:t>Dominic Glynn</w:t>
      </w:r>
      <w:r>
        <w:rPr>
          <w:rFonts w:ascii="Arial" w:cs="Arial" w:eastAsia="Arial" w:hAnsi="Arial"/>
          <w:sz w:val="31"/>
          <w:szCs w:val="31"/>
          <w:color w:val="auto"/>
          <w:vertAlign w:val="superscript"/>
        </w:rPr>
        <w:t>1</w:t>
      </w:r>
      <w:r>
        <w:rPr>
          <w:sz w:val="1"/>
          <w:szCs w:val="1"/>
          <w:color w:val="auto"/>
        </w:rPr>
        <w:drawing>
          <wp:inline distT="0" distB="0" distL="0" distR="0">
            <wp:extent cx="130810" cy="13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30810" cy="130810"/>
                    </a:xfrm>
                    <a:prstGeom prst="rect">
                      <a:avLst/>
                    </a:prstGeom>
                    <a:noFill/>
                    <a:ln>
                      <a:noFill/>
                    </a:ln>
                  </pic:spPr>
                </pic:pic>
              </a:graphicData>
            </a:graphic>
          </wp:inline>
        </w:drawing>
      </w:r>
    </w:p>
    <w:p>
      <w:pPr>
        <w:spacing w:after="0" w:line="200" w:lineRule="exact"/>
        <w:rPr>
          <w:rFonts w:ascii="Arial" w:cs="Arial" w:eastAsia="Arial" w:hAnsi="Arial"/>
          <w:sz w:val="12"/>
          <w:szCs w:val="12"/>
          <w:color w:val="auto"/>
        </w:rPr>
      </w:pPr>
    </w:p>
    <w:p>
      <w:pPr>
        <w:spacing w:after="0" w:line="200" w:lineRule="exact"/>
        <w:rPr>
          <w:rFonts w:ascii="Arial" w:cs="Arial" w:eastAsia="Arial" w:hAnsi="Arial"/>
          <w:sz w:val="12"/>
          <w:szCs w:val="12"/>
          <w:color w:val="auto"/>
        </w:rPr>
      </w:pPr>
    </w:p>
    <w:p>
      <w:pPr>
        <w:spacing w:after="0" w:line="277"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Abstract</w:t>
      </w:r>
    </w:p>
    <w:p>
      <w:pPr>
        <w:spacing w:after="0" w:line="43" w:lineRule="exact"/>
        <w:rPr>
          <w:rFonts w:ascii="Arial" w:cs="Arial" w:eastAsia="Arial" w:hAnsi="Arial"/>
          <w:sz w:val="12"/>
          <w:szCs w:val="12"/>
          <w:color w:val="auto"/>
        </w:rPr>
      </w:pPr>
    </w:p>
    <w:p>
      <w:pPr>
        <w:jc w:val="both"/>
        <w:spacing w:after="0" w:line="242" w:lineRule="auto"/>
        <w:rPr>
          <w:sz w:val="20"/>
          <w:szCs w:val="20"/>
          <w:color w:val="auto"/>
        </w:rPr>
      </w:pPr>
      <w:r>
        <w:rPr>
          <w:rFonts w:ascii="Arial" w:cs="Arial" w:eastAsia="Arial" w:hAnsi="Arial"/>
          <w:sz w:val="20"/>
          <w:szCs w:val="20"/>
          <w:color w:val="auto"/>
        </w:rPr>
        <w:t>Theater translation is an emerging area of research. However, to date, there has been no detailed consideration of the type of methodologies required to conduct such research. This article examines methods and practices in both theater and translation studies in order to discuss their applicability to study theater translation specifically. It categorizes existing research into output-oriented and process-oriented elaborating the specificities of each. The methods include comparative analysis of the translated texts with their source texts and production reviews. This article also outlines ethical issues in conducting research into theater translation.</w:t>
      </w:r>
    </w:p>
    <w:p>
      <w:pPr>
        <w:spacing w:after="0" w:line="367"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Keywords</w:t>
      </w:r>
    </w:p>
    <w:p>
      <w:pPr>
        <w:spacing w:after="0" w:line="9"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performing arts, theater translation, intercultural transfers, research methodologies, mixed methods</w:t>
      </w:r>
    </w:p>
    <w:p>
      <w:pPr>
        <w:sectPr>
          <w:pgSz w:w="12240" w:h="15840" w:orient="portrait"/>
          <w:cols w:equalWidth="0" w:num="1">
            <w:col w:w="10280"/>
          </w:cols>
          <w:pgMar w:left="980" w:top="719" w:right="980" w:bottom="870" w:gutter="0" w:footer="0" w:header="0"/>
          <w:type w:val="continuous"/>
        </w:sectPr>
      </w:pPr>
    </w:p>
    <w:p>
      <w:pPr>
        <w:spacing w:after="0" w:line="200" w:lineRule="exact"/>
        <w:rPr>
          <w:rFonts w:ascii="Arial" w:cs="Arial" w:eastAsia="Arial" w:hAnsi="Arial"/>
          <w:sz w:val="12"/>
          <w:szCs w:val="12"/>
          <w:color w:val="auto"/>
        </w:rPr>
      </w:pPr>
    </w:p>
    <w:p>
      <w:pPr>
        <w:spacing w:after="0" w:line="361"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4"/>
          <w:szCs w:val="24"/>
          <w:color w:val="auto"/>
        </w:rPr>
        <w:t>Introduction</w:t>
      </w:r>
    </w:p>
    <w:p>
      <w:pPr>
        <w:spacing w:after="0" w:line="142" w:lineRule="exact"/>
        <w:rPr>
          <w:rFonts w:ascii="Arial" w:cs="Arial" w:eastAsia="Arial" w:hAnsi="Arial"/>
          <w:sz w:val="12"/>
          <w:szCs w:val="12"/>
          <w:color w:val="auto"/>
        </w:rPr>
      </w:pPr>
    </w:p>
    <w:p>
      <w:pPr>
        <w:jc w:val="both"/>
        <w:spacing w:after="0" w:line="265" w:lineRule="auto"/>
        <w:rPr>
          <w:sz w:val="20"/>
          <w:szCs w:val="20"/>
          <w:color w:val="auto"/>
        </w:rPr>
      </w:pPr>
      <w:r>
        <w:rPr>
          <w:rFonts w:ascii="Times New Roman" w:cs="Times New Roman" w:eastAsia="Times New Roman" w:hAnsi="Times New Roman"/>
          <w:sz w:val="19"/>
          <w:szCs w:val="19"/>
          <w:color w:val="auto"/>
        </w:rPr>
        <w:t>Theater translation has emerged as a discrete area of research at the confluence of translation and theater studies. Bassnett (1991), Johnston (1996), and Aaltonen (2000) produced early pioneering studies; however, it is really since 2010 that theater scholarship has put the Translator on Stage (Brodie, 2017). Recent work of significance includes that of Baines et al. (2010), Bigliazzi et al. (2013), and Laera (2019). Concurrently, there has been an increasing number of publications concerning theater in translation studies journals (e.g., Battist on,´ 2019; Marinetti, 2018). Yet, while theater studies has developed an array of qualitative methodologies to analyze performance, and translation studies has done likewise to study texts in transla-tion, neither has done much to advance reflection on the spe-cific methodologies required to analyze theater translation. The prime aim of this article is to address the gap in the literature. It does so by surveying research methodologies in theater and translation studies, highlighting convergences. It then moves on to discuss their relevance to the study of theater translation, and to comment on ethical issues, in order to offer a clear framework for conducting research in this area.</w:t>
      </w:r>
    </w:p>
    <w:p>
      <w:pPr>
        <w:spacing w:after="0" w:line="200" w:lineRule="exact"/>
        <w:rPr>
          <w:rFonts w:ascii="Arial" w:cs="Arial" w:eastAsia="Arial" w:hAnsi="Arial"/>
          <w:sz w:val="12"/>
          <w:szCs w:val="12"/>
          <w:color w:val="auto"/>
        </w:rPr>
      </w:pPr>
    </w:p>
    <w:p>
      <w:pPr>
        <w:spacing w:after="0" w:line="224"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4"/>
          <w:szCs w:val="24"/>
          <w:color w:val="auto"/>
        </w:rPr>
        <w:t>Defining Theater and Translation Research</w:t>
      </w:r>
    </w:p>
    <w:p>
      <w:pPr>
        <w:spacing w:after="0" w:line="134" w:lineRule="exact"/>
        <w:rPr>
          <w:rFonts w:ascii="Arial" w:cs="Arial" w:eastAsia="Arial" w:hAnsi="Arial"/>
          <w:sz w:val="12"/>
          <w:szCs w:val="12"/>
          <w:color w:val="auto"/>
        </w:rPr>
      </w:pPr>
    </w:p>
    <w:p>
      <w:pPr>
        <w:jc w:val="both"/>
        <w:spacing w:after="0" w:line="233" w:lineRule="auto"/>
        <w:rPr>
          <w:sz w:val="20"/>
          <w:szCs w:val="20"/>
          <w:color w:val="auto"/>
        </w:rPr>
      </w:pPr>
      <w:r>
        <w:rPr>
          <w:rFonts w:ascii="Arial" w:cs="Arial" w:eastAsia="Arial" w:hAnsi="Arial"/>
          <w:sz w:val="20"/>
          <w:szCs w:val="20"/>
          <w:color w:val="auto"/>
        </w:rPr>
        <w:t xml:space="preserve">Research in translation. </w:t>
      </w:r>
      <w:r>
        <w:rPr>
          <w:rFonts w:ascii="Times New Roman" w:cs="Times New Roman" w:eastAsia="Times New Roman" w:hAnsi="Times New Roman"/>
          <w:sz w:val="20"/>
          <w:szCs w:val="20"/>
          <w:color w:val="auto"/>
        </w:rPr>
        <w:t>Metaphorically speaking, all acts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interpretation can be described as translation (Steiner, 1975). From a more literal, restrictive perspective, translation is</w:t>
      </w:r>
    </w:p>
    <w:p>
      <w:pPr>
        <w:spacing w:after="0" w:line="20" w:lineRule="exact"/>
        <w:rPr>
          <w:rFonts w:ascii="Arial" w:cs="Arial" w:eastAsia="Arial" w:hAnsi="Arial"/>
          <w:sz w:val="12"/>
          <w:szCs w:val="12"/>
          <w:color w:val="auto"/>
        </w:rPr>
      </w:pPr>
      <w:r>
        <w:rPr>
          <w:rFonts w:ascii="Arial" w:cs="Arial" w:eastAsia="Arial" w:hAnsi="Arial"/>
          <w:sz w:val="12"/>
          <w:szCs w:val="12"/>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132080</wp:posOffset>
                </wp:positionV>
                <wp:extent cx="6527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pt" to="514pt,10.4pt" o:allowincell="f" strokecolor="#000000" strokeweight="0.5102pt"/>
            </w:pict>
          </mc:Fallback>
        </mc:AlternateContent>
        <w:drawing>
          <wp:anchor simplePos="0" relativeHeight="251657728" behindDoc="1" locked="0" layoutInCell="0" allowOverlap="1">
            <wp:simplePos x="0" y="0"/>
            <wp:positionH relativeFrom="column">
              <wp:posOffset>-8890</wp:posOffset>
            </wp:positionH>
            <wp:positionV relativeFrom="paragraph">
              <wp:posOffset>194945</wp:posOffset>
            </wp:positionV>
            <wp:extent cx="760730" cy="2768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760730" cy="276860"/>
                    </a:xfrm>
                    <a:prstGeom prst="rect">
                      <a:avLst/>
                    </a:prstGeom>
                    <a:noFill/>
                  </pic:spPr>
                </pic:pic>
              </a:graphicData>
            </a:graphic>
          </wp:anchor>
        </w:drawing>
      </w:r>
    </w:p>
    <w:p>
      <w:pPr>
        <w:spacing w:after="0" w:line="20" w:lineRule="exact"/>
        <w:rPr>
          <w:rFonts w:ascii="Arial" w:cs="Arial" w:eastAsia="Arial" w:hAnsi="Arial"/>
          <w:sz w:val="12"/>
          <w:szCs w:val="12"/>
          <w:color w:val="auto"/>
        </w:rPr>
      </w:pPr>
      <w:r>
        <w:rPr>
          <w:rFonts w:ascii="Arial" w:cs="Arial" w:eastAsia="Arial" w:hAnsi="Arial"/>
          <w:sz w:val="12"/>
          <w:szCs w:val="12"/>
          <w:color w:val="auto"/>
        </w:rPr>
        <w:br w:type="column"/>
      </w:r>
    </w:p>
    <w:p>
      <w:pPr>
        <w:spacing w:after="0" w:line="200" w:lineRule="exact"/>
        <w:rPr>
          <w:rFonts w:ascii="Arial" w:cs="Arial" w:eastAsia="Arial" w:hAnsi="Arial"/>
          <w:sz w:val="12"/>
          <w:szCs w:val="12"/>
          <w:color w:val="auto"/>
        </w:rPr>
      </w:pPr>
    </w:p>
    <w:p>
      <w:pPr>
        <w:spacing w:after="0" w:line="379" w:lineRule="exact"/>
        <w:rPr>
          <w:rFonts w:ascii="Arial" w:cs="Arial" w:eastAsia="Arial" w:hAnsi="Arial"/>
          <w:sz w:val="12"/>
          <w:szCs w:val="12"/>
          <w:color w:val="auto"/>
        </w:rPr>
      </w:pPr>
    </w:p>
    <w:p>
      <w:pPr>
        <w:jc w:val="both"/>
        <w:spacing w:after="0" w:line="266" w:lineRule="auto"/>
        <w:rPr>
          <w:sz w:val="20"/>
          <w:szCs w:val="20"/>
          <w:color w:val="auto"/>
        </w:rPr>
      </w:pPr>
      <w:r>
        <w:rPr>
          <w:rFonts w:ascii="Times New Roman" w:cs="Times New Roman" w:eastAsia="Times New Roman" w:hAnsi="Times New Roman"/>
          <w:sz w:val="19"/>
          <w:szCs w:val="19"/>
          <w:color w:val="auto"/>
        </w:rPr>
        <w:t>considered a procedure in which a written text is replaced by another in a different language (House, 2018, p. 10). In an important paper in the early days of the discipline, Holmes (1988) divided research in translation studies into two branches: “pure” and “applied.” Pure research describes trans-lation phenomena and scaffolds theoretical apparatuses in order to conceptualize such phenomena (e.g., Robinson, 2011). Applied research looks to improve translator training and translation aids (Fl orez´ &amp; Alcina, 2011), as well as to assess translations for quality in professional contexts (Colina, 2008). According to this division of the field, the pure branch asks how “does” translation happen, whereas the applied branch outlines how it “should” happen. Arguably, Holmes’s division is somewhat dated (Munday, 2016, pp. 19–20), and not all applied research is necessarily prescriptive. A more recent mapping has been provided by van Doorslaer (2007) who divides research into “translation” and “translation studies,” with the former being more practically focused, and the latter considering conceptual issues. However, both maps highlight</w:t>
      </w:r>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0</wp:posOffset>
            </wp:positionH>
            <wp:positionV relativeFrom="paragraph">
              <wp:posOffset>245110</wp:posOffset>
            </wp:positionV>
            <wp:extent cx="3188335" cy="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3188335" cy="5715"/>
                    </a:xfrm>
                    <a:prstGeom prst="rect">
                      <a:avLst/>
                    </a:prstGeom>
                    <a:noFill/>
                  </pic:spPr>
                </pic:pic>
              </a:graphicData>
            </a:graphic>
          </wp:anchor>
        </w:drawing>
      </w:r>
    </w:p>
    <w:p>
      <w:pPr>
        <w:spacing w:after="0" w:line="200" w:lineRule="exact"/>
        <w:rPr>
          <w:rFonts w:ascii="Arial" w:cs="Arial" w:eastAsia="Arial" w:hAnsi="Arial"/>
          <w:sz w:val="12"/>
          <w:szCs w:val="12"/>
          <w:color w:val="auto"/>
        </w:rPr>
      </w:pPr>
    </w:p>
    <w:p>
      <w:pPr>
        <w:spacing w:after="0" w:line="336" w:lineRule="exact"/>
        <w:rPr>
          <w:rFonts w:ascii="Arial" w:cs="Arial" w:eastAsia="Arial" w:hAnsi="Arial"/>
          <w:sz w:val="12"/>
          <w:szCs w:val="12"/>
          <w:color w:val="auto"/>
        </w:rPr>
      </w:pPr>
    </w:p>
    <w:p>
      <w:pPr>
        <w:ind w:left="100" w:hanging="100"/>
        <w:spacing w:after="0" w:line="200" w:lineRule="auto"/>
        <w:tabs>
          <w:tab w:leader="none" w:pos="100" w:val="left"/>
        </w:tabs>
        <w:numPr>
          <w:ilvl w:val="0"/>
          <w:numId w:val="2"/>
        </w:numPr>
        <w:rPr>
          <w:rFonts w:ascii="Arial" w:cs="Arial" w:eastAsia="Arial" w:hAnsi="Arial"/>
          <w:sz w:val="21"/>
          <w:szCs w:val="21"/>
          <w:color w:val="auto"/>
          <w:vertAlign w:val="superscript"/>
        </w:rPr>
      </w:pPr>
      <w:r>
        <w:rPr>
          <w:rFonts w:ascii="Arial" w:cs="Arial" w:eastAsia="Arial" w:hAnsi="Arial"/>
          <w:sz w:val="16"/>
          <w:szCs w:val="16"/>
          <w:color w:val="auto"/>
        </w:rPr>
        <w:t>Department of Linguistics and Translation, City University of Hong Kong, Kowloon, Hong Kong</w:t>
      </w:r>
    </w:p>
    <w:p>
      <w:pPr>
        <w:spacing w:after="0" w:line="215"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16"/>
          <w:szCs w:val="16"/>
          <w:color w:val="auto"/>
        </w:rPr>
        <w:t>Corresponding Author:</w:t>
      </w:r>
    </w:p>
    <w:p>
      <w:pPr>
        <w:spacing w:after="0" w:line="44" w:lineRule="exact"/>
        <w:rPr>
          <w:rFonts w:ascii="Arial" w:cs="Arial" w:eastAsia="Arial" w:hAnsi="Arial"/>
          <w:sz w:val="12"/>
          <w:szCs w:val="12"/>
          <w:color w:val="auto"/>
        </w:rPr>
      </w:pPr>
    </w:p>
    <w:p>
      <w:pPr>
        <w:jc w:val="both"/>
        <w:spacing w:after="0" w:line="241" w:lineRule="auto"/>
        <w:rPr>
          <w:sz w:val="20"/>
          <w:szCs w:val="20"/>
          <w:color w:val="auto"/>
        </w:rPr>
      </w:pPr>
      <w:r>
        <w:rPr>
          <w:rFonts w:ascii="Arial" w:cs="Arial" w:eastAsia="Arial" w:hAnsi="Arial"/>
          <w:sz w:val="16"/>
          <w:szCs w:val="16"/>
          <w:color w:val="auto"/>
        </w:rPr>
        <w:t>Dominic Glynn, Department of Linguistics and Translation, City University of Hong Kong, Yeung Kin Man Academic Building, 83 Tat Chee Avenue, Kowloon, Hong Kong.</w:t>
      </w:r>
    </w:p>
    <w:p>
      <w:pPr>
        <w:spacing w:after="0" w:line="15" w:lineRule="exact"/>
        <w:rPr>
          <w:rFonts w:ascii="Arial" w:cs="Arial" w:eastAsia="Arial" w:hAnsi="Arial"/>
          <w:sz w:val="12"/>
          <w:szCs w:val="12"/>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Email: </w:t>
      </w:r>
      <w:hyperlink r:id="rId16">
        <w:r>
          <w:rPr>
            <w:rFonts w:ascii="Arial" w:cs="Arial" w:eastAsia="Arial" w:hAnsi="Arial"/>
            <w:sz w:val="16"/>
            <w:szCs w:val="16"/>
            <w:color w:val="auto"/>
          </w:rPr>
          <w:t>dsglynn@cityu.edu.hk</w:t>
        </w:r>
      </w:hyperlink>
    </w:p>
    <w:p>
      <w:pPr>
        <w:spacing w:after="0" w:line="201" w:lineRule="exact"/>
        <w:rPr>
          <w:rFonts w:ascii="Arial" w:cs="Arial" w:eastAsia="Arial" w:hAnsi="Arial"/>
          <w:sz w:val="12"/>
          <w:szCs w:val="12"/>
          <w:color w:val="auto"/>
        </w:rPr>
      </w:pPr>
    </w:p>
    <w:p>
      <w:pPr>
        <w:sectPr>
          <w:pgSz w:w="12240" w:h="15840" w:orient="portrait"/>
          <w:cols w:equalWidth="0" w:num="2">
            <w:col w:w="5020" w:space="240"/>
            <w:col w:w="5020"/>
          </w:cols>
          <w:pgMar w:left="980" w:top="719" w:right="980" w:bottom="870" w:gutter="0" w:footer="0" w:header="0"/>
          <w:type w:val="continuous"/>
        </w:sectPr>
      </w:pPr>
    </w:p>
    <w:p>
      <w:pPr>
        <w:spacing w:after="0" w:line="109" w:lineRule="exact"/>
        <w:rPr>
          <w:rFonts w:ascii="Arial" w:cs="Arial" w:eastAsia="Arial" w:hAnsi="Arial"/>
          <w:sz w:val="12"/>
          <w:szCs w:val="12"/>
          <w:color w:val="auto"/>
        </w:rPr>
      </w:pPr>
    </w:p>
    <w:p>
      <w:pPr>
        <w:ind w:left="1260"/>
        <w:spacing w:after="0" w:line="260" w:lineRule="auto"/>
        <w:rPr>
          <w:rFonts w:ascii="Arial" w:cs="Arial" w:eastAsia="Arial" w:hAnsi="Arial"/>
          <w:sz w:val="13"/>
          <w:szCs w:val="13"/>
          <w:color w:val="auto"/>
        </w:rPr>
      </w:pPr>
      <w:r>
        <w:rPr>
          <w:rFonts w:ascii="Arial" w:cs="Arial" w:eastAsia="Arial" w:hAnsi="Arial"/>
          <w:sz w:val="13"/>
          <w:szCs w:val="13"/>
          <w:color w:val="auto"/>
        </w:rPr>
        <w:t xml:space="preserve">Creative Commons Non Commercial CC BY-NC: This article is distributed under the terms of the Creative Commons Attribution-NonCommercial 4.0 License </w:t>
      </w:r>
      <w:hyperlink r:id="rId17">
        <w:r>
          <w:rPr>
            <w:rFonts w:ascii="Arial" w:cs="Arial" w:eastAsia="Arial" w:hAnsi="Arial"/>
            <w:sz w:val="13"/>
            <w:szCs w:val="13"/>
            <w:color w:val="auto"/>
          </w:rPr>
          <w:t xml:space="preserve">(https://creativecommons.org/licenses/by-nc/4.0/) </w:t>
        </w:r>
      </w:hyperlink>
      <w:r>
        <w:rPr>
          <w:rFonts w:ascii="Arial" w:cs="Arial" w:eastAsia="Arial" w:hAnsi="Arial"/>
          <w:sz w:val="13"/>
          <w:szCs w:val="13"/>
          <w:color w:val="auto"/>
        </w:rPr>
        <w:t xml:space="preserve">which permits non-commercial use, reproduction and distribution of the work without further permission provided the original work is attributed as specified on the SAGE and Open Access pages </w:t>
      </w:r>
      <w:hyperlink r:id="rId18">
        <w:r>
          <w:rPr>
            <w:rFonts w:ascii="Arial" w:cs="Arial" w:eastAsia="Arial" w:hAnsi="Arial"/>
            <w:sz w:val="13"/>
            <w:szCs w:val="13"/>
            <w:color w:val="auto"/>
          </w:rPr>
          <w:t>(https://us.sagepub.com/en-us/nam/open-access-at-sage)</w:t>
        </w:r>
      </w:hyperlink>
      <w:r>
        <w:rPr>
          <w:rFonts w:ascii="Arial" w:cs="Arial" w:eastAsia="Arial" w:hAnsi="Arial"/>
          <w:sz w:val="13"/>
          <w:szCs w:val="13"/>
          <w:color w:val="auto"/>
        </w:rPr>
        <w:t>.</w:t>
      </w:r>
    </w:p>
    <w:p>
      <w:pPr>
        <w:sectPr>
          <w:pgSz w:w="12240" w:h="15840" w:orient="portrait"/>
          <w:cols w:equalWidth="0" w:num="1">
            <w:col w:w="10280"/>
          </w:cols>
          <w:pgMar w:left="980" w:top="719" w:right="980" w:bottom="870" w:gutter="0" w:footer="0" w:header="0"/>
          <w:type w:val="continuous"/>
        </w:sectPr>
      </w:pPr>
    </w:p>
    <w:bookmarkStart w:id="1" w:name="page2"/>
    <w:bookmarkEnd w:id="1"/>
    <w:p>
      <w:pPr>
        <w:spacing w:after="0"/>
        <w:tabs>
          <w:tab w:leader="none" w:pos="6940" w:val="left"/>
        </w:tabs>
        <w:rPr>
          <w:sz w:val="20"/>
          <w:szCs w:val="20"/>
          <w:color w:val="auto"/>
        </w:rPr>
      </w:pPr>
      <w:r>
        <w:rPr>
          <w:rFonts w:ascii="Arial" w:cs="Arial" w:eastAsia="Arial" w:hAnsi="Arial"/>
          <w:sz w:val="17"/>
          <w:szCs w:val="17"/>
          <w:color w:val="auto"/>
        </w:rPr>
        <w:t>2</w:t>
      </w:r>
      <w:r>
        <w:rPr>
          <w:sz w:val="20"/>
          <w:szCs w:val="20"/>
          <w:color w:val="auto"/>
        </w:rPr>
        <w:tab/>
      </w:r>
      <w:r>
        <w:rPr>
          <w:rFonts w:ascii="Arial" w:cs="Arial" w:eastAsia="Arial" w:hAnsi="Arial"/>
          <w:sz w:val="17"/>
          <w:szCs w:val="17"/>
          <w:color w:val="auto"/>
        </w:rPr>
        <w:t>International Journal of Qualitative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24130</wp:posOffset>
                </wp:positionV>
                <wp:extent cx="6527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pt" to="514pt,1.9pt" o:allowincell="f" strokecolor="#000000" strokeweight="0.5102pt"/>
            </w:pict>
          </mc:Fallback>
        </mc:AlternateContent>
      </w:r>
    </w:p>
    <w:p>
      <w:pPr>
        <w:sectPr>
          <w:pgSz w:w="12240" w:h="15840" w:orient="portrait"/>
          <w:cols w:equalWidth="0" w:num="1">
            <w:col w:w="10280"/>
          </w:cols>
          <w:pgMar w:left="980" w:top="766" w:right="980" w:bottom="515" w:gutter="0" w:footer="0" w:header="0"/>
        </w:sectPr>
      </w:pPr>
    </w:p>
    <w:p>
      <w:pPr>
        <w:spacing w:after="0" w:line="200" w:lineRule="exact"/>
        <w:rPr>
          <w:sz w:val="20"/>
          <w:szCs w:val="20"/>
          <w:color w:val="auto"/>
        </w:rPr>
      </w:pPr>
    </w:p>
    <w:p>
      <w:pPr>
        <w:spacing w:after="0" w:line="250"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divergences in research interests and methodologies. Both maps also suggest a division between research with theoretical and practical concerns.</w:t>
      </w:r>
    </w:p>
    <w:p>
      <w:pPr>
        <w:spacing w:after="0" w:line="58"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19"/>
          <w:szCs w:val="19"/>
          <w:color w:val="auto"/>
        </w:rPr>
        <w:t>Historically, key debates in translation studies have included whether a translated text may be deemed “equivalent” to its source text (Newmark, 1981; Nida, 1964). Such a notion has been closely related to the question of the “translatability” of concepts, utterances, and metaphors (Hatim &amp; Munday, 2004; Mounin, 1963). Since the so-called cultural turn (Bass-nett &amp; Lefevere, 1990), discussion of translation is no-longer conceived in purely linguistic terms but rather as culturally embedded (Maitland, 2017). The concept of equivalence has lost sway and is only championed by a minority of scholars (e.g., Pym, 2007). In recent years, activist translation strategies that promote a specific agenda have been much discussed (Tymoczko, 2000). There has also been considerable debate about the applicability of translation concepts to global con-texts and, in particular, the implicit Eurocentric bias of models and theories (Chang, 2015). Moreover, there has been a signif-icant number of studies that consider the role and working conditions of translators, to the extent that Chesterman (2017) has argued that it may even be relevant to speak of the development of a separate subfield called “translator studies.”</w:t>
      </w:r>
    </w:p>
    <w:p>
      <w:pPr>
        <w:spacing w:after="0" w:line="281"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 xml:space="preserve">Research in theater. </w:t>
      </w:r>
      <w:r>
        <w:rPr>
          <w:rFonts w:ascii="Times New Roman" w:cs="Times New Roman" w:eastAsia="Times New Roman" w:hAnsi="Times New Roman"/>
          <w:sz w:val="19"/>
          <w:szCs w:val="19"/>
          <w:color w:val="auto"/>
        </w:rPr>
        <w:t>Theater refers to a multitude of social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artistic representational practices that pertain to performance. Goody (1997, p. 31) outlines representation in three ways: bringing into presence something previously absent, embody-ing an abstraction in an object, and presenting something in a different way. The idea of theater (re)presenting (Glynn, 2015) something in a different way is particularly relevant when thinking about translations, given that translations rewrite texts in a new language (Lefevere, 1992). Theater studies is a vast discipline with many different areas of enquiry. One research domain considers how texts have been staged in different cul-tural (Gilbert &amp; Lo, 2009) and temporal contexts (Silverstone, 2011). There are also many case studies of specific directors (e.g., Boenisch &amp; Finburgh, 2018), playwrights (Delgado et al., 2020), or productions (Rodosthenous, 2017). In addition, there is research on intermedial practices (Crossley, 2019) as well as on performance traditions from around the world (e.g., Thorpe, 2018). There is no structural division between pure and applied research as in translation studies, though there is research that is specifically geared toward educational, social, and therapeu-tic applications (e.g., Hughes &amp; Nicholson, 2016). There is also a divide between theater studies as an area of academic enquiry and training for theater provided at drama schools and conservatories.</w:t>
      </w:r>
    </w:p>
    <w:p>
      <w:pPr>
        <w:spacing w:after="0" w:line="280" w:lineRule="exact"/>
        <w:rPr>
          <w:sz w:val="20"/>
          <w:szCs w:val="20"/>
          <w:color w:val="auto"/>
        </w:rPr>
      </w:pPr>
    </w:p>
    <w:p>
      <w:pPr>
        <w:jc w:val="both"/>
        <w:ind w:firstLine="239"/>
        <w:spacing w:after="0" w:line="257" w:lineRule="auto"/>
        <w:rPr>
          <w:sz w:val="20"/>
          <w:szCs w:val="20"/>
          <w:color w:val="auto"/>
        </w:rPr>
      </w:pPr>
      <w:r>
        <w:rPr>
          <w:rFonts w:ascii="Times New Roman" w:cs="Times New Roman" w:eastAsia="Times New Roman" w:hAnsi="Times New Roman"/>
          <w:sz w:val="19"/>
          <w:szCs w:val="19"/>
          <w:color w:val="auto"/>
        </w:rPr>
        <w:t>Major discussions in theater studies include how to perform works with long interpretative and stage histories (Glynn, 2017; Laera, 2013). Key theoretical notions include that of “performativity” (Cull &amp; Lagaay, 2014) which, when applied to theater productions, consider how plays are invested with “performative force” (Worthen, 2003, pp. 9–13) when trans-ferred to the stage. In addition, theater studies are at the critical juncture of performance studies, which has developed out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0"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work by Schechner and Turner (1985), and which seeks to describe cultural rituals through the lens of theatrical meta-phors and terminology.</w:t>
      </w:r>
    </w:p>
    <w:p>
      <w:pPr>
        <w:spacing w:after="0" w:line="230"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 xml:space="preserve">Research in theater translation. </w:t>
      </w:r>
      <w:r>
        <w:rPr>
          <w:rFonts w:ascii="Times New Roman" w:cs="Times New Roman" w:eastAsia="Times New Roman" w:hAnsi="Times New Roman"/>
          <w:sz w:val="19"/>
          <w:szCs w:val="19"/>
          <w:color w:val="auto"/>
        </w:rPr>
        <w:t>As for “theater translation,” the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term may be understood in different ways. For a start, meta-phorically at least, all productions that stage a preexisting text may be considered types of “intersemiotic translation,” as a play is transferred from page to stage (Zuber-Skerritt, 1984). Viewed from this angle, most research in theater studies that looks at the staging of dramatic literature bears some relation-ship to translation. Here, the role of the director in translating a text intersemiotically to the stage is equated with that of the translator, and directorial intention is akin to a translator’s strategy. From the perspective of a more restrictive understand-ing of translation, there is scholarship on translated plays in performance (Chan, 2015). There are also detailed investiga-tions of the processes of translating for the theater (Brodie, 2017) and of the international circulation of productions and networks (Bollen, 2020), which investigate theater from a transnational angle (Schweitzer, 2015) or that examine inter-cultural connections (Fischer-Lichte, 2014). Finally, there are studies of sur-titling (Oncins, 2015) and audio description prac-tices (Roofthooft et al., 2018) that highlight the multimodality of theater. From a theoretical angle, the notion of “performability” (Bassnett, 1991; Glynn &amp; Hadley, 2020) has been investigated at the intersection of theater and translation studies. Furthermore, the study of both the intralingual and interlingual “adaptation” of texts to the stage is itself a flour-ishing area of investigation, and there is a considerable body of research that theorizes adaptation in relation to translation practices (Brodie &amp; Cole, 2017; Krebs, 2014; Laera, 2014).</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Research Methods</w:t>
      </w:r>
    </w:p>
    <w:p>
      <w:pPr>
        <w:spacing w:after="0" w:line="142"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A range of different methods are used to study theater transla-tion depending on the focus of the enquiry. In the following, these methods are classified and discussed in relation to two main orientations identified in current research. They are not toward pure or applied research. Rather, the first is toward the output and the second is toward the process. An output can be a published text as in other forms of literary translation. It can also be a production of a translated text. Depending on the orientation of the research, different methodologies derived from translation, theater studies or cogent disciplines may be utilized. It may be argued that in the context of theater, it is not helpful to distinguish between outputs and processes as many book-length studies combine analysis of both. However, shorter research items (performance reviews and research arti-cles) tend to focus on one or other aspect. It is this focus that characterizes their research orientation.</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Output-Oriented Research</w:t>
      </w:r>
    </w:p>
    <w:p>
      <w:pPr>
        <w:spacing w:after="0" w:line="142"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9"/>
          <w:szCs w:val="19"/>
          <w:color w:val="auto"/>
        </w:rPr>
        <w:t>In the following, output-oriented research is grouped into three subcategories (comparative analysis, contextual analysis, and</w:t>
      </w:r>
    </w:p>
    <w:p>
      <w:pPr>
        <w:sectPr>
          <w:pgSz w:w="12240" w:h="15840" w:orient="portrait"/>
          <w:cols w:equalWidth="0" w:num="2">
            <w:col w:w="5020" w:space="240"/>
            <w:col w:w="5020"/>
          </w:cols>
          <w:pgMar w:left="980" w:top="766" w:right="980" w:bottom="515"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30"/>
        </w:trPr>
        <w:tc>
          <w:tcPr>
            <w:tcW w:w="5300" w:type="dxa"/>
            <w:vAlign w:val="bottom"/>
          </w:tcPr>
          <w:p>
            <w:pPr>
              <w:spacing w:after="0"/>
              <w:rPr>
                <w:sz w:val="20"/>
                <w:szCs w:val="20"/>
                <w:color w:val="auto"/>
              </w:rPr>
            </w:pPr>
            <w:r>
              <w:rPr>
                <w:rFonts w:ascii="Arial" w:cs="Arial" w:eastAsia="Arial" w:hAnsi="Arial"/>
                <w:sz w:val="20"/>
                <w:szCs w:val="20"/>
                <w:color w:val="auto"/>
              </w:rPr>
              <w:t>Glynn</w:t>
            </w:r>
          </w:p>
        </w:tc>
        <w:tc>
          <w:tcPr>
            <w:tcW w:w="498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34"/>
        </w:trPr>
        <w:tc>
          <w:tcPr>
            <w:tcW w:w="5300" w:type="dxa"/>
            <w:vAlign w:val="bottom"/>
            <w:tcBorders>
              <w:bottom w:val="single" w:sz="8" w:color="auto"/>
            </w:tcBorders>
          </w:tcPr>
          <w:p>
            <w:pPr>
              <w:spacing w:after="0"/>
              <w:rPr>
                <w:sz w:val="2"/>
                <w:szCs w:val="2"/>
                <w:color w:val="auto"/>
              </w:rPr>
            </w:pPr>
          </w:p>
        </w:tc>
        <w:tc>
          <w:tcPr>
            <w:tcW w:w="498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2240" w:h="15840" w:orient="portrait"/>
          <w:cols w:equalWidth="0" w:num="1">
            <w:col w:w="10280"/>
          </w:cols>
          <w:pgMar w:left="980" w:top="732" w:right="980" w:bottom="521" w:gutter="0" w:footer="0" w:header="0"/>
        </w:sectPr>
      </w:pPr>
    </w:p>
    <w:p>
      <w:pPr>
        <w:spacing w:after="0" w:line="20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production analysis) in accordance with the main methodolo-gies used. Translations can be analyzed in relation to their sources. Translations can also be studied within the contexts in which they were produced. In addition, in the case of theater translations that are produced on stage, they can be analyzed in relation to their productions, and their productions can be ana-lyzed within the context of what else is staged in a given culture at a given point in time. These methods are not mutually exclu-sive but may usefully be combined.</w:t>
      </w:r>
    </w:p>
    <w:p>
      <w:pPr>
        <w:spacing w:after="0" w:line="287" w:lineRule="exact"/>
        <w:rPr>
          <w:sz w:val="20"/>
          <w:szCs w:val="20"/>
          <w:color w:val="auto"/>
        </w:rPr>
      </w:pPr>
    </w:p>
    <w:p>
      <w:pPr>
        <w:jc w:val="both"/>
        <w:spacing w:after="0" w:line="260" w:lineRule="auto"/>
        <w:rPr>
          <w:sz w:val="20"/>
          <w:szCs w:val="20"/>
          <w:color w:val="auto"/>
        </w:rPr>
      </w:pPr>
      <w:r>
        <w:rPr>
          <w:rFonts w:ascii="Arial" w:cs="Arial" w:eastAsia="Arial" w:hAnsi="Arial"/>
          <w:sz w:val="19"/>
          <w:szCs w:val="19"/>
          <w:color w:val="auto"/>
        </w:rPr>
        <w:t xml:space="preserve">Comparative analysis. </w:t>
      </w:r>
      <w:r>
        <w:rPr>
          <w:rFonts w:ascii="Times New Roman" w:cs="Times New Roman" w:eastAsia="Times New Roman" w:hAnsi="Times New Roman"/>
          <w:sz w:val="19"/>
          <w:szCs w:val="19"/>
          <w:color w:val="auto"/>
        </w:rPr>
        <w:t>In translation studies, a translated text is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commonly referred to as a “target text” and the original as a “source text,” though this nomenclature has been contested, notably in relation to translation in the digital sphere (Pym, 2004). Studying translations is traditionally done by comparing a source text with a target text. This method requires analysis of the linguistic features of both to identify lexical, semantic, and stylistic changes or “shifts” (Catford, 1965). Such shifts may be due to differences in the grammars of two languages. For, instance, unlike English, Mandarin Chinese does not have a system of definite articles (Robertson, 2000, p. 140). Translat-ing between English and Chinese will thus require omitting the definite articles (Zhang &amp; Li, 2009). Shifts may also be due to the fact that languages express ideas using different idiomatic phrases and conceptual metaphors (Vinay &amp; Darbelnet, 1995).</w:t>
      </w:r>
    </w:p>
    <w:p>
      <w:pPr>
        <w:spacing w:after="0" w:line="43"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Shifts might additionally be imputed to the overall strategy adopted by the translator. The literature (Newmark, 1981; Nida, 1964; Venuti, 1995) typically identifies two orientations, one that aims to preserve as much as possible the structure and lexis of the source text and the other that aims to communicate its message in the most effective manner for the target audi-ence. The decision to adopt a particular strategy depends in part on the material to be translated and the extent to which its features are deemed to be specific to the source culture (Franco Aixel´a, 1996; Leppihalme, 1997). It also depends on the norms (Chesterman, 1997) of the industry or publishing outlet where the translation is produced. Specifically concerning theater, when translations are produced for performance, the transla-tor’s strategy is often influenced, if not directly guided by, the director of the stage production.</w:t>
      </w:r>
    </w:p>
    <w:p>
      <w:pPr>
        <w:spacing w:after="0" w:line="286"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19"/>
          <w:szCs w:val="19"/>
          <w:color w:val="auto"/>
        </w:rPr>
        <w:t>A preliminary framework for comparatively analyzing translated plays was developed by Ladouceur (1995, especially</w:t>
      </w:r>
    </w:p>
    <w:p>
      <w:pPr>
        <w:spacing w:after="0" w:line="55" w:lineRule="exact"/>
        <w:rPr>
          <w:sz w:val="20"/>
          <w:szCs w:val="20"/>
          <w:color w:val="auto"/>
        </w:rPr>
      </w:pPr>
    </w:p>
    <w:p>
      <w:pPr>
        <w:jc w:val="both"/>
        <w:spacing w:after="0" w:line="259" w:lineRule="auto"/>
        <w:tabs>
          <w:tab w:leader="none" w:pos="33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35–36). It involves comparing macrostructural (division into acts and scenes, number of characters) and microstructural (register, lexis, and style) elements of the texts. Analysis of individual scenes provides information about the various pro-cedures used by translators, which can include, but are not limited to, the omission of passages, the explicitation of com-plex concepts or metaphors either within the text or in foot-notes, and the universalization of culture-specific references. An example of the latter is how “a Chesterfield” may be ren-dered as “un sof´a” [a sofa] in Spanish translations of British spy novels (Franco Aixel´a, 1996, p. 63). The comparison of the different procedures helps to determine the overall strategy used by a translator. Moreover, detailed analysis of the differ-ent features of a translation can be compared with those of</w:t>
      </w:r>
    </w:p>
    <w:p>
      <w:pPr>
        <w:spacing w:after="0" w:line="20" w:lineRule="exact"/>
        <w:rPr>
          <w:sz w:val="20"/>
          <w:szCs w:val="20"/>
          <w:color w:val="auto"/>
        </w:rPr>
      </w:pPr>
      <w:r>
        <w:rPr>
          <w:sz w:val="20"/>
          <w:szCs w:val="20"/>
          <w:color w:val="auto"/>
        </w:rPr>
        <w:br w:type="column"/>
      </w:r>
    </w:p>
    <w:p>
      <w:pPr>
        <w:spacing w:after="0" w:line="18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other translations, if they exist. Such information is also use-fully supplemented by considering the context in which the translation was produced.</w:t>
      </w:r>
    </w:p>
    <w:p>
      <w:pPr>
        <w:spacing w:after="0" w:line="290"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 xml:space="preserve">Contextual analysis. </w:t>
      </w:r>
      <w:r>
        <w:rPr>
          <w:rFonts w:ascii="Times New Roman" w:cs="Times New Roman" w:eastAsia="Times New Roman" w:hAnsi="Times New Roman"/>
          <w:sz w:val="19"/>
          <w:szCs w:val="19"/>
          <w:color w:val="auto"/>
        </w:rPr>
        <w:t>There has been a paradigm shift in transla-tion studies to consider translated texts within the context of the target cultures rather than solely in relation to their source texts. If a translated text represents a language, culture, and place in another language, culture, and place (Toury, 2012, p. 69), its difference compared to nontranslated texts can be more or less apparent, depending on whether the translator considers mak-ing its otherness a virtue to be displayed or an inconvenience to be hidden. In Venuti’s (1995, pp. 21–25) terms, the former approach is “foreignization,” whereas the latter is “domestication.” Venuti is a firm advocate of foreignization as a practice that brings attention to the fact that a text has been mediated and rewritten by a translator. He makes the grand claim that a foreignized translation “can be a form of resistance against ethnocentrism and racism” (p. 20). Primarily, his under-standing of foreignization is conceptualized in terms of resis-tance to the norms of stylistic fluency in Anglo-American publishing culture. Indeed, in general terms, research suggests a growing trend toward “domestication” in European literature (Franco Aixel´a, 1996, p. 54; Polizzotti, 2018, pp. 68–69). Yet, as Chang (2018) has argued, this is not necessarily the case everywhere, since in China, the translation norm is to “foreignize,” meaning that “domestication,” in this context, might be conceived as a “form of resistance.”</w:t>
      </w:r>
    </w:p>
    <w:p>
      <w:pPr>
        <w:spacing w:after="0" w:line="280"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0"/>
          <w:szCs w:val="20"/>
          <w:color w:val="auto"/>
        </w:rPr>
        <w:t>The extent to which a particular culture is hospitable to translation determines the extent to which it is inclined to mod-ify its own norms (Even-Zohar, 1990). In other words, the higher the percentage of translated texts published or, in the case of theater, performed on stage, in a particular context, the more likely that context is to publish or stage translations that do not resemble nontranslated texts in terms of style and content. An example of a particularly hospitable environment to translation (not necessarily theater related) is Greece in the 1990s, where translations accounted for 45% of the national book production (Heilbron &amp; Sapiro, 2016, p. 317). A hostile environment, by contrast, is the UK theater scene, where trans-lations are infrequently performed for a range of issues includ-ing financial considerations (Brodie, 2017, p. 6). Plays that do not correspond to what translations are expected to look like, such as foreignized translations, are deemed unperformable (Glynn &amp; Hadley, 2020, p. 5).</w:t>
      </w:r>
    </w:p>
    <w:p>
      <w:pPr>
        <w:spacing w:after="0" w:line="57"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In order to determine the expectancy norms of a target cul-ture (Chesterman, 1997), both translated texts and nontrans-lated texts need to be analyzed. By analyzing structural divisions (number of acts, and scenes) in both translated and untranslated plays, the number of characters, stylistic, lexical, and thematic components, it is possible to establish whether there are significant differences between plays originally writ-ten in the language of the target culture and those that have been translated. In addition, translated texts can be situated in their discursive contexts by consulting relevant secondary lit-erature and by means of literary discourse analysis</w:t>
      </w:r>
    </w:p>
    <w:p>
      <w:pPr>
        <w:sectPr>
          <w:pgSz w:w="12240" w:h="15840" w:orient="portrait"/>
          <w:cols w:equalWidth="0" w:num="2">
            <w:col w:w="5020" w:space="240"/>
            <w:col w:w="5020"/>
          </w:cols>
          <w:pgMar w:left="980" w:top="732" w:right="980" w:bottom="521" w:gutter="0" w:footer="0" w:header="0"/>
          <w:type w:val="continuous"/>
        </w:sectPr>
      </w:pPr>
    </w:p>
    <w:bookmarkStart w:id="3" w:name="page4"/>
    <w:bookmarkEnd w:id="3"/>
    <w:p>
      <w:pPr>
        <w:spacing w:after="0"/>
        <w:tabs>
          <w:tab w:leader="none" w:pos="6940" w:val="left"/>
        </w:tabs>
        <w:rPr>
          <w:sz w:val="20"/>
          <w:szCs w:val="20"/>
          <w:color w:val="auto"/>
        </w:rPr>
      </w:pPr>
      <w:r>
        <w:rPr>
          <w:rFonts w:ascii="Arial" w:cs="Arial" w:eastAsia="Arial" w:hAnsi="Arial"/>
          <w:sz w:val="17"/>
          <w:szCs w:val="17"/>
          <w:color w:val="auto"/>
        </w:rPr>
        <w:t>4</w:t>
      </w:r>
      <w:r>
        <w:rPr>
          <w:sz w:val="20"/>
          <w:szCs w:val="20"/>
          <w:color w:val="auto"/>
        </w:rPr>
        <w:tab/>
      </w:r>
      <w:r>
        <w:rPr>
          <w:rFonts w:ascii="Arial" w:cs="Arial" w:eastAsia="Arial" w:hAnsi="Arial"/>
          <w:sz w:val="17"/>
          <w:szCs w:val="17"/>
          <w:color w:val="auto"/>
        </w:rPr>
        <w:t>International Journal of Qualitative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24130</wp:posOffset>
                </wp:positionV>
                <wp:extent cx="6527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pt" to="514pt,1.9pt" o:allowincell="f" strokecolor="#000000" strokeweight="0.5102pt"/>
            </w:pict>
          </mc:Fallback>
        </mc:AlternateContent>
      </w:r>
    </w:p>
    <w:p>
      <w:pPr>
        <w:sectPr>
          <w:pgSz w:w="12240" w:h="15840" w:orient="portrait"/>
          <w:cols w:equalWidth="0" w:num="1">
            <w:col w:w="10280"/>
          </w:cols>
          <w:pgMar w:left="980" w:top="766" w:right="980" w:bottom="511" w:gutter="0" w:footer="0" w:header="0"/>
        </w:sectPr>
      </w:pPr>
    </w:p>
    <w:p>
      <w:pPr>
        <w:spacing w:after="0" w:line="200" w:lineRule="exact"/>
        <w:rPr>
          <w:sz w:val="20"/>
          <w:szCs w:val="20"/>
          <w:color w:val="auto"/>
        </w:rPr>
      </w:pPr>
    </w:p>
    <w:p>
      <w:pPr>
        <w:spacing w:after="0" w:line="250"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(Maingueneau, 2010). Such an approach involves consulting paratextual materials (Genette, 1997), such as prefaces (Snell-Hornby, 1988), book covers (Mossop, 2018), press, and promo-tional materials (Marin-Lacarta, 2019) but also materials held in archives, including personal correspondence. Regarding older translations, it is useful to consider whether they have been (re)printed and whether they have been used as part of school programs. This indicates the extent to which the source texts and the translations have been accepted by the target cultures (Casanova, 1999).</w:t>
      </w:r>
    </w:p>
    <w:p>
      <w:pPr>
        <w:spacing w:after="0" w:line="200" w:lineRule="exact"/>
        <w:rPr>
          <w:sz w:val="20"/>
          <w:szCs w:val="20"/>
          <w:color w:val="auto"/>
        </w:rPr>
      </w:pPr>
    </w:p>
    <w:p>
      <w:pPr>
        <w:spacing w:after="0" w:line="206"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 xml:space="preserve">Production analysis. </w:t>
      </w:r>
      <w:r>
        <w:rPr>
          <w:rFonts w:ascii="Times New Roman" w:cs="Times New Roman" w:eastAsia="Times New Roman" w:hAnsi="Times New Roman"/>
          <w:sz w:val="19"/>
          <w:szCs w:val="19"/>
          <w:color w:val="auto"/>
        </w:rPr>
        <w:t>Not all translations of theater plays are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intended to be staged (Aaltonen, 2000). However, for those that are, a production on stage represents the final output of the translation process. Analyzing theater translations in their target context thus requires studying how they are performed on stage. This means using methods developed within theater studies to provide production analysis. Production reviews in theater studies journals typically describe the action that takes place on stage, interpreting actors’ movements, delivery, and scenographic elements of the mise-en-sc`ene (e.g., Delgado, 2017). The most common method of conducting performance reviews is to use Geertz’s (1973) method of “thick description,” which situates action in its context and locates the subjectivity of the observer. This includes providing details of the observer’s impressions of entering the performance space and the social and political context in which a production is presented. An important part of a theater reviewer’s report of a production consists of analyzing the reactions of fellow audi-ence members, for going to the theater means simultaneously watching a play through one’s own eyes and as part of a group (Biet &amp; Triau, 2006, p. 62). However, there are inherent meth-odological difficulties in this owing to the fact that audiences do not react in the same way to a same production night after night (Viala &amp; Bordier, 1997). It is also difficult to identify whether the audience is reacting first and foremost to the text, to the text as a translation, or to the performance of the actors. What is more, such an approach to studying audience reactions is, for obvious reasons, limited to contemporary performance. For older sources, it is possible to comment on the critical reception of a production, by analyzing discourse in various written sources, such as reviews.</w:t>
      </w:r>
    </w:p>
    <w:p>
      <w:pPr>
        <w:spacing w:after="0" w:line="277"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19"/>
          <w:szCs w:val="19"/>
          <w:color w:val="auto"/>
        </w:rPr>
        <w:t>Concerning contemporary productions, there are, however, other methods for analyzing the reception of a translated play even though, as Canton (2011, p. 123) has noted, audience research has been until recently (e.g., Sedgman, 2016, 2018) a neglected area of theater studies. Critical reception can be gauged by analyzing reviews in newspapers, academics, blogs, and social media, for instance. In addition, social sciences methodologies for collecting feedback such as audience sur-veys and focus groups may be used. The integration of such methodologies is more common in translation than in theater studies, as surveys have been used to measure reaction to dif-ferent translation strategies (Zhong &amp; Lin, 2007). Focus groups are another potential way of measuring reaction to particular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0"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0"/>
          <w:szCs w:val="20"/>
          <w:color w:val="auto"/>
        </w:rPr>
        <w:t>texts (Mack et al., 2013), though there are issues in assembling representative groups.</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4"/>
          <w:szCs w:val="24"/>
          <w:color w:val="auto"/>
        </w:rPr>
        <w:t>Process-Oriented Research</w:t>
      </w:r>
    </w:p>
    <w:p>
      <w:pPr>
        <w:spacing w:after="0" w:line="140"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The methodologies considered above analyze translation as an output. They study target texts in relation to source texts (com-parative analysis) or in relation to other translations and non-translations (contextual analysis). They also determine how and why certain decisions have been taken by translators. How-ever, they do not discuss in detail the process of producing a translation, outlining the stages and people involved. This is what process-oriented research aims to do. Regarding transla-tion, and theater translation in particular, process-oriented research can be grouped into two main types. The first describes how (theater) translations circulate from a systemic perspective, theorizing general laws. The second considers individual case studies. While case studies can be used to for-mulate general theories, the general process-oriented research theories consider a range of examples from contexts pertinent to translation and theater.</w:t>
      </w:r>
    </w:p>
    <w:p>
      <w:pPr>
        <w:spacing w:after="0" w:line="246" w:lineRule="exact"/>
        <w:rPr>
          <w:sz w:val="20"/>
          <w:szCs w:val="20"/>
          <w:color w:val="auto"/>
        </w:rPr>
      </w:pPr>
    </w:p>
    <w:p>
      <w:pPr>
        <w:jc w:val="both"/>
        <w:spacing w:after="0" w:line="246" w:lineRule="auto"/>
        <w:rPr>
          <w:sz w:val="20"/>
          <w:szCs w:val="20"/>
          <w:color w:val="auto"/>
        </w:rPr>
      </w:pPr>
      <w:r>
        <w:rPr>
          <w:rFonts w:ascii="Arial" w:cs="Arial" w:eastAsia="Arial" w:hAnsi="Arial"/>
          <w:sz w:val="20"/>
          <w:szCs w:val="20"/>
          <w:color w:val="auto"/>
        </w:rPr>
        <w:t xml:space="preserve">General theory. </w:t>
      </w:r>
      <w:r>
        <w:rPr>
          <w:rFonts w:ascii="Times New Roman" w:cs="Times New Roman" w:eastAsia="Times New Roman" w:hAnsi="Times New Roman"/>
          <w:sz w:val="20"/>
          <w:szCs w:val="20"/>
          <w:color w:val="auto"/>
        </w:rPr>
        <w:t>Within translation studies, there is a subset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descriptive research that examines how texts circulate in trans-lation from a systemic perspective (Even-Zohar, 1990; Heil-bron &amp; Sapiro, 2007, 2016). Such research examines how the process of translating is “embedded within the power relations among national states and their languages” (Heilbron &amp; Sapiro, 2007, p. 95) and explains why certain texts are translated to the detriment of others (Tan, 2017). There is also both descriptive and prescriptive research that focuses on procedures to trans-late specific texts or textual features. Such research identifies strategies used by translators to render complex concepts that might be specific to a culture or attributable to an author’s idiosyncratic use of language (Franco Aixel´a, 1996). General theories have highlighted the fact that translation is a purpose-ful activity (Nord, 1997).</w:t>
      </w:r>
    </w:p>
    <w:p>
      <w:pPr>
        <w:spacing w:after="0" w:line="56"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0"/>
          <w:szCs w:val="20"/>
          <w:color w:val="auto"/>
        </w:rPr>
        <w:t>Regarding theater specifically, as Aaltonen (2000, p. 4) has argued, whether a translation is produced in order to be staged or to be read will influence its development process but also the translation strategy. A translation produced for publication will involve different intermediaries (editors, graphic designers, etc.) than a translation produced for performance (directors, programmers, actors, etc.). There is currently a lack of sys-tematic modeling of the theater translation process. However, there are general theories of intercultural theater, by Pavis (1990) notably, which collect data and examples from a range of cross-cultural contexts, as well as case studies of specific language contexts (e.g., Tian, 2008).</w:t>
      </w:r>
    </w:p>
    <w:p>
      <w:pPr>
        <w:spacing w:after="0" w:line="243"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auto"/>
        </w:rPr>
        <w:t xml:space="preserve">Case-specific analysis. </w:t>
      </w:r>
      <w:r>
        <w:rPr>
          <w:rFonts w:ascii="Times New Roman" w:cs="Times New Roman" w:eastAsia="Times New Roman" w:hAnsi="Times New Roman"/>
          <w:sz w:val="19"/>
          <w:szCs w:val="19"/>
          <w:color w:val="auto"/>
        </w:rPr>
        <w:t>There is a considerable body of research</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within translation studies and theater studies, respectively, that details the processes of production in order to test existing theories and paradigms (Collier, 2011, p. 824). Qualitative descriptions of translation processes can be collected through semistructured interviews characterized by emphasis on</w:t>
      </w:r>
    </w:p>
    <w:p>
      <w:pPr>
        <w:sectPr>
          <w:pgSz w:w="12240" w:h="15840" w:orient="portrait"/>
          <w:cols w:equalWidth="0" w:num="2">
            <w:col w:w="5020" w:space="240"/>
            <w:col w:w="5020"/>
          </w:cols>
          <w:pgMar w:left="980" w:top="766" w:right="980" w:bottom="511"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30"/>
        </w:trPr>
        <w:tc>
          <w:tcPr>
            <w:tcW w:w="5300" w:type="dxa"/>
            <w:vAlign w:val="bottom"/>
          </w:tcPr>
          <w:p>
            <w:pPr>
              <w:spacing w:after="0"/>
              <w:rPr>
                <w:sz w:val="20"/>
                <w:szCs w:val="20"/>
                <w:color w:val="auto"/>
              </w:rPr>
            </w:pPr>
            <w:r>
              <w:rPr>
                <w:rFonts w:ascii="Arial" w:cs="Arial" w:eastAsia="Arial" w:hAnsi="Arial"/>
                <w:sz w:val="20"/>
                <w:szCs w:val="20"/>
                <w:color w:val="auto"/>
              </w:rPr>
              <w:t>Glynn</w:t>
            </w:r>
          </w:p>
        </w:tc>
        <w:tc>
          <w:tcPr>
            <w:tcW w:w="498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33"/>
        </w:trPr>
        <w:tc>
          <w:tcPr>
            <w:tcW w:w="5300" w:type="dxa"/>
            <w:vAlign w:val="bottom"/>
            <w:tcBorders>
              <w:bottom w:val="single" w:sz="8" w:color="auto"/>
            </w:tcBorders>
          </w:tcPr>
          <w:p>
            <w:pPr>
              <w:spacing w:after="0"/>
              <w:rPr>
                <w:sz w:val="2"/>
                <w:szCs w:val="2"/>
                <w:color w:val="auto"/>
              </w:rPr>
            </w:pPr>
          </w:p>
        </w:tc>
        <w:tc>
          <w:tcPr>
            <w:tcW w:w="498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2240" w:h="15840" w:orient="portrait"/>
          <w:cols w:equalWidth="0" w:num="1">
            <w:col w:w="10280"/>
          </w:cols>
          <w:pgMar w:left="980" w:top="732" w:right="980" w:bottom="502" w:gutter="0" w:footer="0" w:header="0"/>
        </w:sectPr>
      </w:pPr>
    </w:p>
    <w:p>
      <w:pPr>
        <w:spacing w:after="0" w:line="20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relatively open questions (Leach, 2017, p. 49). They may be conducted with translators but also with various intermediaries involved in the “art world” (Becker, 1982) of theater. These include producers, artistic programmers, festival organizers, directors, agents, and translators. Semistructured interviews are commonly used in ethnographic research in a number of dif-ferent fields and increasingly in translation studies (e.g., Saka-moto, 2017). They are also increasingly a feature of journals such as the Journal of Adaptation in Film and Performance.</w:t>
      </w:r>
    </w:p>
    <w:p>
      <w:pPr>
        <w:spacing w:after="0" w:line="46" w:lineRule="exact"/>
        <w:rPr>
          <w:sz w:val="20"/>
          <w:szCs w:val="20"/>
          <w:color w:val="auto"/>
        </w:rPr>
      </w:pPr>
    </w:p>
    <w:p>
      <w:pPr>
        <w:jc w:val="both"/>
        <w:ind w:firstLine="239"/>
        <w:spacing w:after="0" w:line="260" w:lineRule="auto"/>
        <w:rPr>
          <w:sz w:val="20"/>
          <w:szCs w:val="20"/>
          <w:color w:val="auto"/>
        </w:rPr>
      </w:pPr>
      <w:r>
        <w:rPr>
          <w:rFonts w:ascii="Times New Roman" w:cs="Times New Roman" w:eastAsia="Times New Roman" w:hAnsi="Times New Roman"/>
          <w:sz w:val="19"/>
          <w:szCs w:val="19"/>
          <w:color w:val="auto"/>
        </w:rPr>
        <w:t>The value of such interviews lies in their provision of insider views on the process of translating plays. Interview questions can be tailored to foreground translation strategies. Interviews with some of the professionals may be conducted in a different language to the one in which the results are written up. There may be complications in translating interviews across lan-guages owing to the fact that metaphors differ from one lan-guage to another (Ho et al., 2019, p. 2). There are also ethical considerations such as whether to anonymize the interviewees. Research with a sociological bent will tend to anonymize inter-viewees (e.g., Kalinowski, 2002) in order to foreground the processes. It may, however, be useful to name individuals, such as famous directors or translators, in order to situate their declarations in context (Ducournau, 2017, p. 26). This is what has tended to happen in theater translation research where famous translators, such as Christopher Hampton, are inter-viewed as informants (Baines &amp; Perteghella, 2010).</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color w:val="auto"/>
        </w:rPr>
        <w:t>General Framework for Conducting Research</w:t>
      </w:r>
    </w:p>
    <w:p>
      <w:pPr>
        <w:spacing w:after="0" w:line="14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As the previous sections have made clear, there are different approaches to conducting research on theater translation depending on the object of study and the scope of the research project. The utilization of these different approaches and meth-ods come with a set of issues and ethical considerations. Some of these have been alluded to above; however, they will be explored here to provide a clear framework for conducting research in theater translation. Issues to be considered relate to time, access, and visibility constraints. While each issue is not necessarily restricted to conducting research on theater translation, there are ramifications that are specific to this area of investigation.</w:t>
      </w:r>
    </w:p>
    <w:p>
      <w:pPr>
        <w:spacing w:after="0" w:line="244" w:lineRule="exact"/>
        <w:rPr>
          <w:sz w:val="20"/>
          <w:szCs w:val="20"/>
          <w:color w:val="auto"/>
        </w:rPr>
      </w:pPr>
    </w:p>
    <w:p>
      <w:pPr>
        <w:jc w:val="both"/>
        <w:spacing w:after="0" w:line="239" w:lineRule="auto"/>
        <w:rPr>
          <w:sz w:val="20"/>
          <w:szCs w:val="20"/>
          <w:color w:val="auto"/>
        </w:rPr>
      </w:pPr>
      <w:r>
        <w:rPr>
          <w:rFonts w:ascii="Arial" w:cs="Arial" w:eastAsia="Arial" w:hAnsi="Arial"/>
          <w:sz w:val="20"/>
          <w:szCs w:val="20"/>
          <w:color w:val="auto"/>
        </w:rPr>
        <w:t xml:space="preserve">Ethical considerations. </w:t>
      </w:r>
      <w:r>
        <w:rPr>
          <w:rFonts w:ascii="Times New Roman" w:cs="Times New Roman" w:eastAsia="Times New Roman" w:hAnsi="Times New Roman"/>
          <w:sz w:val="20"/>
          <w:szCs w:val="20"/>
          <w:color w:val="auto"/>
        </w:rPr>
        <w:t>Ethical issues to be considered in this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section relate to time, access, and visibility constraints. While each issue is not necessarily restricted to conducting research on theater translation, there are ramifications that are specific to this area of investigation.</w:t>
      </w:r>
    </w:p>
    <w:p>
      <w:pPr>
        <w:spacing w:after="0" w:line="248"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auto"/>
        </w:rPr>
        <w:t xml:space="preserve">Visibility in data collection. </w:t>
      </w:r>
      <w:r>
        <w:rPr>
          <w:rFonts w:ascii="Times New Roman" w:cs="Times New Roman" w:eastAsia="Times New Roman" w:hAnsi="Times New Roman"/>
          <w:sz w:val="18"/>
          <w:szCs w:val="18"/>
          <w:color w:val="auto"/>
        </w:rPr>
        <w:t>Visibility in translation studies is gen-erally considered through the lens of Venuti’s (1995) paradigm of the invisibility of the translator. The issue of a theater trans-lator’s visibility is one that a theater translation researcher may want to investigate. However, in order to do so, the researcher’s own visibility in the process of collecting and interpreting data needs to be considered. The issue of the researcher’s visibility is arguably most problematic when it comes to collecting</w:t>
      </w:r>
    </w:p>
    <w:p>
      <w:pPr>
        <w:spacing w:after="0" w:line="20" w:lineRule="exact"/>
        <w:rPr>
          <w:sz w:val="20"/>
          <w:szCs w:val="20"/>
          <w:color w:val="auto"/>
        </w:rPr>
      </w:pPr>
      <w:r>
        <w:rPr>
          <w:sz w:val="20"/>
          <w:szCs w:val="20"/>
          <w:color w:val="auto"/>
        </w:rPr>
        <w:br w:type="column"/>
      </w:r>
    </w:p>
    <w:p>
      <w:pPr>
        <w:spacing w:after="0" w:line="186"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information from audiences. For instance, while conducting audience research on National Theatre Wales, Sedgman (2016, p. 191) explains that she was authorized to conduct her research on the condition that she volunteered as a steward. As a result, audience members perceived her to be part of the institution rather than an independent researcher. As Sedgman notes, this has to be “borne in mind when considering the responses gathered” (p. 191).</w:t>
      </w:r>
    </w:p>
    <w:p>
      <w:pPr>
        <w:spacing w:after="0" w:line="248" w:lineRule="exact"/>
        <w:rPr>
          <w:sz w:val="20"/>
          <w:szCs w:val="20"/>
          <w:color w:val="auto"/>
        </w:rPr>
      </w:pPr>
    </w:p>
    <w:p>
      <w:pPr>
        <w:jc w:val="both"/>
        <w:spacing w:after="0" w:line="260" w:lineRule="auto"/>
        <w:rPr>
          <w:sz w:val="20"/>
          <w:szCs w:val="20"/>
          <w:color w:val="auto"/>
        </w:rPr>
      </w:pPr>
      <w:r>
        <w:rPr>
          <w:rFonts w:ascii="Arial" w:cs="Arial" w:eastAsia="Arial" w:hAnsi="Arial"/>
          <w:sz w:val="19"/>
          <w:szCs w:val="19"/>
          <w:color w:val="auto"/>
        </w:rPr>
        <w:t xml:space="preserve">Access to information. </w:t>
      </w:r>
      <w:r>
        <w:rPr>
          <w:rFonts w:ascii="Times New Roman" w:cs="Times New Roman" w:eastAsia="Times New Roman" w:hAnsi="Times New Roman"/>
          <w:sz w:val="19"/>
          <w:szCs w:val="19"/>
          <w:color w:val="auto"/>
        </w:rPr>
        <w:t>Being asked to give something back in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return for information obtained—beyond simply crediting the institution in publications that come out of the research—blurs the boundaries between the researcher and the institution they are investigating. Blurred boundaries can also be an issue when interviewing professionals with whom a researcher has worked in a different professional relationship. As is noted by Brodie and Cole (2017), theater translation researchers often have practical experience as translators. Interpersonal relationships influence the way in which information is collected, and there is danger in the researcher loses their “distance and objectivity” (Fontana &amp; Frey, 2000, p. 655). It can be that certain informa-tion is easier or harder to elicit depending on these relation-ships. It is not always clear from the acknowledgment sections or from the main body of articles how the degree of proximity between researchers and subjects may have facilitated the obtention of information. This is potentially an even greater problem with the anonymization of sources.</w:t>
      </w:r>
    </w:p>
    <w:p>
      <w:pPr>
        <w:spacing w:after="0" w:line="50"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0"/>
          <w:szCs w:val="20"/>
          <w:color w:val="auto"/>
        </w:rPr>
        <w:t>In pluriannual research projects, it is possible to study pro-cess and outputs, texts, and productions using comparative and contextual analysis. For smaller projects, this is not feasible as it demands considerable resources in terms of time, finances, and skill sets. For instance, in a theater festival or producing theater, external companies develop work outside the venue and only come a little before the performances. This means that they are not necessarily available on site to discuss their work. In addition, companies are more or less willing to discuss the processes of developing work as researchers are viewed with suspicion or not seen as important. Time constraints are equally a factor on accessing programmers. While modern communication technology facilitates access to companies that are far from researchers, they do little to alleviate the problem of a lack of time available.</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color w:val="auto"/>
        </w:rPr>
        <w:t>Mixed Methodologies</w:t>
      </w:r>
    </w:p>
    <w:p>
      <w:pPr>
        <w:spacing w:after="0" w:line="142"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The data to be collected for research projects on theater trans-lation are varied and include factual data about translated plays, qualitative data collected by ethnographic fieldwork, and anal-ysis of various documents, including translated plays, press reviews, and promotional materials.</w:t>
      </w:r>
    </w:p>
    <w:p>
      <w:pPr>
        <w:spacing w:after="0" w:line="247"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 xml:space="preserve">Quantitative data collection and analysis. </w:t>
      </w:r>
      <w:r>
        <w:rPr>
          <w:rFonts w:ascii="Times New Roman" w:cs="Times New Roman" w:eastAsia="Times New Roman" w:hAnsi="Times New Roman"/>
          <w:sz w:val="19"/>
          <w:szCs w:val="19"/>
          <w:color w:val="auto"/>
        </w:rPr>
        <w:t>There are different types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of information relating to theater translation relevant to researchers in this domain. When studying a specific institution or festival, the number of translated plays performed in relation to the number of untranslated plays can help give a sense of the</w:t>
      </w:r>
    </w:p>
    <w:p>
      <w:pPr>
        <w:sectPr>
          <w:pgSz w:w="12240" w:h="15840" w:orient="portrait"/>
          <w:cols w:equalWidth="0" w:num="2">
            <w:col w:w="5020" w:space="240"/>
            <w:col w:w="5020"/>
          </w:cols>
          <w:pgMar w:left="980" w:top="732" w:right="980" w:bottom="502" w:gutter="0" w:footer="0" w:header="0"/>
          <w:type w:val="continuous"/>
        </w:sectPr>
      </w:pPr>
    </w:p>
    <w:bookmarkStart w:id="5" w:name="page6"/>
    <w:bookmarkEnd w:id="5"/>
    <w:p>
      <w:pPr>
        <w:spacing w:after="0"/>
        <w:tabs>
          <w:tab w:leader="none" w:pos="6940" w:val="left"/>
        </w:tabs>
        <w:rPr>
          <w:sz w:val="20"/>
          <w:szCs w:val="20"/>
          <w:color w:val="auto"/>
        </w:rPr>
      </w:pPr>
      <w:r>
        <w:rPr>
          <w:rFonts w:ascii="Arial" w:cs="Arial" w:eastAsia="Arial" w:hAnsi="Arial"/>
          <w:sz w:val="17"/>
          <w:szCs w:val="17"/>
          <w:color w:val="auto"/>
        </w:rPr>
        <w:t>6</w:t>
      </w:r>
      <w:r>
        <w:rPr>
          <w:sz w:val="20"/>
          <w:szCs w:val="20"/>
          <w:color w:val="auto"/>
        </w:rPr>
        <w:tab/>
      </w:r>
      <w:r>
        <w:rPr>
          <w:rFonts w:ascii="Arial" w:cs="Arial" w:eastAsia="Arial" w:hAnsi="Arial"/>
          <w:sz w:val="17"/>
          <w:szCs w:val="17"/>
          <w:color w:val="auto"/>
        </w:rPr>
        <w:t>International Journal of Qualitative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24130</wp:posOffset>
                </wp:positionV>
                <wp:extent cx="6527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pt" to="514pt,1.9pt" o:allowincell="f" strokecolor="#000000" strokeweight="0.5102pt"/>
            </w:pict>
          </mc:Fallback>
        </mc:AlternateContent>
      </w:r>
    </w:p>
    <w:p>
      <w:pPr>
        <w:sectPr>
          <w:pgSz w:w="12240" w:h="15840" w:orient="portrait"/>
          <w:cols w:equalWidth="0" w:num="1">
            <w:col w:w="10280"/>
          </w:cols>
          <w:pgMar w:left="980" w:top="766" w:right="980" w:bottom="523" w:gutter="0" w:footer="0" w:header="0"/>
        </w:sectPr>
      </w:pPr>
    </w:p>
    <w:p>
      <w:pPr>
        <w:spacing w:after="0" w:line="200" w:lineRule="exact"/>
        <w:rPr>
          <w:sz w:val="20"/>
          <w:szCs w:val="20"/>
          <w:color w:val="auto"/>
        </w:rPr>
      </w:pPr>
    </w:p>
    <w:p>
      <w:pPr>
        <w:spacing w:after="0" w:line="250"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importance afforded to translation. Other information of rele-vance that may be collected includes, but is not limited to, the titles of plays in the source and target languages, language and country of provenance, dates of composition and translation, names of writer(s) and translator(s), gender of writer(s) and translator(s), titles of other plays written by the writer, titles of other plays translated by the translator, details of publication in the source and target cultures, if relevant, dates and times of performances in source language, if relevant, and dates and times of performances in target languages. Sapiro (2010) pre-viously used such classification methods to construct a data-base of translated works, published in French and English in the mid-2000s, as did Zurbach (2009), for a case study of transla-tors working with a professional theater group in Portugal in the 1980s. Similar data relating to specific case studies in the domain of theater translation may be collected through internet searches, coded, and classified. Analysis will highlight whether there are countries, writers, or playwrights that are more rep-resented than others in the context being studied.</w:t>
      </w:r>
    </w:p>
    <w:p>
      <w:pPr>
        <w:spacing w:after="0" w:line="217" w:lineRule="exact"/>
        <w:rPr>
          <w:sz w:val="20"/>
          <w:szCs w:val="20"/>
          <w:color w:val="auto"/>
        </w:rPr>
      </w:pPr>
    </w:p>
    <w:p>
      <w:pPr>
        <w:jc w:val="both"/>
        <w:spacing w:after="0" w:line="260" w:lineRule="auto"/>
        <w:rPr>
          <w:sz w:val="20"/>
          <w:szCs w:val="20"/>
          <w:color w:val="auto"/>
        </w:rPr>
      </w:pPr>
      <w:r>
        <w:rPr>
          <w:rFonts w:ascii="Arial" w:cs="Arial" w:eastAsia="Arial" w:hAnsi="Arial"/>
          <w:sz w:val="19"/>
          <w:szCs w:val="19"/>
          <w:color w:val="auto"/>
        </w:rPr>
        <w:t xml:space="preserve">Qualitative data collection and analysis. </w:t>
      </w:r>
      <w:r>
        <w:rPr>
          <w:rFonts w:ascii="Times New Roman" w:cs="Times New Roman" w:eastAsia="Times New Roman" w:hAnsi="Times New Roman"/>
          <w:sz w:val="19"/>
          <w:szCs w:val="19"/>
          <w:color w:val="auto"/>
        </w:rPr>
        <w:t>Qualitative descriptions of</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process can be collected through semistructured interviews conducted with theater professionals on site or by remote means. The range of descriptive methodologies outlined previ-ously is applicable to analyzing a range of plays in translation in different contexts. An approach that combines methodolo-gies pertaining to translation and literary studies with “thick descriptions” of performance with surveys distributed to audi-ence members will generate a wide set of usable data. Placing the translated plays in their contexts also involves looking at how plays circulate in translation in other contexts by consult-ing relevant secondary literature. It is of course possible to consider other research directions. However, the above pro-vides a general framework to how to make use of a range of methodological approaches in theater translation.</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24"/>
          <w:szCs w:val="24"/>
          <w:color w:val="auto"/>
        </w:rPr>
        <w:t>Conclusion</w:t>
      </w:r>
    </w:p>
    <w:p>
      <w:pPr>
        <w:spacing w:after="0" w:line="142"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Research in theater translation sits at the crossroads of theater and translation studies. To undertake research into theater translation requires utilizing conceptual tools and methodolo-gies from both these disciplines as well as conceiving of var-ious subfield specific methods. This article has outlined methodologies in translation and theater studies that are directly applicable to the study of theater translation. It has revealed that depending on the focus of the research project to be undertaken, mapping the process or comparatively study-ing a translation with its source text will be more or less rele-vant. It has also shown that it is possible to combine research methodologies, including qualitative research and quantitative methods. Further research is required to determine yet more methods that may be applicable to theater translation research, particularly regarding sur-titling practices. However, this arti-cle has raised new questions about which tools researchers working on translation in the theater need in their methodolo-gical tool kit.</w:t>
      </w:r>
    </w:p>
    <w:p>
      <w:pPr>
        <w:spacing w:after="0" w:line="20" w:lineRule="exact"/>
        <w:rPr>
          <w:sz w:val="20"/>
          <w:szCs w:val="20"/>
          <w:color w:val="auto"/>
        </w:rPr>
      </w:pPr>
      <w:r>
        <w:rPr>
          <w:sz w:val="20"/>
          <w:szCs w:val="20"/>
          <w:color w:val="auto"/>
        </w:rPr>
        <w:br w:type="column"/>
      </w:r>
    </w:p>
    <w:p>
      <w:pPr>
        <w:spacing w:after="0" w:line="387" w:lineRule="exact"/>
        <w:rPr>
          <w:sz w:val="20"/>
          <w:szCs w:val="20"/>
          <w:color w:val="auto"/>
        </w:rPr>
      </w:pPr>
    </w:p>
    <w:p>
      <w:pPr>
        <w:spacing w:after="0"/>
        <w:rPr>
          <w:sz w:val="20"/>
          <w:szCs w:val="20"/>
          <w:color w:val="auto"/>
        </w:rPr>
      </w:pPr>
      <w:r>
        <w:rPr>
          <w:rFonts w:ascii="Arial" w:cs="Arial" w:eastAsia="Arial" w:hAnsi="Arial"/>
          <w:sz w:val="20"/>
          <w:szCs w:val="20"/>
          <w:color w:val="auto"/>
        </w:rPr>
        <w:t>Declaration of Conflicting Interests</w:t>
      </w:r>
    </w:p>
    <w:p>
      <w:pPr>
        <w:spacing w:after="0" w:line="105" w:lineRule="exact"/>
        <w:rPr>
          <w:sz w:val="20"/>
          <w:szCs w:val="20"/>
          <w:color w:val="auto"/>
        </w:rPr>
      </w:pPr>
    </w:p>
    <w:p>
      <w:pPr>
        <w:jc w:val="both"/>
        <w:spacing w:after="0" w:line="222" w:lineRule="auto"/>
        <w:rPr>
          <w:sz w:val="20"/>
          <w:szCs w:val="20"/>
          <w:color w:val="auto"/>
        </w:rPr>
      </w:pPr>
      <w:r>
        <w:rPr>
          <w:rFonts w:ascii="Times New Roman" w:cs="Times New Roman" w:eastAsia="Times New Roman" w:hAnsi="Times New Roman"/>
          <w:sz w:val="18"/>
          <w:szCs w:val="18"/>
          <w:color w:val="auto"/>
        </w:rPr>
        <w:t>The author(s) declared no potential conflicts of interest with respect to the research, authorship, and/or publication of this article.</w:t>
      </w:r>
    </w:p>
    <w:p>
      <w:pPr>
        <w:spacing w:after="0" w:line="218" w:lineRule="exact"/>
        <w:rPr>
          <w:sz w:val="20"/>
          <w:szCs w:val="20"/>
          <w:color w:val="auto"/>
        </w:rPr>
      </w:pPr>
    </w:p>
    <w:p>
      <w:pPr>
        <w:spacing w:after="0"/>
        <w:rPr>
          <w:sz w:val="20"/>
          <w:szCs w:val="20"/>
          <w:color w:val="auto"/>
        </w:rPr>
      </w:pPr>
      <w:r>
        <w:rPr>
          <w:rFonts w:ascii="Arial" w:cs="Arial" w:eastAsia="Arial" w:hAnsi="Arial"/>
          <w:sz w:val="20"/>
          <w:szCs w:val="20"/>
          <w:color w:val="auto"/>
        </w:rPr>
        <w:t>Funding</w:t>
      </w:r>
    </w:p>
    <w:p>
      <w:pPr>
        <w:spacing w:after="0" w:line="10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color w:val="auto"/>
        </w:rPr>
        <w:t>The author(s) disclosed receipt of the following financial support for the research and/or authorship of this article: This work was supported by City University of Hong Kong (7200619).</w:t>
      </w:r>
    </w:p>
    <w:p>
      <w:pPr>
        <w:spacing w:after="0" w:line="217" w:lineRule="exact"/>
        <w:rPr>
          <w:sz w:val="20"/>
          <w:szCs w:val="20"/>
          <w:color w:val="auto"/>
        </w:rPr>
      </w:pPr>
    </w:p>
    <w:p>
      <w:pPr>
        <w:spacing w:after="0"/>
        <w:rPr>
          <w:sz w:val="20"/>
          <w:szCs w:val="20"/>
          <w:color w:val="auto"/>
        </w:rPr>
      </w:pPr>
      <w:r>
        <w:rPr>
          <w:rFonts w:ascii="Arial" w:cs="Arial" w:eastAsia="Arial" w:hAnsi="Arial"/>
          <w:sz w:val="20"/>
          <w:szCs w:val="20"/>
          <w:color w:val="auto"/>
        </w:rPr>
        <w:t>ORCID iD</w:t>
      </w:r>
    </w:p>
    <w:p>
      <w:pPr>
        <w:spacing w:after="0" w:line="26" w:lineRule="exact"/>
        <w:rPr>
          <w:sz w:val="20"/>
          <w:szCs w:val="20"/>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Dominic Glynn </w:t>
      </w:r>
      <w:r>
        <w:rPr>
          <w:sz w:val="1"/>
          <w:szCs w:val="1"/>
          <w:color w:val="auto"/>
        </w:rPr>
        <w:drawing>
          <wp:inline distT="0" distB="0" distL="0" distR="0">
            <wp:extent cx="130810" cy="130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130810" cy="130810"/>
                    </a:xfrm>
                    <a:prstGeom prst="rect">
                      <a:avLst/>
                    </a:prstGeom>
                    <a:noFill/>
                    <a:ln>
                      <a:noFill/>
                    </a:ln>
                  </pic:spPr>
                </pic:pic>
              </a:graphicData>
            </a:graphic>
          </wp:inline>
        </w:drawing>
      </w:r>
      <w:hyperlink r:id="rId20">
        <w:r>
          <w:rPr>
            <w:rFonts w:ascii="Times New Roman" w:cs="Times New Roman" w:eastAsia="Times New Roman" w:hAnsi="Times New Roman"/>
            <w:sz w:val="18"/>
            <w:szCs w:val="18"/>
            <w:color w:val="auto"/>
          </w:rPr>
          <w:t xml:space="preserve"> https://orcid.org/0000-0002-3328-632X</w:t>
        </w:r>
      </w:hyperlink>
    </w:p>
    <w:p>
      <w:pPr>
        <w:spacing w:after="0" w:line="216" w:lineRule="exact"/>
        <w:rPr>
          <w:sz w:val="20"/>
          <w:szCs w:val="20"/>
          <w:color w:val="auto"/>
        </w:rPr>
      </w:pPr>
    </w:p>
    <w:p>
      <w:pPr>
        <w:spacing w:after="0"/>
        <w:rPr>
          <w:sz w:val="20"/>
          <w:szCs w:val="20"/>
          <w:color w:val="auto"/>
        </w:rPr>
      </w:pPr>
      <w:r>
        <w:rPr>
          <w:rFonts w:ascii="Arial" w:cs="Arial" w:eastAsia="Arial" w:hAnsi="Arial"/>
          <w:sz w:val="20"/>
          <w:szCs w:val="20"/>
          <w:color w:val="auto"/>
        </w:rPr>
        <w:t>References</w:t>
      </w:r>
    </w:p>
    <w:p>
      <w:pPr>
        <w:spacing w:after="0" w:line="126"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Aaltonen, S. (2000). Time-sharing on stage: Drama translation in theatre and society. Multilingual Matters.</w:t>
      </w:r>
    </w:p>
    <w:p>
      <w:pPr>
        <w:spacing w:after="0" w:line="75"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Baines, R., Marinetti, C., &amp; Perteghella, M. (2010). Staging and per-forming translation: Text and theatre practice. Palgrave Macmillan.</w:t>
      </w:r>
    </w:p>
    <w:p>
      <w:pPr>
        <w:spacing w:after="0" w:line="62"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Baines, R., &amp; Perteghella, M. (2010). Interview with Christopher Hampton. In R. Baines, C. Marinetti, &amp; M. Perteghella (Eds.), Staging and performing translation: Text and theatre practice (pp. 173–186). Palgrave Macmillan.</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Bassnett, S. (1991). Translating for the theater—Textual complexities.</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Essays in Poetics, 15, 71–83.</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Bassnett, S., &amp; Lefevere, A. (1990). Translation, history, and culture.</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Pinter.</w:t>
      </w:r>
    </w:p>
    <w:p>
      <w:pPr>
        <w:spacing w:after="0" w:line="73"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Battist on,´ M. (2019). How I did not translate Beckett. Translation Studies, 12, 109–123.</w:t>
      </w:r>
    </w:p>
    <w:p>
      <w:pPr>
        <w:spacing w:after="0" w:line="7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8"/>
          <w:szCs w:val="18"/>
          <w:color w:val="auto"/>
        </w:rPr>
        <w:t>Becker, H. S. (1982). Art worlds. University of California Press. Biet, C., &amp; Triau, C. (2006). Qu’est-ce que le thea´ˆtre? [What is the</w:t>
      </w:r>
    </w:p>
    <w:p>
      <w:pPr>
        <w:spacing w:after="0" w:line="3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theater?]. Gallimard.</w:t>
      </w:r>
    </w:p>
    <w:p>
      <w:pPr>
        <w:spacing w:after="0" w:line="74"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Bigliazzi, S., Kofler, P., &amp; Ambrosi, P. (2013). Theatre translation in performance. Routledge.</w:t>
      </w:r>
    </w:p>
    <w:p>
      <w:pPr>
        <w:spacing w:after="0" w:line="75" w:lineRule="exact"/>
        <w:rPr>
          <w:sz w:val="20"/>
          <w:szCs w:val="20"/>
          <w:color w:val="auto"/>
        </w:rPr>
      </w:pPr>
    </w:p>
    <w:p>
      <w:pPr>
        <w:jc w:val="both"/>
        <w:ind w:left="240" w:hanging="238"/>
        <w:spacing w:after="0" w:line="252" w:lineRule="auto"/>
        <w:rPr>
          <w:sz w:val="20"/>
          <w:szCs w:val="20"/>
          <w:color w:val="auto"/>
        </w:rPr>
      </w:pPr>
      <w:r>
        <w:rPr>
          <w:rFonts w:ascii="Times New Roman" w:cs="Times New Roman" w:eastAsia="Times New Roman" w:hAnsi="Times New Roman"/>
          <w:sz w:val="18"/>
          <w:szCs w:val="18"/>
          <w:color w:val="auto"/>
        </w:rPr>
        <w:t>Boenisch, P., &amp; Finburgh, C. (Eds.). (2018). The Great European Stage Directors, Vol. 6: Littlewood, Strehler, Planchon. Blooms-bury Methuen.</w:t>
      </w:r>
    </w:p>
    <w:p>
      <w:pPr>
        <w:spacing w:after="0" w:line="6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Bollen, J. (2020). Touring variety in the Asia Pacific Region, 1946– 1975. Palgrave Macmillan.</w:t>
      </w:r>
    </w:p>
    <w:p>
      <w:pPr>
        <w:spacing w:after="0" w:line="7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8"/>
          <w:szCs w:val="18"/>
          <w:color w:val="auto"/>
        </w:rPr>
        <w:t>Brodie, G. (2017). The translator on stage. Bloomsbury Academic. Brodie, G., &amp; Cole, E. (Eds.). (2017). Adapting translation for the</w:t>
      </w:r>
    </w:p>
    <w:p>
      <w:pPr>
        <w:spacing w:after="0" w:line="3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stage. Routledge.</w:t>
      </w:r>
    </w:p>
    <w:p>
      <w:pPr>
        <w:spacing w:after="0" w:line="74"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Canton, U. (2011). Biographical theatre: Re-presenting real people? Palgrave Macmillan.</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Casanova, P. (1999). La Republique´ mondiale des lettres [The world</w:t>
      </w:r>
    </w:p>
    <w:p>
      <w:pPr>
        <w:ind w:left="1720"/>
        <w:spacing w:after="0" w:line="197" w:lineRule="auto"/>
        <w:rPr>
          <w:sz w:val="20"/>
          <w:szCs w:val="20"/>
          <w:color w:val="auto"/>
        </w:rPr>
      </w:pPr>
      <w:r>
        <w:rPr>
          <w:rFonts w:ascii="Times New Roman" w:cs="Times New Roman" w:eastAsia="Times New Roman" w:hAnsi="Times New Roman"/>
          <w:sz w:val="8"/>
          <w:szCs w:val="8"/>
          <w:color w:val="auto"/>
        </w:rPr>
        <w:t>´</w:t>
      </w:r>
    </w:p>
    <w:p>
      <w:pPr>
        <w:ind w:left="240"/>
        <w:spacing w:after="0" w:line="189" w:lineRule="auto"/>
        <w:rPr>
          <w:sz w:val="20"/>
          <w:szCs w:val="20"/>
          <w:color w:val="auto"/>
        </w:rPr>
      </w:pPr>
      <w:r>
        <w:rPr>
          <w:rFonts w:ascii="Times New Roman" w:cs="Times New Roman" w:eastAsia="Times New Roman" w:hAnsi="Times New Roman"/>
          <w:sz w:val="18"/>
          <w:szCs w:val="18"/>
          <w:color w:val="auto"/>
        </w:rPr>
        <w:t>republic of letters]. Editions du Seuil.</w:t>
      </w:r>
    </w:p>
    <w:p>
      <w:pPr>
        <w:spacing w:after="0" w:line="74"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Catford, J. (1965). A linguistic theory of translation: An essay in applied linguistics. Oxford University Press.</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Chan, S. K. (2015). Identity and theatre translation in Hong Kong.</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Springer.</w:t>
      </w:r>
    </w:p>
    <w:p>
      <w:pPr>
        <w:spacing w:after="0" w:line="74"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Chang, N. F. (2015). Does “translation” reflect a narrower concept than “Fanyi”? On the impact of Western theories on China and the concern about Eurocentrism. Translation and Interpreting Studies, 10(2), 223–242.</w:t>
      </w:r>
    </w:p>
    <w:p>
      <w:pPr>
        <w:spacing w:after="0" w:line="59"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Chang, N. F. (2018). Voices from the periphery: Further reflections on relativism in translation studies. Perspectives: Topics and Con-cepts in Literary Translation, 26(4), 463–477.</w:t>
      </w:r>
    </w:p>
    <w:p>
      <w:pPr>
        <w:sectPr>
          <w:pgSz w:w="12240" w:h="15840" w:orient="portrait"/>
          <w:cols w:equalWidth="0" w:num="2">
            <w:col w:w="5020" w:space="240"/>
            <w:col w:w="5020"/>
          </w:cols>
          <w:pgMar w:left="980" w:top="766" w:right="980" w:bottom="523"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30"/>
        </w:trPr>
        <w:tc>
          <w:tcPr>
            <w:tcW w:w="5300" w:type="dxa"/>
            <w:vAlign w:val="bottom"/>
          </w:tcPr>
          <w:p>
            <w:pPr>
              <w:spacing w:after="0"/>
              <w:rPr>
                <w:sz w:val="20"/>
                <w:szCs w:val="20"/>
                <w:color w:val="auto"/>
              </w:rPr>
            </w:pPr>
            <w:r>
              <w:rPr>
                <w:rFonts w:ascii="Arial" w:cs="Arial" w:eastAsia="Arial" w:hAnsi="Arial"/>
                <w:sz w:val="20"/>
                <w:szCs w:val="20"/>
                <w:color w:val="auto"/>
              </w:rPr>
              <w:t>Glynn</w:t>
            </w:r>
          </w:p>
        </w:tc>
        <w:tc>
          <w:tcPr>
            <w:tcW w:w="498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33"/>
        </w:trPr>
        <w:tc>
          <w:tcPr>
            <w:tcW w:w="5300" w:type="dxa"/>
            <w:vAlign w:val="bottom"/>
            <w:tcBorders>
              <w:bottom w:val="single" w:sz="8" w:color="auto"/>
            </w:tcBorders>
          </w:tcPr>
          <w:p>
            <w:pPr>
              <w:spacing w:after="0"/>
              <w:rPr>
                <w:sz w:val="2"/>
                <w:szCs w:val="2"/>
                <w:color w:val="auto"/>
              </w:rPr>
            </w:pPr>
          </w:p>
        </w:tc>
        <w:tc>
          <w:tcPr>
            <w:tcW w:w="498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2240" w:h="15840" w:orient="portrait"/>
          <w:cols w:equalWidth="0" w:num="1">
            <w:col w:w="10280"/>
          </w:cols>
          <w:pgMar w:left="980" w:top="732" w:right="980" w:bottom="522" w:gutter="0" w:footer="0" w:header="0"/>
        </w:sectPr>
      </w:pPr>
    </w:p>
    <w:p>
      <w:pPr>
        <w:spacing w:after="0" w:line="207"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Chesterman, A. (1997). Memes of translation: The spread of ideas in translation theory. John Benjamins.</w:t>
      </w:r>
    </w:p>
    <w:p>
      <w:pPr>
        <w:spacing w:after="0" w:line="75" w:lineRule="exact"/>
        <w:rPr>
          <w:sz w:val="20"/>
          <w:szCs w:val="20"/>
          <w:color w:val="auto"/>
        </w:rPr>
      </w:pPr>
    </w:p>
    <w:p>
      <w:pPr>
        <w:jc w:val="both"/>
        <w:ind w:left="240" w:hanging="238"/>
        <w:spacing w:after="0" w:line="275"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Chesterman, A. (2017). The name and nature of translator studies. HERMES—Journal of Language and Communication in Business, 22(42), 13–22. </w:t>
      </w:r>
      <w:hyperlink r:id="rId21">
        <w:r>
          <w:rPr>
            <w:rFonts w:ascii="Times New Roman" w:cs="Times New Roman" w:eastAsia="Times New Roman" w:hAnsi="Times New Roman"/>
            <w:sz w:val="17"/>
            <w:szCs w:val="17"/>
            <w:color w:val="auto"/>
          </w:rPr>
          <w:t>https://doi.org/10.7146/hjlcb.v22i42.96844</w:t>
        </w:r>
      </w:hyperlink>
    </w:p>
    <w:p>
      <w:pPr>
        <w:spacing w:after="0" w:line="46"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Colina, S. (2008). Translation quality evaluation: Empirical evidence for a functionalist approach. The Translator, 14(1), 97–134.</w:t>
      </w:r>
    </w:p>
    <w:p>
      <w:pPr>
        <w:spacing w:after="0" w:line="7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Collier, D. (2011). Understanding process tracing. PS: Political Sci-ence &amp; Politics, 44(4), 823–830.</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Crossley, M. (2019). Intermedial theatre. Principles and practices.</w:t>
      </w:r>
    </w:p>
    <w:p>
      <w:pPr>
        <w:spacing w:after="0" w:line="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Red Globe Press.</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Cull, L., &amp; Lagaay, A. (2014). Encounters in performance philosophy.</w:t>
      </w:r>
    </w:p>
    <w:p>
      <w:pPr>
        <w:spacing w:after="0" w:line="3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Palgrave Macmillan.</w:t>
      </w:r>
    </w:p>
    <w:p>
      <w:pPr>
        <w:spacing w:after="0" w:line="73" w:lineRule="exact"/>
        <w:rPr>
          <w:sz w:val="20"/>
          <w:szCs w:val="20"/>
          <w:color w:val="auto"/>
        </w:rPr>
      </w:pPr>
    </w:p>
    <w:p>
      <w:pPr>
        <w:ind w:left="240" w:hanging="238"/>
        <w:spacing w:after="0" w:line="26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Delgado, M. (2017). Almagro International Theatre Festival: Bending the local, the national and the international. European Stages, 10. </w:t>
      </w:r>
      <w:hyperlink r:id="rId22">
        <w:r>
          <w:rPr>
            <w:rFonts w:ascii="Times New Roman" w:cs="Times New Roman" w:eastAsia="Times New Roman" w:hAnsi="Times New Roman"/>
            <w:sz w:val="18"/>
            <w:szCs w:val="18"/>
            <w:color w:val="auto"/>
          </w:rPr>
          <w:t>https://europeanstages.org/2017/10/28/almagro-international-the</w:t>
        </w:r>
      </w:hyperlink>
      <w:r>
        <w:rPr>
          <w:rFonts w:ascii="Times New Roman" w:cs="Times New Roman" w:eastAsia="Times New Roman" w:hAnsi="Times New Roman"/>
          <w:sz w:val="18"/>
          <w:szCs w:val="18"/>
          <w:color w:val="auto"/>
        </w:rPr>
        <w:t xml:space="preserve"> </w:t>
      </w:r>
      <w:hyperlink r:id="rId22">
        <w:r>
          <w:rPr>
            <w:rFonts w:ascii="Times New Roman" w:cs="Times New Roman" w:eastAsia="Times New Roman" w:hAnsi="Times New Roman"/>
            <w:sz w:val="18"/>
            <w:szCs w:val="18"/>
            <w:color w:val="auto"/>
          </w:rPr>
          <w:t>atre-festival-blending-the-local-the-national-and-the-</w:t>
        </w:r>
      </w:hyperlink>
      <w:hyperlink r:id="rId22">
        <w:r>
          <w:rPr>
            <w:rFonts w:ascii="Times New Roman" w:cs="Times New Roman" w:eastAsia="Times New Roman" w:hAnsi="Times New Roman"/>
            <w:sz w:val="18"/>
            <w:szCs w:val="18"/>
            <w:color w:val="auto"/>
          </w:rPr>
          <w:t>international/</w:t>
        </w:r>
      </w:hyperlink>
    </w:p>
    <w:p>
      <w:pPr>
        <w:spacing w:after="0" w:line="55" w:lineRule="exact"/>
        <w:rPr>
          <w:rFonts w:ascii="Times New Roman" w:cs="Times New Roman" w:eastAsia="Times New Roman" w:hAnsi="Times New Roman"/>
          <w:sz w:val="18"/>
          <w:szCs w:val="18"/>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Delgado, M., Lease, B., &amp; Rebellato, D. (Eds.). (2020). Contemporary European playwrights. Routledge.</w:t>
      </w:r>
    </w:p>
    <w:p>
      <w:pPr>
        <w:spacing w:after="0" w:line="33"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8"/>
          <w:szCs w:val="18"/>
          <w:color w:val="auto"/>
        </w:rPr>
        <w:t>Ducournau, C. (2017). La Fabrique des classiques africains.</w:t>
      </w:r>
    </w:p>
    <w:p>
      <w:pPr>
        <w:ind w:left="280"/>
        <w:spacing w:after="0" w:line="197" w:lineRule="auto"/>
        <w:rPr>
          <w:sz w:val="20"/>
          <w:szCs w:val="20"/>
          <w:color w:val="auto"/>
        </w:rPr>
      </w:pPr>
      <w:r>
        <w:rPr>
          <w:rFonts w:ascii="Times New Roman" w:cs="Times New Roman" w:eastAsia="Times New Roman" w:hAnsi="Times New Roman"/>
          <w:sz w:val="8"/>
          <w:szCs w:val="8"/>
          <w:color w:val="auto"/>
        </w:rPr>
        <w:t>´</w:t>
      </w:r>
    </w:p>
    <w:p>
      <w:pPr>
        <w:ind w:left="240"/>
        <w:spacing w:after="0" w:line="234" w:lineRule="auto"/>
        <w:rPr>
          <w:sz w:val="20"/>
          <w:szCs w:val="20"/>
          <w:color w:val="auto"/>
        </w:rPr>
      </w:pPr>
      <w:r>
        <w:rPr>
          <w:rFonts w:ascii="Times New Roman" w:cs="Times New Roman" w:eastAsia="Times New Roman" w:hAnsi="Times New Roman"/>
          <w:sz w:val="18"/>
          <w:szCs w:val="18"/>
          <w:color w:val="auto"/>
        </w:rPr>
        <w:t>Ecrivains d’Afrique subsaharienne francophone [The making of African classics. Francophone sub-Saharan writers]. CNRS</w:t>
      </w:r>
    </w:p>
    <w:p>
      <w:pPr>
        <w:ind w:left="260"/>
        <w:spacing w:after="0" w:line="198" w:lineRule="auto"/>
        <w:rPr>
          <w:sz w:val="20"/>
          <w:szCs w:val="20"/>
          <w:color w:val="auto"/>
        </w:rPr>
      </w:pPr>
      <w:r>
        <w:rPr>
          <w:rFonts w:ascii="Times New Roman" w:cs="Times New Roman" w:eastAsia="Times New Roman" w:hAnsi="Times New Roman"/>
          <w:sz w:val="8"/>
          <w:szCs w:val="8"/>
          <w:color w:val="auto"/>
        </w:rPr>
        <w:t>´</w:t>
      </w:r>
    </w:p>
    <w:p>
      <w:pPr>
        <w:ind w:left="240"/>
        <w:spacing w:after="0" w:line="189" w:lineRule="auto"/>
        <w:rPr>
          <w:sz w:val="20"/>
          <w:szCs w:val="20"/>
          <w:color w:val="auto"/>
        </w:rPr>
      </w:pPr>
      <w:r>
        <w:rPr>
          <w:rFonts w:ascii="Times New Roman" w:cs="Times New Roman" w:eastAsia="Times New Roman" w:hAnsi="Times New Roman"/>
          <w:sz w:val="18"/>
          <w:szCs w:val="18"/>
          <w:color w:val="auto"/>
        </w:rPr>
        <w:t>Editions.</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Even-Zohar, I. (1990). Polysystem studies. Poetics Today, 11(1), 1–268.</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Fischer-Lichte, E. (2014). Dionysus resurrected: Performances of Euripides’ The Bacchae in a globalizing world. Routledge.</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Fl´orez, S., &amp; Alcina, A. (2011). Free/open-source software for the translation classroom: A catalogue of available tools. The Inter-preter and Translator Trainer, 5(2), 325–357.</w:t>
      </w:r>
    </w:p>
    <w:p>
      <w:pPr>
        <w:spacing w:after="0" w:line="63" w:lineRule="exact"/>
        <w:rPr>
          <w:rFonts w:ascii="Times New Roman" w:cs="Times New Roman" w:eastAsia="Times New Roman" w:hAnsi="Times New Roman"/>
          <w:sz w:val="18"/>
          <w:szCs w:val="18"/>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Fontana, A., &amp; Frey, J. H. (2000). The interview: From structured questions to negotiated text. In N. K. Denzin &amp; Y. S. Lincoln (Eds.), Handbook of qualitative research (2nd ed., pp. 645–672). Sage.</w:t>
      </w:r>
    </w:p>
    <w:p>
      <w:pPr>
        <w:spacing w:after="0" w:line="58" w:lineRule="exact"/>
        <w:rPr>
          <w:rFonts w:ascii="Times New Roman" w:cs="Times New Roman" w:eastAsia="Times New Roman" w:hAnsi="Times New Roman"/>
          <w:sz w:val="18"/>
          <w:szCs w:val="18"/>
          <w:color w:val="auto"/>
        </w:rPr>
      </w:pPr>
    </w:p>
    <w:p>
      <w:pPr>
        <w:jc w:val="center"/>
        <w:spacing w:after="0"/>
        <w:rPr>
          <w:sz w:val="20"/>
          <w:szCs w:val="20"/>
          <w:color w:val="auto"/>
        </w:rPr>
      </w:pPr>
      <w:r>
        <w:rPr>
          <w:rFonts w:ascii="Times New Roman" w:cs="Times New Roman" w:eastAsia="Times New Roman" w:hAnsi="Times New Roman"/>
          <w:sz w:val="17"/>
          <w:szCs w:val="17"/>
          <w:color w:val="auto"/>
        </w:rPr>
        <w:t>Franco Aixel´a, J. (1996). Culture-specific items in translation. In R. `</w:t>
      </w:r>
    </w:p>
    <w:p>
      <w:pPr>
        <w:spacing w:after="0" w:line="46" w:lineRule="exact"/>
        <w:rPr>
          <w:rFonts w:ascii="Times New Roman" w:cs="Times New Roman" w:eastAsia="Times New Roman" w:hAnsi="Times New Roman"/>
          <w:sz w:val="18"/>
          <w:szCs w:val="18"/>
          <w:color w:val="auto"/>
        </w:rPr>
      </w:pPr>
    </w:p>
    <w:p>
      <w:pPr>
        <w:ind w:left="240"/>
        <w:spacing w:after="0" w:line="233" w:lineRule="auto"/>
        <w:rPr>
          <w:sz w:val="20"/>
          <w:szCs w:val="20"/>
          <w:color w:val="auto"/>
        </w:rPr>
      </w:pPr>
      <w:r>
        <w:rPr>
          <w:rFonts w:ascii="Times New Roman" w:cs="Times New Roman" w:eastAsia="Times New Roman" w:hAnsi="Times New Roman"/>
          <w:sz w:val="18"/>
          <w:szCs w:val="18"/>
          <w:color w:val="auto"/>
        </w:rPr>
        <w:t>Alvarez Rodriguez &amp; M. C. Africa Vidal (Eds.), Translation, power, subversion (pp. 52–78). Multilingual Matters.</w:t>
      </w:r>
    </w:p>
    <w:p>
      <w:pPr>
        <w:spacing w:after="0" w:line="33"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8"/>
          <w:szCs w:val="18"/>
          <w:color w:val="auto"/>
        </w:rPr>
        <w:t>Geertz, C. (1973). The interpretation of cultures. Selected essays.</w:t>
      </w:r>
    </w:p>
    <w:p>
      <w:pPr>
        <w:spacing w:after="0" w:line="32" w:lineRule="exact"/>
        <w:rPr>
          <w:rFonts w:ascii="Times New Roman" w:cs="Times New Roman" w:eastAsia="Times New Roman" w:hAnsi="Times New Roman"/>
          <w:sz w:val="18"/>
          <w:szCs w:val="18"/>
          <w:color w:val="auto"/>
        </w:rPr>
      </w:pPr>
    </w:p>
    <w:p>
      <w:pPr>
        <w:ind w:left="240"/>
        <w:spacing w:after="0"/>
        <w:rPr>
          <w:sz w:val="20"/>
          <w:szCs w:val="20"/>
          <w:color w:val="auto"/>
        </w:rPr>
      </w:pPr>
      <w:r>
        <w:rPr>
          <w:rFonts w:ascii="Times New Roman" w:cs="Times New Roman" w:eastAsia="Times New Roman" w:hAnsi="Times New Roman"/>
          <w:sz w:val="18"/>
          <w:szCs w:val="18"/>
          <w:color w:val="auto"/>
        </w:rPr>
        <w:t>Basic Books.</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Genette, G. (1997). Paratexts: Thresholds of interpretation. Cam-bridge University Press.</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35" w:lineRule="auto"/>
        <w:rPr>
          <w:sz w:val="20"/>
          <w:szCs w:val="20"/>
          <w:color w:val="auto"/>
        </w:rPr>
      </w:pPr>
      <w:r>
        <w:rPr>
          <w:rFonts w:ascii="Times New Roman" w:cs="Times New Roman" w:eastAsia="Times New Roman" w:hAnsi="Times New Roman"/>
          <w:sz w:val="18"/>
          <w:szCs w:val="18"/>
          <w:color w:val="auto"/>
        </w:rPr>
        <w:t>Gilbert, H., &amp; Lo, J. (2009). Performance and cosmopolitics: Cross-cultural transactions in Australasia. Palgrave Macmillan.</w:t>
      </w:r>
    </w:p>
    <w:p>
      <w:pPr>
        <w:spacing w:after="0" w:line="73" w:lineRule="exact"/>
        <w:rPr>
          <w:rFonts w:ascii="Times New Roman" w:cs="Times New Roman" w:eastAsia="Times New Roman" w:hAnsi="Times New Roman"/>
          <w:sz w:val="18"/>
          <w:szCs w:val="18"/>
          <w:color w:val="auto"/>
        </w:rPr>
      </w:pPr>
    </w:p>
    <w:p>
      <w:pPr>
        <w:jc w:val="both"/>
        <w:ind w:left="240" w:hanging="238"/>
        <w:spacing w:after="0" w:line="235" w:lineRule="auto"/>
        <w:rPr>
          <w:sz w:val="20"/>
          <w:szCs w:val="20"/>
          <w:color w:val="auto"/>
        </w:rPr>
      </w:pPr>
      <w:r>
        <w:rPr>
          <w:rFonts w:ascii="Times New Roman" w:cs="Times New Roman" w:eastAsia="Times New Roman" w:hAnsi="Times New Roman"/>
          <w:sz w:val="18"/>
          <w:szCs w:val="18"/>
          <w:color w:val="auto"/>
        </w:rPr>
        <w:t>Glynn, D. (2015). (Re)telling old stories. Peter Brook’s Mahabharata and Ariane Mnouchkine’s Les Atrides. Peter Lang.</w:t>
      </w:r>
    </w:p>
    <w:p>
      <w:pPr>
        <w:spacing w:after="0" w:line="74" w:lineRule="exact"/>
        <w:rPr>
          <w:rFonts w:ascii="Times New Roman" w:cs="Times New Roman" w:eastAsia="Times New Roman" w:hAnsi="Times New Roman"/>
          <w:sz w:val="18"/>
          <w:szCs w:val="18"/>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Glynn, D. (2017). Ariane Mnouchkine’s Les Atrides: Uncovering a classic. In G. Rodosthenous (Ed.), Contemporary adaptations of Greek tragedy: Auteurship and directorial vision (pp. 213–226). Bloomsbury Methuen.</w:t>
      </w:r>
    </w:p>
    <w:p>
      <w:pPr>
        <w:spacing w:after="0" w:line="57" w:lineRule="exact"/>
        <w:rPr>
          <w:rFonts w:ascii="Times New Roman" w:cs="Times New Roman" w:eastAsia="Times New Roman" w:hAnsi="Times New Roman"/>
          <w:sz w:val="18"/>
          <w:szCs w:val="18"/>
          <w:color w:val="auto"/>
        </w:rPr>
      </w:pPr>
    </w:p>
    <w:p>
      <w:pPr>
        <w:jc w:val="both"/>
        <w:ind w:left="240" w:hanging="238"/>
        <w:spacing w:after="0" w:line="25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Glynn, D., &amp; Hadley, J. (2020). Theorising (un)performability and (un)translatability. Perspectives. Studies in translation theory and practice. </w:t>
      </w:r>
      <w:hyperlink r:id="rId23">
        <w:r>
          <w:rPr>
            <w:rFonts w:ascii="Times New Roman" w:cs="Times New Roman" w:eastAsia="Times New Roman" w:hAnsi="Times New Roman"/>
            <w:sz w:val="18"/>
            <w:szCs w:val="18"/>
            <w:color w:val="auto"/>
          </w:rPr>
          <w:t>https://doi.org/10.1080/0907676X.2020.1713827</w:t>
        </w:r>
      </w:hyperlink>
    </w:p>
    <w:p>
      <w:pPr>
        <w:spacing w:after="0" w:line="61" w:lineRule="exact"/>
        <w:rPr>
          <w:rFonts w:ascii="Times New Roman" w:cs="Times New Roman" w:eastAsia="Times New Roman" w:hAnsi="Times New Roman"/>
          <w:sz w:val="18"/>
          <w:szCs w:val="18"/>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8"/>
          <w:szCs w:val="18"/>
          <w:color w:val="auto"/>
        </w:rPr>
        <w:t>Goody, J. (1997). Representations and contradictions: Ambivalence towards images, fiction, relics and sexuality. Oxford University Press.</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186" w:lineRule="exact"/>
        <w:rPr>
          <w:rFonts w:ascii="Times New Roman" w:cs="Times New Roman" w:eastAsia="Times New Roman" w:hAnsi="Times New Roman"/>
          <w:sz w:val="18"/>
          <w:szCs w:val="18"/>
          <w:color w:val="auto"/>
        </w:rPr>
      </w:pPr>
    </w:p>
    <w:p>
      <w:pPr>
        <w:ind w:left="240" w:hanging="238"/>
        <w:spacing w:after="0" w:line="237" w:lineRule="auto"/>
        <w:rPr>
          <w:sz w:val="20"/>
          <w:szCs w:val="20"/>
          <w:color w:val="auto"/>
        </w:rPr>
      </w:pPr>
      <w:r>
        <w:rPr>
          <w:rFonts w:ascii="Times New Roman" w:cs="Times New Roman" w:eastAsia="Times New Roman" w:hAnsi="Times New Roman"/>
          <w:sz w:val="18"/>
          <w:szCs w:val="18"/>
          <w:color w:val="auto"/>
        </w:rPr>
        <w:t>Hatim, B., &amp; Munday, J. (2004). Translation: An advanced resource book. Routledge.</w:t>
      </w:r>
    </w:p>
    <w:p>
      <w:pPr>
        <w:spacing w:after="0" w:line="75" w:lineRule="exact"/>
        <w:rPr>
          <w:rFonts w:ascii="Times New Roman" w:cs="Times New Roman" w:eastAsia="Times New Roman" w:hAnsi="Times New Roman"/>
          <w:sz w:val="18"/>
          <w:szCs w:val="18"/>
          <w:color w:val="auto"/>
        </w:rPr>
      </w:pPr>
    </w:p>
    <w:p>
      <w:pPr>
        <w:jc w:val="right"/>
        <w:spacing w:after="0" w:line="238" w:lineRule="auto"/>
        <w:rPr>
          <w:sz w:val="20"/>
          <w:szCs w:val="20"/>
          <w:color w:val="auto"/>
        </w:rPr>
      </w:pPr>
      <w:r>
        <w:rPr>
          <w:rFonts w:ascii="Times New Roman" w:cs="Times New Roman" w:eastAsia="Times New Roman" w:hAnsi="Times New Roman"/>
          <w:sz w:val="18"/>
          <w:szCs w:val="18"/>
          <w:color w:val="auto"/>
        </w:rPr>
        <w:t>Heilbron, J., &amp; Sapiro, S. (2007). Outline for a sociology of translation: Current issues and future perspectives. In M. Wolf</w:t>
      </w:r>
    </w:p>
    <w:p>
      <w:pPr>
        <w:spacing w:after="0" w:line="82" w:lineRule="exact"/>
        <w:rPr>
          <w:rFonts w:ascii="Times New Roman" w:cs="Times New Roman" w:eastAsia="Times New Roman" w:hAnsi="Times New Roman"/>
          <w:sz w:val="18"/>
          <w:szCs w:val="18"/>
          <w:color w:val="auto"/>
        </w:rPr>
      </w:pPr>
    </w:p>
    <w:p>
      <w:pPr>
        <w:ind w:left="240" w:hanging="1"/>
        <w:spacing w:after="0" w:line="237" w:lineRule="auto"/>
        <w:tabs>
          <w:tab w:leader="none" w:pos="473"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 Fukari (Eds.), Critical readings in translation studies (pp. 93–107). John Benjamins.</w:t>
      </w:r>
    </w:p>
    <w:p>
      <w:pPr>
        <w:spacing w:after="0" w:line="75" w:lineRule="exact"/>
        <w:rPr>
          <w:rFonts w:ascii="Times New Roman" w:cs="Times New Roman" w:eastAsia="Times New Roman" w:hAnsi="Times New Roman"/>
          <w:sz w:val="18"/>
          <w:szCs w:val="18"/>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8"/>
          <w:szCs w:val="18"/>
          <w:color w:val="auto"/>
        </w:rPr>
        <w:t>Heilbron, J., &amp; Sapiro, S. (2016). Translation: Economic and socio-logical perspectives. In V. Ginsburgh &amp; S. Weber (Eds.), The Palgrave handbook of economics and language (pp. 373–402). Palgrave Macmillan.</w:t>
      </w:r>
    </w:p>
    <w:p>
      <w:pPr>
        <w:spacing w:after="0" w:line="52" w:lineRule="exact"/>
        <w:rPr>
          <w:rFonts w:ascii="Times New Roman" w:cs="Times New Roman" w:eastAsia="Times New Roman" w:hAnsi="Times New Roman"/>
          <w:sz w:val="18"/>
          <w:szCs w:val="18"/>
          <w:color w:val="auto"/>
        </w:rPr>
      </w:pPr>
    </w:p>
    <w:p>
      <w:pPr>
        <w:jc w:val="both"/>
        <w:ind w:left="240" w:hanging="238"/>
        <w:spacing w:after="0" w:line="27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Ho, S.-S., Holloway, A., &amp; Stenhouse, R. (2019). Analytic meth-ods’ considerations for the translation of sensitive qualitative data from mandarin into English. International Journal of Qualitative Methods. </w:t>
      </w:r>
      <w:hyperlink r:id="rId24">
        <w:r>
          <w:rPr>
            <w:rFonts w:ascii="Times New Roman" w:cs="Times New Roman" w:eastAsia="Times New Roman" w:hAnsi="Times New Roman"/>
            <w:sz w:val="18"/>
            <w:szCs w:val="18"/>
            <w:color w:val="auto"/>
          </w:rPr>
          <w:t>https://doi.org/10.1177/160940691</w:t>
        </w:r>
      </w:hyperlink>
      <w:r>
        <w:rPr>
          <w:rFonts w:ascii="Times New Roman" w:cs="Times New Roman" w:eastAsia="Times New Roman" w:hAnsi="Times New Roman"/>
          <w:sz w:val="18"/>
          <w:szCs w:val="18"/>
          <w:color w:val="auto"/>
        </w:rPr>
        <w:t xml:space="preserve"> </w:t>
      </w:r>
      <w:hyperlink r:id="rId24">
        <w:r>
          <w:rPr>
            <w:rFonts w:ascii="Times New Roman" w:cs="Times New Roman" w:eastAsia="Times New Roman" w:hAnsi="Times New Roman"/>
            <w:sz w:val="18"/>
            <w:szCs w:val="18"/>
            <w:color w:val="auto"/>
          </w:rPr>
          <w:t>9868354</w:t>
        </w:r>
      </w:hyperlink>
    </w:p>
    <w:p>
      <w:pPr>
        <w:spacing w:after="0" w:line="274"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Holmes, J. (1988). Translated! Papers on literary translation and translation studies (2nd ed.). Rodopi.</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House, J. (2018). Translation: The basics. Routledge.</w:t>
      </w:r>
    </w:p>
    <w:p>
      <w:pPr>
        <w:spacing w:after="0" w:line="74"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8"/>
          <w:szCs w:val="18"/>
          <w:color w:val="auto"/>
        </w:rPr>
        <w:t>Hughes, J., &amp; Nicholson, H. (2016). Critical perspectives on applied theatre. Cambridge University Press.</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Johnston, D. (1996). Stages of translation. Bath.</w:t>
      </w:r>
    </w:p>
    <w:p>
      <w:pPr>
        <w:spacing w:after="0" w:line="74"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Kalinowski, I. (2002). La vocation au travail de la Traduction [Voca-tion at work in translation]. Actes de la Recherche en Sciences Sociales, 144, 47–54.</w:t>
      </w:r>
    </w:p>
    <w:p>
      <w:pPr>
        <w:spacing w:after="0" w:line="5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Krebs, K. (Ed.). (2014). Translation and adaptation in theatre and film. Routledge.</w:t>
      </w:r>
    </w:p>
    <w:p>
      <w:pPr>
        <w:spacing w:after="0" w:line="75"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Ladouceur, L. (1995). Normes, fonctions et traduction th´eˆatrale [Norms, functions and theater translation]. Meta, 40(1), 31–38.</w:t>
      </w:r>
    </w:p>
    <w:p>
      <w:pPr>
        <w:spacing w:after="0" w:line="75"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8"/>
          <w:szCs w:val="18"/>
          <w:color w:val="auto"/>
        </w:rPr>
        <w:t>Laera, M. (2013). Reaching Athens. Community, democracy and other mythologies in adaptations of Greek tragedy. Peter Lang.</w:t>
      </w:r>
    </w:p>
    <w:p>
      <w:pPr>
        <w:spacing w:after="0" w:line="75"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Laera, M. (Ed.). (2014). Theatre and adaptation: Return, rewrite, repeat. Methuen.</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Laera, M. (2019). Theatre and translation. Red Globe Press.</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Leach, R. (2017). Theatre studies: The basics. Routledge.</w:t>
      </w:r>
    </w:p>
    <w:p>
      <w:pPr>
        <w:spacing w:after="0" w:line="74"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8"/>
          <w:szCs w:val="18"/>
          <w:color w:val="auto"/>
        </w:rPr>
        <w:t>Lefevere, A. (1992). Translation, rewriting, and the manipulation of literary fame. Routledge.</w:t>
      </w:r>
    </w:p>
    <w:p>
      <w:pPr>
        <w:spacing w:after="0" w:line="75"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Leppihalme, R. (1997). Culture bumps: An empirical approach to the translation of allusions. Multilingual Matters.</w:t>
      </w:r>
    </w:p>
    <w:p>
      <w:pPr>
        <w:spacing w:after="0" w:line="75" w:lineRule="exact"/>
        <w:rPr>
          <w:sz w:val="20"/>
          <w:szCs w:val="20"/>
          <w:color w:val="auto"/>
        </w:rPr>
      </w:pPr>
    </w:p>
    <w:p>
      <w:pPr>
        <w:jc w:val="both"/>
        <w:ind w:left="240" w:hanging="238"/>
        <w:spacing w:after="0" w:line="272"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Mack, N., Ramirez, C. B., Friedland, B., &amp; Nnko, S. (2013). Lost in translation: Assessing effectiveness of focus group questioning techniques to develop translation of terminology used in HIV pre-vention clinical trials. PLoS One, 8(9). </w:t>
      </w:r>
      <w:hyperlink r:id="rId25">
        <w:r>
          <w:rPr>
            <w:rFonts w:ascii="Times New Roman" w:cs="Times New Roman" w:eastAsia="Times New Roman" w:hAnsi="Times New Roman"/>
            <w:sz w:val="18"/>
            <w:szCs w:val="18"/>
            <w:color w:val="auto"/>
          </w:rPr>
          <w:t>https://www.ncbi.nlm.nih.</w:t>
        </w:r>
      </w:hyperlink>
      <w:r>
        <w:rPr>
          <w:rFonts w:ascii="Times New Roman" w:cs="Times New Roman" w:eastAsia="Times New Roman" w:hAnsi="Times New Roman"/>
          <w:sz w:val="18"/>
          <w:szCs w:val="18"/>
          <w:color w:val="auto"/>
        </w:rPr>
        <w:t xml:space="preserve"> </w:t>
      </w:r>
      <w:hyperlink r:id="rId25">
        <w:r>
          <w:rPr>
            <w:rFonts w:ascii="Times New Roman" w:cs="Times New Roman" w:eastAsia="Times New Roman" w:hAnsi="Times New Roman"/>
            <w:sz w:val="18"/>
            <w:szCs w:val="18"/>
            <w:color w:val="auto"/>
          </w:rPr>
          <w:t>gov/pmc/articles/PMC3769359/</w:t>
        </w:r>
      </w:hyperlink>
    </w:p>
    <w:p>
      <w:pPr>
        <w:spacing w:after="0" w:line="48"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Maingueneau, D. (2010). Literature and discourse analysis. Acta Lin-guistica Hafniensia, 42(1), 147–158.</w:t>
      </w:r>
    </w:p>
    <w:p>
      <w:pPr>
        <w:spacing w:after="0" w:line="75"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Maitland, S. (2017). What is cultural translation? Bloomsbury Academic.</w:t>
      </w:r>
    </w:p>
    <w:p>
      <w:pPr>
        <w:spacing w:after="0" w:line="75"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Marinetti, C. (2018). Theatre as a “translation zone”: Multilingualism, identity and the performing body in the work of Teatro delle Albe. The Translator, 24(2), 128–146.</w:t>
      </w:r>
    </w:p>
    <w:p>
      <w:pPr>
        <w:spacing w:after="0" w:line="57"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Marin-Lacarta, M. (2019). Characteristics of a digital literary transla-tion publisher: Revisiting Bourdieu’s mapping of the publishing field. The Translator, 25(1), 27–41.</w:t>
      </w:r>
    </w:p>
    <w:p>
      <w:pPr>
        <w:spacing w:after="0" w:line="5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Mossop, B. (2018). Judging a translation by its cover. The Translator, 24(1), 1–16.</w:t>
      </w:r>
    </w:p>
    <w:p>
      <w:pPr>
        <w:sectPr>
          <w:pgSz w:w="12240" w:h="15840" w:orient="portrait"/>
          <w:cols w:equalWidth="0" w:num="2">
            <w:col w:w="5020" w:space="240"/>
            <w:col w:w="5020"/>
          </w:cols>
          <w:pgMar w:left="980" w:top="732" w:right="980" w:bottom="522" w:gutter="0" w:footer="0" w:header="0"/>
          <w:type w:val="continuous"/>
        </w:sectPr>
      </w:pPr>
    </w:p>
    <w:bookmarkStart w:id="7" w:name="page8"/>
    <w:bookmarkEnd w:id="7"/>
    <w:p>
      <w:pPr>
        <w:spacing w:after="0"/>
        <w:tabs>
          <w:tab w:leader="none" w:pos="6940" w:val="left"/>
        </w:tabs>
        <w:rPr>
          <w:sz w:val="20"/>
          <w:szCs w:val="20"/>
          <w:color w:val="auto"/>
        </w:rPr>
      </w:pPr>
      <w:r>
        <w:rPr>
          <w:rFonts w:ascii="Arial" w:cs="Arial" w:eastAsia="Arial" w:hAnsi="Arial"/>
          <w:sz w:val="17"/>
          <w:szCs w:val="17"/>
          <w:color w:val="auto"/>
        </w:rPr>
        <w:t>8</w:t>
      </w:r>
      <w:r>
        <w:rPr>
          <w:sz w:val="20"/>
          <w:szCs w:val="20"/>
          <w:color w:val="auto"/>
        </w:rPr>
        <w:tab/>
      </w:r>
      <w:r>
        <w:rPr>
          <w:rFonts w:ascii="Arial" w:cs="Arial" w:eastAsia="Arial" w:hAnsi="Arial"/>
          <w:sz w:val="17"/>
          <w:szCs w:val="17"/>
          <w:color w:val="auto"/>
        </w:rPr>
        <w:t>International Journal of Qualitative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24130</wp:posOffset>
                </wp:positionV>
                <wp:extent cx="6527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pt" to="514pt,1.9pt" o:allowincell="f" strokecolor="#000000" strokeweight="0.5102pt"/>
            </w:pict>
          </mc:Fallback>
        </mc:AlternateContent>
      </w:r>
    </w:p>
    <w:p>
      <w:pPr>
        <w:sectPr>
          <w:pgSz w:w="12240" w:h="15840" w:orient="portrait"/>
          <w:cols w:equalWidth="0" w:num="1">
            <w:col w:w="10280"/>
          </w:cols>
          <w:pgMar w:left="980" w:top="766" w:right="980" w:bottom="1440" w:gutter="0" w:footer="0" w:header="0"/>
        </w:sectPr>
      </w:pPr>
    </w:p>
    <w:p>
      <w:pPr>
        <w:spacing w:after="0" w:line="200" w:lineRule="exact"/>
        <w:rPr>
          <w:sz w:val="20"/>
          <w:szCs w:val="20"/>
          <w:color w:val="auto"/>
        </w:rPr>
      </w:pPr>
    </w:p>
    <w:p>
      <w:pPr>
        <w:spacing w:after="0" w:line="250"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Mounin, G. (1963). Les Proble`mes theoriques´ de la traduction [The-oretical problems of translation]. Gallimard.</w:t>
      </w:r>
    </w:p>
    <w:p>
      <w:pPr>
        <w:spacing w:after="0" w:line="74"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Munday, J. (2016). Introducing translation studies: Theories and applications (4th ed.). Routledge.</w:t>
      </w:r>
    </w:p>
    <w:p>
      <w:pPr>
        <w:spacing w:after="0" w:line="7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Newmark, Peter. (1981). Approaches to translation: Language teach-ing methodology senes. Pergamon Press.</w:t>
      </w:r>
    </w:p>
    <w:p>
      <w:pPr>
        <w:spacing w:after="0" w:line="75"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Nida, E. A. (1964). Toward a science of translating: With special reference to principles and procedures involved in Bible translat-ing. Leiden.</w:t>
      </w:r>
    </w:p>
    <w:p>
      <w:pPr>
        <w:spacing w:after="0" w:line="62"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Nord, C. (1997). Translating as a purposeful activity: Functionalist approaches explained. St. Jerome.</w:t>
      </w:r>
    </w:p>
    <w:p>
      <w:pPr>
        <w:spacing w:after="0" w:line="75" w:lineRule="exact"/>
        <w:rPr>
          <w:sz w:val="20"/>
          <w:szCs w:val="20"/>
          <w:color w:val="auto"/>
        </w:rPr>
      </w:pPr>
    </w:p>
    <w:p>
      <w:pPr>
        <w:jc w:val="both"/>
        <w:ind w:left="240" w:hanging="238"/>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Oncins, E. (2015). The tyranny of the tool: Surtitling live perfor-mances. Perspectives, 23(1), 42–61. </w:t>
      </w:r>
      <w:hyperlink r:id="rId26">
        <w:r>
          <w:rPr>
            <w:rFonts w:ascii="Times New Roman" w:cs="Times New Roman" w:eastAsia="Times New Roman" w:hAnsi="Times New Roman"/>
            <w:sz w:val="18"/>
            <w:szCs w:val="18"/>
            <w:color w:val="auto"/>
          </w:rPr>
          <w:t>https://doi.org/10.1080/</w:t>
        </w:r>
      </w:hyperlink>
      <w:r>
        <w:rPr>
          <w:rFonts w:ascii="Times New Roman" w:cs="Times New Roman" w:eastAsia="Times New Roman" w:hAnsi="Times New Roman"/>
          <w:sz w:val="18"/>
          <w:szCs w:val="18"/>
          <w:color w:val="auto"/>
        </w:rPr>
        <w:t xml:space="preserve"> </w:t>
      </w:r>
      <w:hyperlink r:id="rId26">
        <w:r>
          <w:rPr>
            <w:rFonts w:ascii="Times New Roman" w:cs="Times New Roman" w:eastAsia="Times New Roman" w:hAnsi="Times New Roman"/>
            <w:sz w:val="18"/>
            <w:szCs w:val="18"/>
            <w:color w:val="auto"/>
          </w:rPr>
          <w:t>0907676X.2013.793374</w:t>
        </w:r>
      </w:hyperlink>
    </w:p>
    <w:p>
      <w:pPr>
        <w:spacing w:after="0" w:line="62" w:lineRule="exact"/>
        <w:rPr>
          <w:sz w:val="20"/>
          <w:szCs w:val="20"/>
          <w:color w:val="auto"/>
        </w:rPr>
      </w:pPr>
    </w:p>
    <w:p>
      <w:pPr>
        <w:jc w:val="both"/>
        <w:ind w:left="240" w:hanging="238"/>
        <w:spacing w:after="0" w:line="235" w:lineRule="auto"/>
        <w:rPr>
          <w:sz w:val="20"/>
          <w:szCs w:val="20"/>
          <w:color w:val="auto"/>
        </w:rPr>
      </w:pPr>
      <w:r>
        <w:rPr>
          <w:rFonts w:ascii="Times New Roman" w:cs="Times New Roman" w:eastAsia="Times New Roman" w:hAnsi="Times New Roman"/>
          <w:sz w:val="18"/>
          <w:szCs w:val="18"/>
          <w:color w:val="auto"/>
        </w:rPr>
        <w:t>Pavis, P. (1990). Le Thea´ˆtre au croisement des cultures [Theater at the crossroads of culture]. J. Corti.</w:t>
      </w:r>
    </w:p>
    <w:p>
      <w:pPr>
        <w:spacing w:after="0" w:line="7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Polizzotti, M. (2018). Sympathy for the traitor. A translation mani-festo. MIT Press.</w:t>
      </w:r>
    </w:p>
    <w:p>
      <w:pPr>
        <w:spacing w:after="0" w:line="74"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Pym, A. (2004). The moving text: Localization, translation, and dis-tribution. John Benjamins.</w:t>
      </w:r>
    </w:p>
    <w:p>
      <w:pPr>
        <w:spacing w:after="0" w:line="7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Pym, A. (2007). Natural and directional equivalence in theories of translation. Target, 19(2), 271–294.</w:t>
      </w:r>
    </w:p>
    <w:p>
      <w:pPr>
        <w:spacing w:after="0" w:line="75"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Robertson, D. (2000). Variability in the use of the English article system by Chinese learners of English. Second Language Research, 16(2), 135–172.</w:t>
      </w:r>
    </w:p>
    <w:p>
      <w:pPr>
        <w:spacing w:after="0" w:line="62"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Robinson, D. (2011). Translation and the problem of sway. John Benjamins.</w:t>
      </w:r>
    </w:p>
    <w:p>
      <w:pPr>
        <w:spacing w:after="0" w:line="75" w:lineRule="exact"/>
        <w:rPr>
          <w:sz w:val="20"/>
          <w:szCs w:val="20"/>
          <w:color w:val="auto"/>
        </w:rPr>
      </w:pPr>
    </w:p>
    <w:p>
      <w:pPr>
        <w:jc w:val="both"/>
        <w:ind w:left="240" w:hanging="238"/>
        <w:spacing w:after="0" w:line="253" w:lineRule="auto"/>
        <w:rPr>
          <w:sz w:val="20"/>
          <w:szCs w:val="20"/>
          <w:color w:val="auto"/>
        </w:rPr>
      </w:pPr>
      <w:r>
        <w:rPr>
          <w:rFonts w:ascii="Times New Roman" w:cs="Times New Roman" w:eastAsia="Times New Roman" w:hAnsi="Times New Roman"/>
          <w:sz w:val="18"/>
          <w:szCs w:val="18"/>
          <w:color w:val="auto"/>
        </w:rPr>
        <w:t>Rodosthenous, G. (Ed.). (2017). Contemporary adaptations of Greek tragedy: Auteurship and directorial visions. Bloomsbury Methuen.</w:t>
      </w:r>
    </w:p>
    <w:p>
      <w:pPr>
        <w:spacing w:after="0" w:line="63" w:lineRule="exact"/>
        <w:rPr>
          <w:sz w:val="20"/>
          <w:szCs w:val="20"/>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Roofthooft, H., Remael, A., &amp; Van den Dries, L. (2018). Audio description for (postdramatic) theatre. Preparing the stage. JoS-Trans: The Journal of Specialised Translation, 30, 232–248. </w:t>
      </w:r>
      <w:hyperlink r:id="rId27">
        <w:r>
          <w:rPr>
            <w:rFonts w:ascii="Times New Roman" w:cs="Times New Roman" w:eastAsia="Times New Roman" w:hAnsi="Times New Roman"/>
            <w:sz w:val="18"/>
            <w:szCs w:val="18"/>
            <w:color w:val="auto"/>
          </w:rPr>
          <w:t>https://www.jostrans.org/issue30/art_roofthooft_et_al.pdf</w:t>
        </w:r>
      </w:hyperlink>
    </w:p>
    <w:p>
      <w:pPr>
        <w:spacing w:after="0" w:line="59" w:lineRule="exact"/>
        <w:rPr>
          <w:sz w:val="20"/>
          <w:szCs w:val="20"/>
          <w:color w:val="auto"/>
        </w:rPr>
      </w:pPr>
    </w:p>
    <w:p>
      <w:pPr>
        <w:jc w:val="both"/>
        <w:ind w:left="240" w:hanging="238"/>
        <w:spacing w:after="0" w:line="264" w:lineRule="auto"/>
        <w:rPr>
          <w:sz w:val="20"/>
          <w:szCs w:val="20"/>
          <w:color w:val="auto"/>
        </w:rPr>
      </w:pPr>
      <w:r>
        <w:rPr>
          <w:rFonts w:ascii="Times New Roman" w:cs="Times New Roman" w:eastAsia="Times New Roman" w:hAnsi="Times New Roman"/>
          <w:sz w:val="18"/>
          <w:szCs w:val="18"/>
          <w:color w:val="auto"/>
        </w:rPr>
        <w:t>Sakamoto, A. (2017). Professional translators’ theorising patterns in comparison with classroom discourse on translation: The case of Japanese/English translators in the UK. Meta, 62(2), 271–288.</w:t>
      </w:r>
    </w:p>
    <w:p>
      <w:pPr>
        <w:spacing w:after="0" w:line="274" w:lineRule="exact"/>
        <w:rPr>
          <w:sz w:val="20"/>
          <w:szCs w:val="20"/>
          <w:color w:val="auto"/>
        </w:rPr>
      </w:pPr>
    </w:p>
    <w:p>
      <w:pPr>
        <w:jc w:val="both"/>
        <w:ind w:left="240" w:hanging="238"/>
        <w:spacing w:after="0" w:line="26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Sapiro, G. (2010). Les echanges´ litt´eraires entre Paris et New York a` l’`ere de la globalisation. Centre europ´een de sociologie et de sci-ence politique. </w:t>
      </w:r>
      <w:hyperlink r:id="rId28">
        <w:r>
          <w:rPr>
            <w:rFonts w:ascii="Times New Roman" w:cs="Times New Roman" w:eastAsia="Times New Roman" w:hAnsi="Times New Roman"/>
            <w:sz w:val="18"/>
            <w:szCs w:val="18"/>
            <w:color w:val="auto"/>
          </w:rPr>
          <w:t>https://hal.archives-ouvertes.fr/hal-01621786/</w:t>
        </w:r>
      </w:hyperlink>
      <w:r>
        <w:rPr>
          <w:rFonts w:ascii="Times New Roman" w:cs="Times New Roman" w:eastAsia="Times New Roman" w:hAnsi="Times New Roman"/>
          <w:sz w:val="18"/>
          <w:szCs w:val="18"/>
          <w:color w:val="auto"/>
        </w:rPr>
        <w:t xml:space="preserve"> </w:t>
      </w:r>
      <w:hyperlink r:id="rId28">
        <w:r>
          <w:rPr>
            <w:rFonts w:ascii="Times New Roman" w:cs="Times New Roman" w:eastAsia="Times New Roman" w:hAnsi="Times New Roman"/>
            <w:sz w:val="18"/>
            <w:szCs w:val="18"/>
            <w:color w:val="auto"/>
          </w:rPr>
          <w:t>document</w:t>
        </w:r>
      </w:hyperlink>
    </w:p>
    <w:p>
      <w:pPr>
        <w:spacing w:after="0" w:line="59"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Schechner, R., &amp; Turner, V. (1985). Between theater and anthropol-ogy. University of Pennsylvania Press.</w:t>
      </w:r>
    </w:p>
    <w:p>
      <w:pPr>
        <w:spacing w:after="0" w:line="7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Schweitzer, M. (2015). Transatlantic broadway: The infrastructural politics of global performance. Palgrave Macmillan.</w:t>
      </w:r>
    </w:p>
    <w:p>
      <w:pPr>
        <w:spacing w:after="0" w:line="75" w:lineRule="exact"/>
        <w:rPr>
          <w:sz w:val="20"/>
          <w:szCs w:val="20"/>
          <w:color w:val="auto"/>
        </w:rPr>
      </w:pPr>
    </w:p>
    <w:p>
      <w:pPr>
        <w:jc w:val="both"/>
        <w:ind w:left="240" w:hanging="238"/>
        <w:spacing w:after="0" w:line="234" w:lineRule="auto"/>
        <w:rPr>
          <w:sz w:val="20"/>
          <w:szCs w:val="20"/>
          <w:color w:val="auto"/>
        </w:rPr>
      </w:pPr>
      <w:r>
        <w:rPr>
          <w:rFonts w:ascii="Times New Roman" w:cs="Times New Roman" w:eastAsia="Times New Roman" w:hAnsi="Times New Roman"/>
          <w:sz w:val="18"/>
          <w:szCs w:val="18"/>
          <w:color w:val="auto"/>
        </w:rPr>
        <w:t>Sedgman, K. (2016). Locating the audience: How people found value in national theatre Wales. Intellect.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0"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Sedgman, K. (2018). The reasonable audience: Theatre etiquette, behaviour policing, and the live performance experience. Palgrave Pivot.</w:t>
      </w:r>
    </w:p>
    <w:p>
      <w:pPr>
        <w:spacing w:after="0" w:line="58"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Silverstone, C. (2011). Shakespeare, trauma and contemporary per-formance. Routledge.</w:t>
      </w:r>
    </w:p>
    <w:p>
      <w:pPr>
        <w:spacing w:after="0" w:line="75"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8"/>
          <w:szCs w:val="18"/>
          <w:color w:val="auto"/>
        </w:rPr>
        <w:t>Snell-Hornby, M. (1988). Translation studies: An integrated approach. John Benjamins.</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Steiner, G. (1975). After babel: Aspects of language and translation.</w:t>
      </w:r>
    </w:p>
    <w:p>
      <w:pPr>
        <w:spacing w:after="0" w:line="3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Oxford University Press.</w:t>
      </w:r>
    </w:p>
    <w:p>
      <w:pPr>
        <w:spacing w:after="0" w:line="74"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Tan, Z. (2017). Censorship in translation: The dynamics of non-, partial and full translations in the Chinese context. Meta, 62(1), 45–68.</w:t>
      </w:r>
    </w:p>
    <w:p>
      <w:pPr>
        <w:spacing w:after="0" w:line="58"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8"/>
          <w:szCs w:val="18"/>
          <w:color w:val="auto"/>
        </w:rPr>
        <w:t>Thorpe, A. (2018). Lines of flight: Intersubjective training across intercultures as the basis for a comparison between Japanese nˆo and Chinese jingju (“Beijing opera”). Theatre, Dance and Perfor-mance Training, 9(1), 81–98.</w:t>
      </w:r>
    </w:p>
    <w:p>
      <w:pPr>
        <w:spacing w:after="0" w:line="52"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Tian, M. (2008). The poetics of difference and displacement: Twentieth-century Chinese-Western intercultural theatre. Hong Kong University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Toury, G. (2012). Descriptive translation studies—And beyond (Rev.</w:t>
      </w:r>
    </w:p>
    <w:p>
      <w:pPr>
        <w:spacing w:after="0" w:line="3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ed.). John Benjamins.</w:t>
      </w:r>
    </w:p>
    <w:p>
      <w:pPr>
        <w:spacing w:after="0" w:line="74"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8"/>
          <w:szCs w:val="18"/>
          <w:color w:val="auto"/>
        </w:rPr>
        <w:t>Tymoczko, M. (2000). Translation and political engagement: Acti-vism, social change and the role of translation in geopolitical shifts. The Translator, 6(1), 23–47.</w:t>
      </w:r>
    </w:p>
    <w:p>
      <w:pPr>
        <w:spacing w:after="0" w:line="5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van Doorslaer, L. (2007). Risking conceptual maps. Target, 19(2), 217–233.</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Venuti, L. (1995). The translator’s invisibility. Routledge.</w:t>
      </w:r>
    </w:p>
    <w:p>
      <w:pPr>
        <w:spacing w:after="0" w:line="72"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Viala, A., &amp; Bordier, J.-P. (1997). Le Thea´ˆtre en France des origines a` nos jours [Theater in France from its origins to the present day]. Presses Universitaires de France.</w:t>
      </w:r>
    </w:p>
    <w:p>
      <w:pPr>
        <w:spacing w:after="0" w:line="56"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Vinay, J.-P., &amp; Darbelnet, J. (1995). Comparative stylistics of French and English: A methodology for translation. (J. C. Sager &amp; M.-J. Hamel,Ed. &amp; Trans.). John Benjamins.</w:t>
      </w:r>
    </w:p>
    <w:p>
      <w:pPr>
        <w:spacing w:after="0" w:line="55"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8"/>
          <w:szCs w:val="18"/>
          <w:color w:val="auto"/>
        </w:rPr>
        <w:t>Worthen, W. B. (2003). Shakespearean performativity: Drama and the force of modern performance. Cambridge University Press.</w:t>
      </w:r>
    </w:p>
    <w:p>
      <w:pPr>
        <w:spacing w:after="0" w:line="75"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8"/>
          <w:szCs w:val="18"/>
          <w:color w:val="auto"/>
        </w:rPr>
        <w:t>Zhang, M., &amp; Li, P. (2009). Introducing a Chinese perspective on translation shifts: A comparative study of shift models by Loh and Vinay and Darbelnet. The Translator, 15(2), 351–374.</w:t>
      </w:r>
    </w:p>
    <w:p>
      <w:pPr>
        <w:spacing w:after="0" w:line="55" w:lineRule="exact"/>
        <w:rPr>
          <w:sz w:val="20"/>
          <w:szCs w:val="20"/>
          <w:color w:val="auto"/>
        </w:rPr>
      </w:pPr>
    </w:p>
    <w:p>
      <w:pPr>
        <w:jc w:val="both"/>
        <w:ind w:left="240" w:hanging="238"/>
        <w:spacing w:after="0" w:line="26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Zhong, Y., &amp; Lin, J. (2007). Are readers lost in the foreign land? Investigating the impact of foreignised translation in Guangzhou. Perspectives: Studies in Translatology, 15(1), 1–14. </w:t>
      </w:r>
      <w:hyperlink r:id="rId29">
        <w:r>
          <w:rPr>
            <w:rFonts w:ascii="Times New Roman" w:cs="Times New Roman" w:eastAsia="Times New Roman" w:hAnsi="Times New Roman"/>
            <w:sz w:val="18"/>
            <w:szCs w:val="18"/>
            <w:color w:val="auto"/>
          </w:rPr>
          <w:t>https://doi.</w:t>
        </w:r>
      </w:hyperlink>
      <w:r>
        <w:rPr>
          <w:rFonts w:ascii="Times New Roman" w:cs="Times New Roman" w:eastAsia="Times New Roman" w:hAnsi="Times New Roman"/>
          <w:sz w:val="18"/>
          <w:szCs w:val="18"/>
          <w:color w:val="auto"/>
        </w:rPr>
        <w:t xml:space="preserve"> </w:t>
      </w:r>
      <w:hyperlink r:id="rId29">
        <w:r>
          <w:rPr>
            <w:rFonts w:ascii="Times New Roman" w:cs="Times New Roman" w:eastAsia="Times New Roman" w:hAnsi="Times New Roman"/>
            <w:sz w:val="18"/>
            <w:szCs w:val="18"/>
            <w:color w:val="auto"/>
          </w:rPr>
          <w:t>org/10.2167/pst001.0</w:t>
        </w:r>
      </w:hyperlink>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Zuber-Skerritt, O. (1984). Page to stage: Theatre as translation.</w:t>
      </w:r>
    </w:p>
    <w:p>
      <w:pPr>
        <w:spacing w:after="0" w:line="3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Rodopi.</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Zurbach, C. (2009). The theatre translator as a cultural agent. In J.</w:t>
      </w:r>
    </w:p>
    <w:p>
      <w:pPr>
        <w:spacing w:after="0" w:line="3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Milton &amp; P. Bandia (Eds.), Agents of translation (pp. 279–300).</w:t>
      </w:r>
    </w:p>
    <w:p>
      <w:pPr>
        <w:spacing w:after="0" w:line="3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John Benjamins.</w:t>
      </w:r>
    </w:p>
    <w:sectPr>
      <w:pgSz w:w="12240" w:h="15840" w:orient="portrait"/>
      <w:cols w:equalWidth="0" w:num="2">
        <w:col w:w="5020" w:space="240"/>
        <w:col w:w="5020"/>
      </w:cols>
      <w:pgMar w:left="980" w:top="766" w:right="9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ª"/>
      <w:numFmt w:val="bullet"/>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lowerLetter"/>
      <w:start w:val="42"/>
    </w:lvl>
  </w:abstractNum>
  <w:abstractNum w:abstractNumId="3">
    <w:nsid w:val="625558EC"/>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9" Type="http://schemas.openxmlformats.org/officeDocument/2006/relationships/image" Target="media/image6.png"/><Relationship Id="rId9" Type="http://schemas.openxmlformats.org/officeDocument/2006/relationships/hyperlink" Target="https://sagepub.com/journals-permissions" TargetMode="External"/><Relationship Id="rId10" Type="http://schemas.openxmlformats.org/officeDocument/2006/relationships/hyperlink" Target="https://doi.org/10.1177/1609406920937146" TargetMode="External"/><Relationship Id="rId11" Type="http://schemas.openxmlformats.org/officeDocument/2006/relationships/hyperlink" Target="http://journals.sagepub.com/home/ijq" TargetMode="External"/><Relationship Id="rId16" Type="http://schemas.openxmlformats.org/officeDocument/2006/relationships/hyperlink" Target="mailto:dsglynn@cityu.edu.hk" TargetMode="External"/><Relationship Id="rId17" Type="http://schemas.openxmlformats.org/officeDocument/2006/relationships/hyperlink" Target="https://creativecommons.org/licenses/by-nc/4.0/" TargetMode="External"/><Relationship Id="rId18" Type="http://schemas.openxmlformats.org/officeDocument/2006/relationships/hyperlink" Target="https://us.sagepub.com/en-us/nam/open-access-at-sage" TargetMode="External"/><Relationship Id="rId20" Type="http://schemas.openxmlformats.org/officeDocument/2006/relationships/hyperlink" Target="https://orcid.org/0000-0002-3328-632X" TargetMode="External"/><Relationship Id="rId21" Type="http://schemas.openxmlformats.org/officeDocument/2006/relationships/hyperlink" Target="https://doi.org/10.7146/hjlcb.v22i42.96844" TargetMode="External"/><Relationship Id="rId22" Type="http://schemas.openxmlformats.org/officeDocument/2006/relationships/hyperlink" Target="https://europeanstages.org/2017/10/28/almagro-international-theatre-festival-blending-the-local-the-national-and-the-international/" TargetMode="External"/><Relationship Id="rId23" Type="http://schemas.openxmlformats.org/officeDocument/2006/relationships/hyperlink" Target="https://doi.org/10.1080/0907676X.2020.1713827" TargetMode="External"/><Relationship Id="rId24" Type="http://schemas.openxmlformats.org/officeDocument/2006/relationships/hyperlink" Target="https://doi.org/10.1177/1609406919868354" TargetMode="External"/><Relationship Id="rId25" Type="http://schemas.openxmlformats.org/officeDocument/2006/relationships/hyperlink" Target="https://www.ncbi.nlm.nih.gov/pmc/articles/PMC3769359/" TargetMode="External"/><Relationship Id="rId26" Type="http://schemas.openxmlformats.org/officeDocument/2006/relationships/hyperlink" Target="https://doi.org/10.1080/0907676X.2013.793374" TargetMode="External"/><Relationship Id="rId27" Type="http://schemas.openxmlformats.org/officeDocument/2006/relationships/hyperlink" Target="https://www.jostrans.org/issue30/art_roofthooft_et_al.pdf" TargetMode="External"/><Relationship Id="rId28" Type="http://schemas.openxmlformats.org/officeDocument/2006/relationships/hyperlink" Target="https://hal.archives-ouvertes.fr/hal-01621786/document" TargetMode="External"/><Relationship Id="rId29" Type="http://schemas.openxmlformats.org/officeDocument/2006/relationships/hyperlink" Target="https://doi.org/10.2167/pst001.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2020-09-15T05:17:43Z</dcterms:created>
  <dcterms:modified xsi:type="dcterms:W3CDTF">2020-09-15T05:17:43Z</dcterms:modified>
</cp:coreProperties>
</file>