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6"/>
          <w:szCs w:val="16"/>
          <w:color w:val="auto"/>
        </w:rPr>
        <w:drawing>
          <wp:anchor simplePos="0" relativeHeight="251657728" behindDoc="1" locked="0" layoutInCell="0" allowOverlap="1">
            <wp:simplePos x="0" y="0"/>
            <wp:positionH relativeFrom="page">
              <wp:posOffset>3791585</wp:posOffset>
            </wp:positionH>
            <wp:positionV relativeFrom="page">
              <wp:posOffset>274320</wp:posOffset>
            </wp:positionV>
            <wp:extent cx="3067685" cy="5422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3067685" cy="542290"/>
                    </a:xfrm>
                    <a:prstGeom prst="rect">
                      <a:avLst/>
                    </a:prstGeom>
                    <a:noFill/>
                  </pic:spPr>
                </pic:pic>
              </a:graphicData>
            </a:graphic>
          </wp:anchor>
        </w:drawing>
        <w:t>Research Article</w:t>
      </w:r>
    </w:p>
    <w:p>
      <w:pPr>
        <w:spacing w:after="0" w:line="1" w:lineRule="exact"/>
        <w:rPr>
          <w:sz w:val="24"/>
          <w:szCs w:val="24"/>
          <w:color w:val="auto"/>
        </w:rPr>
      </w:pPr>
    </w:p>
    <w:p>
      <w:pPr>
        <w:spacing w:after="0"/>
        <w:rPr>
          <w:sz w:val="20"/>
          <w:szCs w:val="20"/>
          <w:color w:val="auto"/>
        </w:rPr>
      </w:pPr>
      <w:r>
        <w:rPr>
          <w:rFonts w:ascii="Arial" w:cs="Arial" w:eastAsia="Arial" w:hAnsi="Arial"/>
          <w:sz w:val="16"/>
          <w:szCs w:val="16"/>
          <w:i w:val="1"/>
          <w:iCs w:val="1"/>
          <w:color w:val="auto"/>
        </w:rPr>
        <w:t xml:space="preserve">TheScientificWorldJOURNAL </w:t>
      </w:r>
      <w:r>
        <w:rPr>
          <w:rFonts w:ascii="Arial" w:cs="Arial" w:eastAsia="Arial" w:hAnsi="Arial"/>
          <w:sz w:val="16"/>
          <w:szCs w:val="16"/>
          <w:color w:val="auto"/>
        </w:rPr>
        <w:t>(2010) 10, 2301–2313</w:t>
      </w:r>
    </w:p>
    <w:p>
      <w:pPr>
        <w:spacing w:after="0" w:line="237" w:lineRule="auto"/>
        <w:rPr>
          <w:sz w:val="20"/>
          <w:szCs w:val="20"/>
          <w:color w:val="auto"/>
        </w:rPr>
      </w:pPr>
      <w:r>
        <w:rPr>
          <w:rFonts w:ascii="Arial" w:cs="Arial" w:eastAsia="Arial" w:hAnsi="Arial"/>
          <w:sz w:val="16"/>
          <w:szCs w:val="16"/>
          <w:color w:val="auto"/>
        </w:rPr>
        <w:t>ISSN 1537-744X; DOI 10.1100/tsw.2010.221</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right="1760"/>
        <w:spacing w:after="0" w:line="236" w:lineRule="auto"/>
        <w:rPr>
          <w:sz w:val="20"/>
          <w:szCs w:val="20"/>
          <w:color w:val="auto"/>
        </w:rPr>
      </w:pPr>
      <w:r>
        <w:rPr>
          <w:rFonts w:ascii="Arial" w:cs="Arial" w:eastAsia="Arial" w:hAnsi="Arial"/>
          <w:sz w:val="36"/>
          <w:szCs w:val="36"/>
          <w:b w:val="1"/>
          <w:bCs w:val="1"/>
          <w:color w:val="auto"/>
        </w:rPr>
        <w:t>Active Theater as a Complementary Therapy for Parkinson’s Disease Rehabilitation: A Pilot Study</w:t>
      </w:r>
    </w:p>
    <w:p>
      <w:pPr>
        <w:spacing w:after="0" w:line="200" w:lineRule="exact"/>
        <w:rPr>
          <w:sz w:val="24"/>
          <w:szCs w:val="24"/>
          <w:color w:val="auto"/>
        </w:rPr>
      </w:pPr>
    </w:p>
    <w:p>
      <w:pPr>
        <w:spacing w:after="0" w:line="261" w:lineRule="exact"/>
        <w:rPr>
          <w:sz w:val="24"/>
          <w:szCs w:val="24"/>
          <w:color w:val="auto"/>
        </w:rPr>
      </w:pPr>
    </w:p>
    <w:p>
      <w:pPr>
        <w:ind w:right="1680"/>
        <w:spacing w:after="0" w:line="200" w:lineRule="auto"/>
        <w:rPr>
          <w:sz w:val="20"/>
          <w:szCs w:val="20"/>
          <w:color w:val="auto"/>
        </w:rPr>
      </w:pPr>
      <w:r>
        <w:rPr>
          <w:rFonts w:ascii="Arial" w:cs="Arial" w:eastAsia="Arial" w:hAnsi="Arial"/>
          <w:sz w:val="24"/>
          <w:szCs w:val="24"/>
          <w:color w:val="auto"/>
        </w:rPr>
        <w:t>Nicola Modugno</w:t>
      </w:r>
      <w:r>
        <w:rPr>
          <w:rFonts w:ascii="Arial" w:cs="Arial" w:eastAsia="Arial" w:hAnsi="Arial"/>
          <w:sz w:val="32"/>
          <w:szCs w:val="32"/>
          <w:color w:val="auto"/>
          <w:vertAlign w:val="superscript"/>
        </w:rPr>
        <w:t>1</w:t>
      </w:r>
      <w:r>
        <w:rPr>
          <w:rFonts w:ascii="Arial" w:cs="Arial" w:eastAsia="Arial" w:hAnsi="Arial"/>
          <w:sz w:val="24"/>
          <w:szCs w:val="24"/>
          <w:color w:val="auto"/>
        </w:rPr>
        <w:t>, Sara Iaconelli</w:t>
      </w:r>
      <w:r>
        <w:rPr>
          <w:rFonts w:ascii="Arial" w:cs="Arial" w:eastAsia="Arial" w:hAnsi="Arial"/>
          <w:sz w:val="32"/>
          <w:szCs w:val="32"/>
          <w:color w:val="auto"/>
          <w:vertAlign w:val="superscript"/>
        </w:rPr>
        <w:t>1</w:t>
      </w:r>
      <w:r>
        <w:rPr>
          <w:rFonts w:ascii="Arial" w:cs="Arial" w:eastAsia="Arial" w:hAnsi="Arial"/>
          <w:sz w:val="24"/>
          <w:szCs w:val="24"/>
          <w:color w:val="auto"/>
        </w:rPr>
        <w:t>, Mariagrazia Fiorilli</w:t>
      </w:r>
      <w:r>
        <w:rPr>
          <w:rFonts w:ascii="Arial" w:cs="Arial" w:eastAsia="Arial" w:hAnsi="Arial"/>
          <w:sz w:val="32"/>
          <w:szCs w:val="32"/>
          <w:color w:val="auto"/>
          <w:vertAlign w:val="superscript"/>
        </w:rPr>
        <w:t>1</w:t>
      </w:r>
      <w:r>
        <w:rPr>
          <w:rFonts w:ascii="Arial" w:cs="Arial" w:eastAsia="Arial" w:hAnsi="Arial"/>
          <w:sz w:val="24"/>
          <w:szCs w:val="24"/>
          <w:color w:val="auto"/>
        </w:rPr>
        <w:t>, Francesco Lena</w:t>
      </w:r>
      <w:r>
        <w:rPr>
          <w:rFonts w:ascii="Arial" w:cs="Arial" w:eastAsia="Arial" w:hAnsi="Arial"/>
          <w:sz w:val="32"/>
          <w:szCs w:val="32"/>
          <w:color w:val="auto"/>
          <w:vertAlign w:val="superscript"/>
        </w:rPr>
        <w:t>1</w:t>
      </w:r>
      <w:r>
        <w:rPr>
          <w:rFonts w:ascii="Arial" w:cs="Arial" w:eastAsia="Arial" w:hAnsi="Arial"/>
          <w:sz w:val="24"/>
          <w:szCs w:val="24"/>
          <w:color w:val="auto"/>
        </w:rPr>
        <w:t>, Imogen Kusch</w:t>
      </w:r>
      <w:r>
        <w:rPr>
          <w:rFonts w:ascii="Arial" w:cs="Arial" w:eastAsia="Arial" w:hAnsi="Arial"/>
          <w:sz w:val="32"/>
          <w:szCs w:val="32"/>
          <w:color w:val="auto"/>
          <w:vertAlign w:val="superscript"/>
        </w:rPr>
        <w:t>1</w:t>
      </w:r>
      <w:r>
        <w:rPr>
          <w:rFonts w:ascii="Arial" w:cs="Arial" w:eastAsia="Arial" w:hAnsi="Arial"/>
          <w:sz w:val="24"/>
          <w:szCs w:val="24"/>
          <w:color w:val="auto"/>
        </w:rPr>
        <w:t>, and Giovanni Mirabella</w:t>
      </w:r>
      <w:r>
        <w:rPr>
          <w:rFonts w:ascii="Arial" w:cs="Arial" w:eastAsia="Arial" w:hAnsi="Arial"/>
          <w:sz w:val="32"/>
          <w:szCs w:val="32"/>
          <w:color w:val="auto"/>
          <w:vertAlign w:val="superscript"/>
        </w:rPr>
        <w:t>1,2,</w:t>
      </w:r>
      <w:r>
        <w:rPr>
          <w:rFonts w:ascii="Arial" w:cs="Arial" w:eastAsia="Arial" w:hAnsi="Arial"/>
          <w:sz w:val="24"/>
          <w:szCs w:val="24"/>
          <w:color w:val="auto"/>
        </w:rPr>
        <w:t>*</w:t>
      </w:r>
    </w:p>
    <w:p>
      <w:pPr>
        <w:spacing w:after="0" w:line="1" w:lineRule="exact"/>
        <w:rPr>
          <w:sz w:val="24"/>
          <w:szCs w:val="24"/>
          <w:color w:val="auto"/>
        </w:rPr>
      </w:pPr>
    </w:p>
    <w:p>
      <w:pPr>
        <w:ind w:right="1580"/>
        <w:spacing w:after="0" w:line="224" w:lineRule="auto"/>
        <w:rPr>
          <w:sz w:val="20"/>
          <w:szCs w:val="20"/>
          <w:color w:val="auto"/>
        </w:rPr>
      </w:pPr>
      <w:r>
        <w:rPr>
          <w:rFonts w:ascii="Arial" w:cs="Arial" w:eastAsia="Arial" w:hAnsi="Arial"/>
          <w:sz w:val="25"/>
          <w:szCs w:val="25"/>
          <w:i w:val="1"/>
          <w:iCs w:val="1"/>
          <w:color w:val="auto"/>
          <w:vertAlign w:val="superscript"/>
        </w:rPr>
        <w:t>1</w:t>
      </w:r>
      <w:r>
        <w:rPr>
          <w:rFonts w:ascii="Arial" w:cs="Arial" w:eastAsia="Arial" w:hAnsi="Arial"/>
          <w:sz w:val="20"/>
          <w:szCs w:val="20"/>
          <w:i w:val="1"/>
          <w:iCs w:val="1"/>
          <w:color w:val="auto"/>
        </w:rPr>
        <w:t xml:space="preserve">IRCCS Neuromed, Pozzilli (IS), Italy; </w:t>
      </w:r>
      <w:r>
        <w:rPr>
          <w:rFonts w:ascii="Arial" w:cs="Arial" w:eastAsia="Arial" w:hAnsi="Arial"/>
          <w:sz w:val="25"/>
          <w:szCs w:val="25"/>
          <w:i w:val="1"/>
          <w:iCs w:val="1"/>
          <w:color w:val="auto"/>
          <w:vertAlign w:val="superscript"/>
        </w:rPr>
        <w:t>2</w:t>
      </w:r>
      <w:r>
        <w:rPr>
          <w:rFonts w:ascii="Arial" w:cs="Arial" w:eastAsia="Arial" w:hAnsi="Arial"/>
          <w:sz w:val="20"/>
          <w:szCs w:val="20"/>
          <w:i w:val="1"/>
          <w:iCs w:val="1"/>
          <w:color w:val="auto"/>
        </w:rPr>
        <w:t>Department of Experimental Medicine, University of L’Aquila, Italy</w:t>
      </w:r>
    </w:p>
    <w:p>
      <w:pPr>
        <w:spacing w:after="0" w:line="240" w:lineRule="exact"/>
        <w:rPr>
          <w:sz w:val="24"/>
          <w:szCs w:val="24"/>
          <w:color w:val="auto"/>
        </w:rPr>
      </w:pPr>
    </w:p>
    <w:p>
      <w:pPr>
        <w:spacing w:after="0"/>
        <w:rPr>
          <w:rFonts w:ascii="Arial" w:cs="Arial" w:eastAsia="Arial" w:hAnsi="Arial"/>
          <w:sz w:val="18"/>
          <w:szCs w:val="18"/>
          <w:b w:val="1"/>
          <w:bCs w:val="1"/>
          <w:color w:val="auto"/>
        </w:rPr>
      </w:pPr>
      <w:r>
        <w:rPr>
          <w:rFonts w:ascii="Arial" w:cs="Arial" w:eastAsia="Arial" w:hAnsi="Arial"/>
          <w:sz w:val="18"/>
          <w:szCs w:val="18"/>
          <w:b w:val="1"/>
          <w:bCs w:val="1"/>
          <w:color w:val="auto"/>
        </w:rPr>
        <w:t>E-mail</w:t>
      </w:r>
      <w:r>
        <w:rPr>
          <w:rFonts w:ascii="Arial" w:cs="Arial" w:eastAsia="Arial" w:hAnsi="Arial"/>
          <w:sz w:val="18"/>
          <w:szCs w:val="18"/>
          <w:color w:val="auto"/>
        </w:rPr>
        <w:t>:</w:t>
      </w:r>
      <w:r>
        <w:rPr>
          <w:rFonts w:ascii="Arial" w:cs="Arial" w:eastAsia="Arial" w:hAnsi="Arial"/>
          <w:sz w:val="18"/>
          <w:szCs w:val="18"/>
          <w:b w:val="1"/>
          <w:bCs w:val="1"/>
          <w:color w:val="auto"/>
        </w:rPr>
        <w:t xml:space="preserve"> </w:t>
      </w:r>
      <w:hyperlink r:id="rId9">
        <w:r>
          <w:rPr>
            <w:rFonts w:ascii="Arial" w:cs="Arial" w:eastAsia="Arial" w:hAnsi="Arial"/>
            <w:sz w:val="18"/>
            <w:szCs w:val="18"/>
            <w:u w:val="single" w:color="auto"/>
            <w:color w:val="0000FF"/>
          </w:rPr>
          <w:t>giovanni.mirabella@uniroma1.it</w:t>
        </w:r>
      </w:hyperlink>
    </w:p>
    <w:p>
      <w:pPr>
        <w:spacing w:after="0" w:line="244" w:lineRule="exact"/>
        <w:rPr>
          <w:sz w:val="24"/>
          <w:szCs w:val="24"/>
          <w:color w:val="auto"/>
        </w:rPr>
      </w:pPr>
    </w:p>
    <w:p>
      <w:pPr>
        <w:spacing w:after="0"/>
        <w:rPr>
          <w:sz w:val="20"/>
          <w:szCs w:val="20"/>
          <w:color w:val="auto"/>
        </w:rPr>
      </w:pPr>
      <w:r>
        <w:rPr>
          <w:rFonts w:ascii="Arial" w:cs="Arial" w:eastAsia="Arial" w:hAnsi="Arial"/>
          <w:sz w:val="18"/>
          <w:szCs w:val="18"/>
          <w:i w:val="1"/>
          <w:iCs w:val="1"/>
          <w:color w:val="auto"/>
        </w:rPr>
        <w:t>Received August 14, 2010; Revised October 21, 2010; Accepted November 2, 2010; Published November 16, 2010</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146050</wp:posOffset>
            </wp:positionV>
            <wp:extent cx="5981065" cy="4763"/>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5981065" cy="4763"/>
                    </a:xfrm>
                    <a:prstGeom prst="rect">
                      <a:avLst/>
                    </a:prstGeom>
                    <a:noFill/>
                  </pic:spPr>
                </pic:pic>
              </a:graphicData>
            </a:graphic>
          </wp:anchor>
        </w:drawing>
      </w:r>
    </w:p>
    <w:p>
      <w:pPr>
        <w:spacing w:after="0" w:line="200" w:lineRule="exact"/>
        <w:rPr>
          <w:sz w:val="24"/>
          <w:szCs w:val="24"/>
          <w:color w:val="auto"/>
        </w:rPr>
      </w:pPr>
    </w:p>
    <w:p>
      <w:pPr>
        <w:spacing w:after="0" w:line="378" w:lineRule="exact"/>
        <w:rPr>
          <w:sz w:val="24"/>
          <w:szCs w:val="24"/>
          <w:color w:val="auto"/>
        </w:rPr>
      </w:pPr>
    </w:p>
    <w:p>
      <w:pPr>
        <w:jc w:val="both"/>
        <w:spacing w:after="0" w:line="239" w:lineRule="auto"/>
        <w:rPr>
          <w:sz w:val="20"/>
          <w:szCs w:val="20"/>
          <w:color w:val="auto"/>
        </w:rPr>
      </w:pPr>
      <w:r>
        <w:rPr>
          <w:rFonts w:ascii="Arial" w:cs="Arial" w:eastAsia="Arial" w:hAnsi="Arial"/>
          <w:sz w:val="22"/>
          <w:szCs w:val="22"/>
          <w:b w:val="1"/>
          <w:bCs w:val="1"/>
          <w:color w:val="auto"/>
        </w:rPr>
        <w:t>Most medical treatments of Parkinson’s disease (PD) are aimed at the reduction of motor symptoms. However, even when motor improvements are evident, patients often report a deterioration of their daily lives. Thus, to achieve a global improvement in personal well-being, not only drugs, but also complementary therapies, such as physical exercise, occupational therapy, speech therapy, and active music therapy, have been used. We hypothesized that theater could reduce clinical disability and improve the quality of life of PD patients (primary end points) more efficiently than other complementary therapies because (1) in order to impersonate a character, patients are forced to regain the control of their bodies; and (2) while being part of a group, patients have a high degree of social interaction. The need to regain the control of their bodies and of their social functioning is very likely to deeply motivate patients. To assess this hypothesis, we ran a randomized, controlled, and single-blinded study that lasted 3 years, on 20 subjects affected by a moderate form of idiopathic PD, in stable treatment with L-dopa and L-dopa agonists, and without severe sensory deficits. Ten patients were randomly assigned to an active theater program (in which patients were required to participate), while the others underwent physiotherapy (control group), the most common nonpharmacological treatment for PD rehabilitation. Patients of both groups were evaluated at the beginning of each year, using five clinical rating scales (Unified Parkinson’s Disease Rating Scale [UPDRS], Schwab and England Scale, Parkinson’s Disease Quality of Life [PDQ39] Scale, Epworth Sleepiness Scale, and Hamilton Depression Rating Scale). The theater patients showed progressive improvements and, at the end of the third year, they showed significant improvements in all clinical scales. Conversely, the control patients did not exhibit significant ameliorations with time. Thus, the present study provides the first scientific evidence that active theater, coupled with conventional medical treatments, represents a valid complementary therapeutic intervention for PD treatment.</w:t>
      </w:r>
    </w:p>
    <w:p>
      <w:pPr>
        <w:spacing w:after="0" w:line="270" w:lineRule="exact"/>
        <w:rPr>
          <w:sz w:val="24"/>
          <w:szCs w:val="24"/>
          <w:color w:val="auto"/>
        </w:rPr>
      </w:pPr>
    </w:p>
    <w:p>
      <w:pPr>
        <w:jc w:val="both"/>
        <w:spacing w:after="0" w:line="236" w:lineRule="auto"/>
        <w:rPr>
          <w:sz w:val="20"/>
          <w:szCs w:val="20"/>
          <w:color w:val="auto"/>
        </w:rPr>
      </w:pPr>
      <w:r>
        <w:rPr>
          <w:rFonts w:ascii="Arial" w:cs="Arial" w:eastAsia="Arial" w:hAnsi="Arial"/>
          <w:sz w:val="22"/>
          <w:szCs w:val="22"/>
          <w:b w:val="1"/>
          <w:bCs w:val="1"/>
          <w:color w:val="auto"/>
        </w:rPr>
        <w:t>KEYWORDS</w:t>
      </w:r>
      <w:r>
        <w:rPr>
          <w:rFonts w:ascii="Arial" w:cs="Arial" w:eastAsia="Arial" w:hAnsi="Arial"/>
          <w:sz w:val="22"/>
          <w:szCs w:val="22"/>
          <w:color w:val="auto"/>
        </w:rPr>
        <w:t>: art therapy, theater therapy, rehabilitation, Parkinson’s disease, nonmotor</w:t>
      </w:r>
      <w:r>
        <w:rPr>
          <w:rFonts w:ascii="Arial" w:cs="Arial" w:eastAsia="Arial" w:hAnsi="Arial"/>
          <w:sz w:val="22"/>
          <w:szCs w:val="22"/>
          <w:b w:val="1"/>
          <w:bCs w:val="1"/>
          <w:color w:val="auto"/>
        </w:rPr>
        <w:t xml:space="preserve"> </w:t>
      </w:r>
      <w:r>
        <w:rPr>
          <w:rFonts w:ascii="Arial" w:cs="Arial" w:eastAsia="Arial" w:hAnsi="Arial"/>
          <w:sz w:val="22"/>
          <w:szCs w:val="22"/>
          <w:color w:val="auto"/>
        </w:rPr>
        <w:t>symptoms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191135</wp:posOffset>
            </wp:positionV>
            <wp:extent cx="5981065" cy="4763"/>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5981065" cy="4763"/>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2" w:lineRule="exact"/>
        <w:rPr>
          <w:sz w:val="24"/>
          <w:szCs w:val="24"/>
          <w:color w:val="auto"/>
        </w:rPr>
      </w:pPr>
    </w:p>
    <w:tbl>
      <w:tblPr>
        <w:tblLayout w:type="fixed"/>
        <w:tblInd w:w="0" w:type="dxa"/>
        <w:tblCellMar>
          <w:top w:w="0" w:type="dxa"/>
          <w:left w:w="0" w:type="dxa"/>
          <w:bottom w:w="0" w:type="dxa"/>
          <w:right w:w="0" w:type="dxa"/>
        </w:tblCellMar>
      </w:tblPr>
      <w:tr>
        <w:trPr>
          <w:trHeight w:val="230"/>
        </w:trPr>
        <w:tc>
          <w:tcPr>
            <w:tcW w:w="5280" w:type="dxa"/>
            <w:vAlign w:val="bottom"/>
          </w:tcPr>
          <w:p>
            <w:pPr>
              <w:spacing w:after="0"/>
              <w:rPr>
                <w:sz w:val="20"/>
                <w:szCs w:val="20"/>
                <w:color w:val="auto"/>
              </w:rPr>
            </w:pPr>
            <w:r>
              <w:rPr>
                <w:rFonts w:ascii="Arial" w:cs="Arial" w:eastAsia="Arial" w:hAnsi="Arial"/>
                <w:sz w:val="16"/>
                <w:szCs w:val="16"/>
                <w:color w:val="auto"/>
              </w:rPr>
              <w:t>*Corresponding author.</w:t>
            </w:r>
          </w:p>
        </w:tc>
        <w:tc>
          <w:tcPr>
            <w:tcW w:w="4080" w:type="dxa"/>
            <w:vAlign w:val="bottom"/>
          </w:tcPr>
          <w:p>
            <w:pPr>
              <w:jc w:val="right"/>
              <w:spacing w:after="0"/>
              <w:rPr>
                <w:sz w:val="20"/>
                <w:szCs w:val="20"/>
                <w:color w:val="auto"/>
              </w:rPr>
            </w:pPr>
            <w:r>
              <w:rPr>
                <w:rFonts w:ascii="Arial" w:cs="Arial" w:eastAsia="Arial" w:hAnsi="Arial"/>
                <w:sz w:val="20"/>
                <w:szCs w:val="20"/>
                <w:b w:val="1"/>
                <w:bCs w:val="1"/>
                <w:color w:val="auto"/>
              </w:rPr>
              <w:t>2301</w:t>
            </w:r>
          </w:p>
        </w:tc>
      </w:tr>
    </w:tbl>
    <w:p>
      <w:pPr>
        <w:spacing w:after="0" w:line="224" w:lineRule="auto"/>
        <w:rPr>
          <w:sz w:val="20"/>
          <w:szCs w:val="20"/>
          <w:color w:val="auto"/>
        </w:rPr>
      </w:pPr>
      <w:r>
        <w:rPr>
          <w:rFonts w:ascii="Arial" w:cs="Arial" w:eastAsia="Arial" w:hAnsi="Arial"/>
          <w:sz w:val="16"/>
          <w:szCs w:val="16"/>
          <w:color w:val="auto"/>
        </w:rPr>
        <w:t>©2010 with author.</w:t>
      </w:r>
    </w:p>
    <w:p>
      <w:pPr>
        <w:spacing w:after="0"/>
        <w:rPr>
          <w:sz w:val="20"/>
          <w:szCs w:val="20"/>
          <w:color w:val="auto"/>
        </w:rPr>
      </w:pPr>
      <w:r>
        <w:rPr>
          <w:rFonts w:ascii="Arial" w:cs="Arial" w:eastAsia="Arial" w:hAnsi="Arial"/>
          <w:sz w:val="16"/>
          <w:szCs w:val="16"/>
          <w:color w:val="auto"/>
        </w:rPr>
        <w:t xml:space="preserve">Published by TheScientificWorld; </w:t>
      </w:r>
      <w:r>
        <w:rPr>
          <w:rFonts w:ascii="Arial" w:cs="Arial" w:eastAsia="Arial" w:hAnsi="Arial"/>
          <w:sz w:val="16"/>
          <w:szCs w:val="16"/>
          <w:u w:val="single" w:color="auto"/>
          <w:color w:val="0000FF"/>
        </w:rPr>
        <w:t>www.thescientificworld.com</w:t>
      </w:r>
    </w:p>
    <w:p>
      <w:pPr>
        <w:sectPr>
          <w:pgSz w:w="12240" w:h="15840" w:orient="portrait"/>
          <w:cols w:equalWidth="0" w:num="1">
            <w:col w:w="9360"/>
          </w:cols>
          <w:pgMar w:left="1440" w:top="426" w:right="1440" w:bottom="147" w:gutter="0" w:footer="0" w:header="0"/>
        </w:sectPr>
      </w:pPr>
    </w:p>
    <w:bookmarkStart w:id="1" w:name="page2"/>
    <w:bookmarkEnd w:id="1"/>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INTRODUCTION</w:t>
      </w:r>
    </w:p>
    <w:p>
      <w:pPr>
        <w:spacing w:after="0" w:line="249"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2"/>
          <w:szCs w:val="22"/>
          <w:color w:val="auto"/>
        </w:rPr>
        <w:t>Parkinson‟s disease (PD) is a neurodegenerative disease that causes motor disturbances (postural and walking difficulties, rigidity, bradykinesia, and tremor) and nonmotor disturbances, such as neuropsychiatric (e.g., depression, anxiety, cognitive impairments) and neurovegetative disorders (e.g., decreased control of urinary bladder, sexual dysfunctions; for review see [1]). Consequently, general health and the personal and social lives of patients can be deeply impaired.</w:t>
      </w:r>
    </w:p>
    <w:p>
      <w:pPr>
        <w:spacing w:after="0" w:line="16" w:lineRule="exact"/>
        <w:rPr>
          <w:sz w:val="20"/>
          <w:szCs w:val="20"/>
          <w:color w:val="auto"/>
        </w:rPr>
      </w:pPr>
    </w:p>
    <w:p>
      <w:pPr>
        <w:jc w:val="both"/>
        <w:ind w:firstLine="360"/>
        <w:spacing w:after="0" w:line="238" w:lineRule="auto"/>
        <w:rPr>
          <w:rFonts w:ascii="Times New Roman" w:cs="Times New Roman" w:eastAsia="Times New Roman" w:hAnsi="Times New Roman"/>
          <w:sz w:val="22"/>
          <w:szCs w:val="22"/>
          <w:color w:val="0000FF"/>
        </w:rPr>
      </w:pPr>
      <w:r>
        <w:rPr>
          <w:rFonts w:ascii="Times New Roman" w:cs="Times New Roman" w:eastAsia="Times New Roman" w:hAnsi="Times New Roman"/>
          <w:sz w:val="22"/>
          <w:szCs w:val="22"/>
          <w:color w:val="auto"/>
        </w:rPr>
        <w:t xml:space="preserve">Pharmacological treatment of PD, based on the administration of dopaminergic drugs, is symptomatic and mainly aimed at reducing motor symptoms. With this approach, optimal control of the symptoms is possible only in the initial stages of PD. With time, however, the positive effects become less evident, nonmotor symptoms progressively increase, side effects of the dopaminergic medications appear, and the management of the disease becomes more complex[2]. Often with the progression of the disease, PD patients experience trouble with communication and this may lead to social isolation as the person may be embarrassed by the disease (Scottish Intercollegiate Guidelines Network 2010, </w:t>
      </w:r>
      <w:hyperlink r:id="rId12">
        <w:r>
          <w:rPr>
            <w:rFonts w:ascii="Times New Roman" w:cs="Times New Roman" w:eastAsia="Times New Roman" w:hAnsi="Times New Roman"/>
            <w:sz w:val="22"/>
            <w:szCs w:val="22"/>
            <w:u w:val="single" w:color="auto"/>
            <w:color w:val="0000FF"/>
          </w:rPr>
          <w:t>http://www.sign.ac.uk/</w:t>
        </w:r>
      </w:hyperlink>
      <w:r>
        <w:rPr>
          <w:rFonts w:ascii="Times New Roman" w:cs="Times New Roman" w:eastAsia="Times New Roman" w:hAnsi="Times New Roman"/>
          <w:sz w:val="22"/>
          <w:szCs w:val="22"/>
          <w:color w:val="auto"/>
        </w:rPr>
        <w:t xml:space="preserve"> </w:t>
      </w:r>
      <w:hyperlink r:id="rId12">
        <w:r>
          <w:rPr>
            <w:rFonts w:ascii="Times New Roman" w:cs="Times New Roman" w:eastAsia="Times New Roman" w:hAnsi="Times New Roman"/>
            <w:sz w:val="22"/>
            <w:szCs w:val="22"/>
            <w:u w:val="single" w:color="auto"/>
            <w:color w:val="0000FF"/>
          </w:rPr>
          <w:t>index.html</w:t>
        </w:r>
      </w:hyperlink>
      <w:r>
        <w:rPr>
          <w:rFonts w:ascii="Times New Roman" w:cs="Times New Roman" w:eastAsia="Times New Roman" w:hAnsi="Times New Roman"/>
          <w:sz w:val="22"/>
          <w:szCs w:val="22"/>
          <w:color w:val="000000"/>
        </w:rPr>
        <w:t>). As a consequence, patients start to suffer from a deterioration of their social functioning and</w:t>
      </w:r>
      <w:r>
        <w:rPr>
          <w:rFonts w:ascii="Times New Roman" w:cs="Times New Roman" w:eastAsia="Times New Roman" w:hAnsi="Times New Roman"/>
          <w:sz w:val="22"/>
          <w:szCs w:val="22"/>
          <w:color w:val="0000FF"/>
        </w:rPr>
        <w:t xml:space="preserve"> </w:t>
      </w:r>
      <w:r>
        <w:rPr>
          <w:rFonts w:ascii="Times New Roman" w:cs="Times New Roman" w:eastAsia="Times New Roman" w:hAnsi="Times New Roman"/>
          <w:sz w:val="22"/>
          <w:szCs w:val="22"/>
          <w:color w:val="000000"/>
        </w:rPr>
        <w:t>their quality of life (QoL).</w:t>
      </w:r>
    </w:p>
    <w:p>
      <w:pPr>
        <w:spacing w:after="0" w:line="20"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For these reasons, in addition to pharmacological treatments, complementary approaches have been tested. Most of patients undergo physiotherapy[3] and this intervention has been shown to be effective[4,5,6]. However, improvements do not always outlast the treatment[7,8] and do not always help to manage nonmotor symptoms, probably because physiotherapy is usually lacking in the motivational and emotional spheres.</w:t>
      </w:r>
    </w:p>
    <w:p>
      <w:pPr>
        <w:spacing w:after="0" w:line="16"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2"/>
          <w:szCs w:val="22"/>
          <w:color w:val="auto"/>
        </w:rPr>
        <w:t>Other complementary therapies, such as group psychotherapy[9], art therapies[10,11], and occupational therapies[12], have been shown to produce positive effects on QoL. These complementary therapies do not offer a cure for PD, but may help to ease the symptoms and make coping with the disease easier. In fact, complementary therapies address not only the physical aspect of PD pathology, they also tackle its social and psychological aspects. Despite this potentiality, there are few randomized controlled trials testing their efficacy[13]. Among those, Pacchetti et al.[11] showed for the first time that 3 months of active music therapy, where PD patients play an active part by using instruments and voices, improve both their motor abilities and emotional status. They attributed the improvements of motor performance, especially of bradykinesia, to the rhythmic aspect of music and to its affective arousal, which was thought to be also at the basis of ameliorations of emotional functions. Pacchetti et al.[11] concluded, suggesting that by promoting socialization, expression of feelings, awareness, and responsiveness, music therapy increases motivation in patients whose personalities are frequently characterized by apathy, anhedonia, and depressive symptoms. However, these changes were not stable. In fact, even though improvements in motor response occurred after each music therapy session, only the changes in bradykinesia showed a trend of improvement across the overall evaluation. Improvements in emotional functions were also evident after each session and at the end of the study. It is important to note that both motor and emotional changes disappeared 2 months after completion of the therapy.</w:t>
      </w:r>
    </w:p>
    <w:p>
      <w:pPr>
        <w:spacing w:after="0" w:line="18"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2"/>
          <w:szCs w:val="22"/>
          <w:color w:val="auto"/>
        </w:rPr>
        <w:t>We hypothesized that active theater, which shares some features with active music therapy (e.g., the combination of movements and stimulation of different sensory pathways, emotional involvement), might have a stronger effect than music because of the special features required by this discipline. In order to be able to impersonate a character, patients need to control their bodies and minds carefully. In other words, patients have to be aware of and control each movement they produce and, at the same time, they also have to represent their character‟s emotions, i.e., they need to be able to feel and reproduce his/her feelings. In addition, both during the performance and off the set, patients have to interact continuously, so they are forced to socialize. The strict coupling between motor control and ability to manage social situations makes theater an ideal playground to motivate patients deeply. In turn, this might allow a more stable improvement of clinical disability and QoL (primary end points) of PD patients. We compared the effect of theater therapy with physiotherapy, the most common among the nonpharmacological treatments for PD[3].</w:t>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2302</w:t>
      </w:r>
    </w:p>
    <w:p>
      <w:pPr>
        <w:sectPr>
          <w:pgSz w:w="12240" w:h="15840" w:orient="portrait"/>
          <w:cols w:equalWidth="0" w:num="1">
            <w:col w:w="9360"/>
          </w:cols>
          <w:pgMar w:left="1440" w:top="426" w:right="1440" w:bottom="196" w:gutter="0" w:footer="0" w:header="0"/>
        </w:sectPr>
      </w:pPr>
    </w:p>
    <w:bookmarkStart w:id="2" w:name="page3"/>
    <w:bookmarkEnd w:id="2"/>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MATERIALS AND METHODS</w:t>
      </w:r>
    </w:p>
    <w:p>
      <w:pPr>
        <w:spacing w:after="0" w:line="240"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Subjects</w:t>
      </w:r>
    </w:p>
    <w:p>
      <w:pPr>
        <w:spacing w:after="0" w:line="249"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2"/>
          <w:szCs w:val="22"/>
          <w:color w:val="auto"/>
        </w:rPr>
        <w:t>We selected 24 patients from the outpatients of the Parkinson‟s unit of IRCCS Neuromed Hospital (Italy). Criteria for including PD patients were: (1) being affected by a moderate form of idiopathic PD (Hoehn &amp; Yahr stage 2–4), (2) being in stable treatment with L-dopa and L-dopa agonists, (3) not having severe sensory (visual or auditory) deficits, and (4) not having severe movement dysfunctions.</w:t>
      </w:r>
    </w:p>
    <w:p>
      <w:pPr>
        <w:spacing w:after="0" w:line="14"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Throughout the entire course of the study, patients were allowed to continue taking their dopaminergic therapy, consisting of L-dopa alone or in association with dopamine agonists. Whenever necessary, the drug therapies were modified and optimized according to the patient‟s clinical progress. The assumption of antidepressant or hypnotic agents was not systematically controlled, but at the end of the study, they were equally distributed between the two groups.</w:t>
      </w:r>
    </w:p>
    <w:p>
      <w:pPr>
        <w:spacing w:after="0" w:line="16" w:lineRule="exact"/>
        <w:rPr>
          <w:sz w:val="20"/>
          <w:szCs w:val="20"/>
          <w:color w:val="auto"/>
        </w:rPr>
      </w:pPr>
    </w:p>
    <w:p>
      <w:pPr>
        <w:jc w:val="both"/>
        <w:ind w:firstLine="360"/>
        <w:spacing w:after="0" w:line="251" w:lineRule="auto"/>
        <w:rPr>
          <w:sz w:val="20"/>
          <w:szCs w:val="20"/>
          <w:color w:val="auto"/>
        </w:rPr>
      </w:pPr>
      <w:r>
        <w:rPr>
          <w:rFonts w:ascii="Times New Roman" w:cs="Times New Roman" w:eastAsia="Times New Roman" w:hAnsi="Times New Roman"/>
          <w:sz w:val="21"/>
          <w:szCs w:val="21"/>
          <w:color w:val="auto"/>
        </w:rPr>
        <w:t>Twelve patients were randomly assigned to a theater workshop rehabilitation program (</w:t>
      </w:r>
      <w:r>
        <w:rPr>
          <w:rFonts w:ascii="Times New Roman" w:cs="Times New Roman" w:eastAsia="Times New Roman" w:hAnsi="Times New Roman"/>
          <w:sz w:val="21"/>
          <w:szCs w:val="21"/>
          <w:i w:val="1"/>
          <w:iCs w:val="1"/>
          <w:color w:val="auto"/>
        </w:rPr>
        <w:t>theater group</w:t>
      </w:r>
      <w:r>
        <w:rPr>
          <w:rFonts w:ascii="Times New Roman" w:cs="Times New Roman" w:eastAsia="Times New Roman" w:hAnsi="Times New Roman"/>
          <w:sz w:val="21"/>
          <w:szCs w:val="21"/>
          <w:color w:val="auto"/>
        </w:rPr>
        <w:t>), while the other 12 underwent a standard rehabilitation therapy based on physiotherapy (</w:t>
      </w:r>
      <w:r>
        <w:rPr>
          <w:rFonts w:ascii="Times New Roman" w:cs="Times New Roman" w:eastAsia="Times New Roman" w:hAnsi="Times New Roman"/>
          <w:sz w:val="21"/>
          <w:szCs w:val="21"/>
          <w:i w:val="1"/>
          <w:iCs w:val="1"/>
          <w:color w:val="auto"/>
        </w:rPr>
        <w:t>control group</w:t>
      </w:r>
      <w:r>
        <w:rPr>
          <w:rFonts w:ascii="Times New Roman" w:cs="Times New Roman" w:eastAsia="Times New Roman" w:hAnsi="Times New Roman"/>
          <w:sz w:val="21"/>
          <w:szCs w:val="21"/>
          <w:color w:val="auto"/>
        </w:rPr>
        <w:t>). To assign a patient to a group, we adopted the following procedure. First, we matched patients two by two for age, sex, years from the PD diagnosis, and pharmacological treatments in the best possible way. Second, exploiting a computer routine implemented in MATLAB (The Mathworks, Inc., Natick, MA), we randomly assigned one member of the 12 pairs to one group. Importantly, patients knew that they were taking part in a study but, in order to prevent complaints, we did not tell to the people of one group what the other group was experiencing. None of the patients of the two groups refused to participate.</w:t>
      </w:r>
    </w:p>
    <w:p>
      <w:pPr>
        <w:spacing w:after="0" w:line="3"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2"/>
          <w:szCs w:val="22"/>
          <w:color w:val="auto"/>
        </w:rPr>
        <w:t>All subjects gave their informed consent and were free to withdraw from the study at any time. The general procedures were approved by the local Institutional Ethics Committee and were performed in accordance with the ethical standards laid down in the Declaration of Helsinki of 1964.</w:t>
      </w: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Clinical Assessment</w:t>
      </w:r>
    </w:p>
    <w:p>
      <w:pPr>
        <w:spacing w:after="0" w:line="24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2"/>
          <w:szCs w:val="22"/>
          <w:color w:val="auto"/>
        </w:rPr>
        <w:t>For the entire period of the experiment, 3 years, all patients were monitored twice a month. Four patients (two from the theater group and two from the control group) did not conclude the study because of logistic problems (they changed their home towns following their families). Two patients left the study during the first year and the other two after the second year. Their data are not included in the present study in order to allow the use of repeated-measures designs, but they were in line with those presented in the paper.</w:t>
      </w:r>
    </w:p>
    <w:p>
      <w:pPr>
        <w:spacing w:after="0" w:line="14"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2"/>
          <w:szCs w:val="22"/>
          <w:color w:val="auto"/>
        </w:rPr>
        <w:t>On average, the remaining patients of both groups took part in at least 70–80% of the rehabilitation sessions. All patients underwent a clinical evaluation at the beginning of the monitoring period (T0), after 1 year (T1), 2 years (T2), and 3 years (T3). A neurologist (NM) blinded to the study group evaluated the PD patients. We employed the following five clinical scales. (1) The Unified Parkinson‟s Disease Rating Scale (</w:t>
      </w:r>
      <w:r>
        <w:rPr>
          <w:rFonts w:ascii="Times New Roman" w:cs="Times New Roman" w:eastAsia="Times New Roman" w:hAnsi="Times New Roman"/>
          <w:sz w:val="22"/>
          <w:szCs w:val="22"/>
          <w:i w:val="1"/>
          <w:iCs w:val="1"/>
          <w:color w:val="auto"/>
        </w:rPr>
        <w:t>UPDRS</w:t>
      </w:r>
      <w:r>
        <w:rPr>
          <w:rFonts w:ascii="Times New Roman" w:cs="Times New Roman" w:eastAsia="Times New Roman" w:hAnsi="Times New Roman"/>
          <w:sz w:val="22"/>
          <w:szCs w:val="22"/>
          <w:color w:val="auto"/>
        </w:rPr>
        <w:t>) was used for rating patients‟ mood and cognition (UPDRS1), the activities of daily living (UPDRS2), motor symptoms (UPDRS3), and the complications of the therapy (UPDRS4). (2) The Parkinson‟s Disease Quality of Life Scale (</w:t>
      </w:r>
      <w:r>
        <w:rPr>
          <w:rFonts w:ascii="Times New Roman" w:cs="Times New Roman" w:eastAsia="Times New Roman" w:hAnsi="Times New Roman"/>
          <w:sz w:val="22"/>
          <w:szCs w:val="22"/>
          <w:i w:val="1"/>
          <w:iCs w:val="1"/>
          <w:color w:val="auto"/>
        </w:rPr>
        <w:t>PDQ39</w:t>
      </w:r>
      <w:r>
        <w:rPr>
          <w:rFonts w:ascii="Times New Roman" w:cs="Times New Roman" w:eastAsia="Times New Roman" w:hAnsi="Times New Roman"/>
          <w:sz w:val="22"/>
          <w:szCs w:val="22"/>
          <w:color w:val="auto"/>
        </w:rPr>
        <w:t>) measured the QoL by summoning the scores of its eight subscales (</w:t>
      </w:r>
      <w:r>
        <w:rPr>
          <w:rFonts w:ascii="Times New Roman" w:cs="Times New Roman" w:eastAsia="Times New Roman" w:hAnsi="Times New Roman"/>
          <w:sz w:val="22"/>
          <w:szCs w:val="22"/>
          <w:i w:val="1"/>
          <w:iCs w:val="1"/>
          <w:color w:val="auto"/>
        </w:rPr>
        <w:t>mobility</w:t>
      </w:r>
      <w:r>
        <w:rPr>
          <w:rFonts w:ascii="Times New Roman" w:cs="Times New Roman" w:eastAsia="Times New Roman" w:hAnsi="Times New Roman"/>
          <w:sz w:val="22"/>
          <w:szCs w:val="22"/>
          <w:color w:val="auto"/>
        </w:rPr>
        <w:t>, a</w:t>
      </w:r>
      <w:r>
        <w:rPr>
          <w:rFonts w:ascii="Times New Roman" w:cs="Times New Roman" w:eastAsia="Times New Roman" w:hAnsi="Times New Roman"/>
          <w:sz w:val="22"/>
          <w:szCs w:val="22"/>
          <w:i w:val="1"/>
          <w:iCs w:val="1"/>
          <w:color w:val="auto"/>
        </w:rPr>
        <w:t>ctivities of daily living</w:t>
      </w:r>
      <w:r>
        <w:rPr>
          <w:rFonts w:ascii="Times New Roman" w:cs="Times New Roman" w:eastAsia="Times New Roman" w:hAnsi="Times New Roman"/>
          <w:sz w:val="22"/>
          <w:szCs w:val="22"/>
          <w:color w:val="auto"/>
        </w:rPr>
        <w:t>, e</w:t>
      </w:r>
      <w:r>
        <w:rPr>
          <w:rFonts w:ascii="Times New Roman" w:cs="Times New Roman" w:eastAsia="Times New Roman" w:hAnsi="Times New Roman"/>
          <w:sz w:val="22"/>
          <w:szCs w:val="22"/>
          <w:i w:val="1"/>
          <w:iCs w:val="1"/>
          <w:color w:val="auto"/>
        </w:rPr>
        <w:t>motional well-being</w:t>
      </w:r>
      <w:r>
        <w:rPr>
          <w:rFonts w:ascii="Times New Roman" w:cs="Times New Roman" w:eastAsia="Times New Roman" w:hAnsi="Times New Roman"/>
          <w:sz w:val="22"/>
          <w:szCs w:val="22"/>
          <w:color w:val="auto"/>
        </w:rPr>
        <w:t>, s</w:t>
      </w:r>
      <w:r>
        <w:rPr>
          <w:rFonts w:ascii="Times New Roman" w:cs="Times New Roman" w:eastAsia="Times New Roman" w:hAnsi="Times New Roman"/>
          <w:sz w:val="22"/>
          <w:szCs w:val="22"/>
          <w:i w:val="1"/>
          <w:iCs w:val="1"/>
          <w:color w:val="auto"/>
        </w:rPr>
        <w:t>tigma</w:t>
      </w:r>
      <w:r>
        <w:rPr>
          <w:rFonts w:ascii="Times New Roman" w:cs="Times New Roman" w:eastAsia="Times New Roman" w:hAnsi="Times New Roman"/>
          <w:sz w:val="22"/>
          <w:szCs w:val="22"/>
          <w:color w:val="auto"/>
        </w:rPr>
        <w:t>, s</w:t>
      </w:r>
      <w:r>
        <w:rPr>
          <w:rFonts w:ascii="Times New Roman" w:cs="Times New Roman" w:eastAsia="Times New Roman" w:hAnsi="Times New Roman"/>
          <w:sz w:val="22"/>
          <w:szCs w:val="22"/>
          <w:i w:val="1"/>
          <w:iCs w:val="1"/>
          <w:color w:val="auto"/>
        </w:rPr>
        <w:t>ocial support</w:t>
      </w:r>
      <w:r>
        <w:rPr>
          <w:rFonts w:ascii="Times New Roman" w:cs="Times New Roman" w:eastAsia="Times New Roman" w:hAnsi="Times New Roman"/>
          <w:sz w:val="22"/>
          <w:szCs w:val="22"/>
          <w:color w:val="auto"/>
        </w:rPr>
        <w:t>, c</w:t>
      </w:r>
      <w:r>
        <w:rPr>
          <w:rFonts w:ascii="Times New Roman" w:cs="Times New Roman" w:eastAsia="Times New Roman" w:hAnsi="Times New Roman"/>
          <w:sz w:val="22"/>
          <w:szCs w:val="22"/>
          <w:i w:val="1"/>
          <w:iCs w:val="1"/>
          <w:color w:val="auto"/>
        </w:rPr>
        <w:t>ognition</w:t>
      </w:r>
      <w:r>
        <w:rPr>
          <w:rFonts w:ascii="Times New Roman" w:cs="Times New Roman" w:eastAsia="Times New Roman" w:hAnsi="Times New Roman"/>
          <w:sz w:val="22"/>
          <w:szCs w:val="22"/>
          <w:color w:val="auto"/>
        </w:rPr>
        <w:t>, c</w:t>
      </w:r>
      <w:r>
        <w:rPr>
          <w:rFonts w:ascii="Times New Roman" w:cs="Times New Roman" w:eastAsia="Times New Roman" w:hAnsi="Times New Roman"/>
          <w:sz w:val="22"/>
          <w:szCs w:val="22"/>
          <w:i w:val="1"/>
          <w:iCs w:val="1"/>
          <w:color w:val="auto"/>
        </w:rPr>
        <w:t>ommunication,</w:t>
      </w:r>
      <w:r>
        <w:rPr>
          <w:rFonts w:ascii="Times New Roman" w:cs="Times New Roman" w:eastAsia="Times New Roman" w:hAnsi="Times New Roman"/>
          <w:sz w:val="22"/>
          <w:szCs w:val="22"/>
          <w:color w:val="auto"/>
        </w:rPr>
        <w:t xml:space="preserve"> and </w:t>
      </w:r>
      <w:r>
        <w:rPr>
          <w:rFonts w:ascii="Times New Roman" w:cs="Times New Roman" w:eastAsia="Times New Roman" w:hAnsi="Times New Roman"/>
          <w:sz w:val="22"/>
          <w:szCs w:val="22"/>
          <w:i w:val="1"/>
          <w:iCs w:val="1"/>
          <w:color w:val="auto"/>
        </w:rPr>
        <w:t>bodily discomfort)</w:t>
      </w:r>
      <w:r>
        <w:rPr>
          <w:rFonts w:ascii="Times New Roman" w:cs="Times New Roman" w:eastAsia="Times New Roman" w:hAnsi="Times New Roman"/>
          <w:sz w:val="22"/>
          <w:szCs w:val="22"/>
          <w:color w:val="auto"/>
        </w:rPr>
        <w:t xml:space="preserve">. (3) The </w:t>
      </w:r>
      <w:r>
        <w:rPr>
          <w:rFonts w:ascii="Times New Roman" w:cs="Times New Roman" w:eastAsia="Times New Roman" w:hAnsi="Times New Roman"/>
          <w:sz w:val="22"/>
          <w:szCs w:val="22"/>
          <w:i w:val="1"/>
          <w:iCs w:val="1"/>
          <w:color w:val="auto"/>
        </w:rPr>
        <w:t>Epworth Sleepiness Scale</w:t>
      </w:r>
      <w:r>
        <w:rPr>
          <w:rFonts w:ascii="Times New Roman" w:cs="Times New Roman" w:eastAsia="Times New Roman" w:hAnsi="Times New Roman"/>
          <w:sz w:val="22"/>
          <w:szCs w:val="22"/>
          <w:color w:val="auto"/>
        </w:rPr>
        <w:t xml:space="preserve"> (measuring the level of daytime drowsiness) and (4) the </w:t>
      </w:r>
      <w:r>
        <w:rPr>
          <w:rFonts w:ascii="Times New Roman" w:cs="Times New Roman" w:eastAsia="Times New Roman" w:hAnsi="Times New Roman"/>
          <w:sz w:val="22"/>
          <w:szCs w:val="22"/>
          <w:i w:val="1"/>
          <w:iCs w:val="1"/>
          <w:color w:val="auto"/>
        </w:rPr>
        <w:t>Hamilton Depression Rating Scale</w:t>
      </w:r>
      <w:r>
        <w:rPr>
          <w:rFonts w:ascii="Times New Roman" w:cs="Times New Roman" w:eastAsia="Times New Roman" w:hAnsi="Times New Roman"/>
          <w:sz w:val="22"/>
          <w:szCs w:val="22"/>
          <w:color w:val="auto"/>
        </w:rPr>
        <w:t xml:space="preserve"> (measuring the level of depression) were also used for rating nonmotor symptoms. (5) The </w:t>
      </w:r>
      <w:r>
        <w:rPr>
          <w:rFonts w:ascii="Times New Roman" w:cs="Times New Roman" w:eastAsia="Times New Roman" w:hAnsi="Times New Roman"/>
          <w:sz w:val="22"/>
          <w:szCs w:val="22"/>
          <w:i w:val="1"/>
          <w:iCs w:val="1"/>
          <w:color w:val="auto"/>
        </w:rPr>
        <w:t>Schwab and England Scale</w:t>
      </w:r>
      <w:r>
        <w:rPr>
          <w:rFonts w:ascii="Times New Roman" w:cs="Times New Roman" w:eastAsia="Times New Roman" w:hAnsi="Times New Roman"/>
          <w:sz w:val="22"/>
          <w:szCs w:val="22"/>
          <w:color w:val="auto"/>
        </w:rPr>
        <w:t xml:space="preserve"> was used to assess the degree of functional independence in daily living. We employed several clinical scales because we wanted to assess the overall QoL of patients from different points of view.</w:t>
      </w:r>
    </w:p>
    <w:p>
      <w:pPr>
        <w:spacing w:after="0" w:line="14"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2"/>
          <w:szCs w:val="22"/>
          <w:color w:val="auto"/>
        </w:rPr>
        <w:t>The ratings of all scales were always carried out in their dopaminergic “ON” state. We assessed it by asking each patient and his relatives (1) “What is the amount of the first morning dose that normally allows him/her to reach the best control of symptoms?” and (2) “How long does it take to reach the „ON‟</w:t>
      </w: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2303</w:t>
      </w:r>
    </w:p>
    <w:p>
      <w:pPr>
        <w:sectPr>
          <w:pgSz w:w="12240" w:h="15840" w:orient="portrait"/>
          <w:cols w:equalWidth="0" w:num="1">
            <w:col w:w="9360"/>
          </w:cols>
          <w:pgMar w:left="1440" w:top="426" w:right="1440" w:bottom="196" w:gutter="0" w:footer="0" w:header="0"/>
        </w:sectPr>
      </w:pPr>
    </w:p>
    <w:bookmarkStart w:id="3" w:name="page4"/>
    <w:bookmarkEnd w:id="3"/>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2"/>
          <w:szCs w:val="22"/>
          <w:color w:val="auto"/>
        </w:rPr>
        <w:t>state?” As a result, patients were rated 30–60 min after the administration of a dose of L-dopa ranging from 100 to 200 mg.</w:t>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Physiotherapy</w:t>
      </w:r>
    </w:p>
    <w:p>
      <w:pPr>
        <w:spacing w:after="0" w:line="249" w:lineRule="exact"/>
        <w:rPr>
          <w:sz w:val="20"/>
          <w:szCs w:val="20"/>
          <w:color w:val="auto"/>
        </w:rPr>
      </w:pPr>
    </w:p>
    <w:p>
      <w:pPr>
        <w:jc w:val="both"/>
        <w:spacing w:after="0" w:line="237" w:lineRule="auto"/>
        <w:rPr>
          <w:sz w:val="20"/>
          <w:szCs w:val="20"/>
          <w:color w:val="auto"/>
        </w:rPr>
      </w:pPr>
      <w:r>
        <w:rPr>
          <w:rFonts w:ascii="Times New Roman" w:cs="Times New Roman" w:eastAsia="Times New Roman" w:hAnsi="Times New Roman"/>
          <w:sz w:val="22"/>
          <w:szCs w:val="22"/>
          <w:color w:val="auto"/>
        </w:rPr>
        <w:t>Physiotherapy consisted of individual 2- to 3-h daily sessions, 3 days/week (~18 h/month), for 3 years, with two physiotherapists. Aims of this therapy were: preventing osteoarticular rigidity, muscular contractures, and atrophies; grading postural abnormalities; promoting postural reactions; promoting postural changes; training balance and gait; and increasing tolerance to the physical exercise (for more details see Table 1).</w:t>
      </w: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TABLE 1</w:t>
      </w:r>
    </w:p>
    <w:p>
      <w:pPr>
        <w:spacing w:after="0" w:line="1"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Exercises Included in the Physiotherapy Rehabilitation Program</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157480</wp:posOffset>
                </wp:positionV>
                <wp:extent cx="594487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870"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4pt" to="468.1pt,12.4pt" o:allowincell="f" strokecolor="#000000" strokeweight="0.2399pt"/>
            </w:pict>
          </mc:Fallback>
        </mc:AlternateContent>
      </w:r>
    </w:p>
    <w:p>
      <w:pPr>
        <w:spacing w:after="0" w:line="345"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2800" w:type="dxa"/>
            <w:vAlign w:val="bottom"/>
          </w:tcPr>
          <w:p>
            <w:pPr>
              <w:ind w:left="100"/>
              <w:spacing w:after="0"/>
              <w:rPr>
                <w:sz w:val="20"/>
                <w:szCs w:val="20"/>
                <w:color w:val="auto"/>
              </w:rPr>
            </w:pPr>
            <w:r>
              <w:rPr>
                <w:rFonts w:ascii="Arial" w:cs="Arial" w:eastAsia="Arial" w:hAnsi="Arial"/>
                <w:sz w:val="20"/>
                <w:szCs w:val="20"/>
                <w:b w:val="1"/>
                <w:bCs w:val="1"/>
                <w:color w:val="auto"/>
              </w:rPr>
              <w:t>Activities</w:t>
            </w:r>
          </w:p>
        </w:tc>
        <w:tc>
          <w:tcPr>
            <w:tcW w:w="6560" w:type="dxa"/>
            <w:vAlign w:val="bottom"/>
          </w:tcPr>
          <w:p>
            <w:pPr>
              <w:ind w:left="2520"/>
              <w:spacing w:after="0"/>
              <w:rPr>
                <w:sz w:val="20"/>
                <w:szCs w:val="20"/>
                <w:color w:val="auto"/>
              </w:rPr>
            </w:pPr>
            <w:r>
              <w:rPr>
                <w:rFonts w:ascii="Arial" w:cs="Arial" w:eastAsia="Arial" w:hAnsi="Arial"/>
                <w:sz w:val="20"/>
                <w:szCs w:val="20"/>
                <w:b w:val="1"/>
                <w:bCs w:val="1"/>
                <w:color w:val="auto"/>
              </w:rPr>
              <w:t>Basic Exercises*</w:t>
            </w:r>
          </w:p>
        </w:tc>
      </w:tr>
      <w:tr>
        <w:trPr>
          <w:trHeight w:val="126"/>
        </w:trPr>
        <w:tc>
          <w:tcPr>
            <w:tcW w:w="2800" w:type="dxa"/>
            <w:vAlign w:val="bottom"/>
            <w:tcBorders>
              <w:bottom w:val="single" w:sz="8" w:color="auto"/>
            </w:tcBorders>
          </w:tcPr>
          <w:p>
            <w:pPr>
              <w:spacing w:after="0"/>
              <w:rPr>
                <w:sz w:val="10"/>
                <w:szCs w:val="10"/>
                <w:color w:val="auto"/>
              </w:rPr>
            </w:pPr>
          </w:p>
        </w:tc>
        <w:tc>
          <w:tcPr>
            <w:tcW w:w="6560" w:type="dxa"/>
            <w:vAlign w:val="bottom"/>
            <w:tcBorders>
              <w:bottom w:val="single" w:sz="8" w:color="auto"/>
            </w:tcBorders>
          </w:tcPr>
          <w:p>
            <w:pPr>
              <w:spacing w:after="0"/>
              <w:rPr>
                <w:sz w:val="10"/>
                <w:szCs w:val="10"/>
                <w:color w:val="auto"/>
              </w:rPr>
            </w:pPr>
          </w:p>
        </w:tc>
      </w:tr>
      <w:tr>
        <w:trPr>
          <w:trHeight w:val="235"/>
        </w:trPr>
        <w:tc>
          <w:tcPr>
            <w:tcW w:w="2800" w:type="dxa"/>
            <w:vAlign w:val="bottom"/>
          </w:tcPr>
          <w:p>
            <w:pPr>
              <w:ind w:left="100"/>
              <w:spacing w:after="0"/>
              <w:rPr>
                <w:sz w:val="20"/>
                <w:szCs w:val="20"/>
                <w:color w:val="auto"/>
              </w:rPr>
            </w:pPr>
            <w:r>
              <w:rPr>
                <w:rFonts w:ascii="Arial" w:cs="Arial" w:eastAsia="Arial" w:hAnsi="Arial"/>
                <w:sz w:val="17"/>
                <w:szCs w:val="17"/>
                <w:color w:val="auto"/>
              </w:rPr>
              <w:t>Cardiovascular warm up (10 min)</w:t>
            </w:r>
          </w:p>
        </w:tc>
        <w:tc>
          <w:tcPr>
            <w:tcW w:w="6560" w:type="dxa"/>
            <w:vAlign w:val="bottom"/>
          </w:tcPr>
          <w:p>
            <w:pPr>
              <w:ind w:left="180"/>
              <w:spacing w:after="0"/>
              <w:rPr>
                <w:sz w:val="20"/>
                <w:szCs w:val="20"/>
                <w:color w:val="auto"/>
              </w:rPr>
            </w:pPr>
            <w:r>
              <w:rPr>
                <w:rFonts w:ascii="Arial" w:cs="Arial" w:eastAsia="Arial" w:hAnsi="Arial"/>
                <w:sz w:val="17"/>
                <w:szCs w:val="17"/>
                <w:color w:val="auto"/>
              </w:rPr>
              <w:t>Intersegmental coordination exercises</w:t>
            </w:r>
          </w:p>
        </w:tc>
      </w:tr>
      <w:tr>
        <w:trPr>
          <w:trHeight w:val="257"/>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Exercises to release shoulder and pelvic girdle</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Pelvic anteversion and retroversion movements to stimulate diaphragmatic</w:t>
            </w:r>
          </w:p>
        </w:tc>
      </w:tr>
      <w:tr>
        <w:trPr>
          <w:trHeight w:val="197"/>
        </w:trPr>
        <w:tc>
          <w:tcPr>
            <w:tcW w:w="2800" w:type="dxa"/>
            <w:vAlign w:val="bottom"/>
          </w:tcPr>
          <w:p>
            <w:pPr>
              <w:spacing w:after="0"/>
              <w:rPr>
                <w:sz w:val="17"/>
                <w:szCs w:val="17"/>
                <w:color w:val="auto"/>
              </w:rPr>
            </w:pPr>
          </w:p>
        </w:tc>
        <w:tc>
          <w:tcPr>
            <w:tcW w:w="6560" w:type="dxa"/>
            <w:vAlign w:val="bottom"/>
          </w:tcPr>
          <w:p>
            <w:pPr>
              <w:ind w:left="340"/>
              <w:spacing w:after="0"/>
              <w:rPr>
                <w:sz w:val="20"/>
                <w:szCs w:val="20"/>
                <w:color w:val="auto"/>
              </w:rPr>
            </w:pPr>
            <w:r>
              <w:rPr>
                <w:rFonts w:ascii="Arial" w:cs="Arial" w:eastAsia="Arial" w:hAnsi="Arial"/>
                <w:sz w:val="17"/>
                <w:szCs w:val="17"/>
                <w:color w:val="auto"/>
              </w:rPr>
              <w:t>respiration (supine position)</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Breathing exercises to promote expansion of the chest</w:t>
            </w:r>
          </w:p>
        </w:tc>
      </w:tr>
      <w:tr>
        <w:trPr>
          <w:trHeight w:val="257"/>
        </w:trPr>
        <w:tc>
          <w:tcPr>
            <w:tcW w:w="2800" w:type="dxa"/>
            <w:vAlign w:val="bottom"/>
          </w:tcPr>
          <w:p>
            <w:pPr>
              <w:ind w:left="100"/>
              <w:spacing w:after="0"/>
              <w:rPr>
                <w:sz w:val="20"/>
                <w:szCs w:val="20"/>
                <w:color w:val="auto"/>
              </w:rPr>
            </w:pPr>
            <w:r>
              <w:rPr>
                <w:rFonts w:ascii="Arial" w:cs="Arial" w:eastAsia="Arial" w:hAnsi="Arial"/>
                <w:sz w:val="17"/>
                <w:szCs w:val="17"/>
                <w:color w:val="auto"/>
              </w:rPr>
              <w:t>Stretching exercises (15 min)</w:t>
            </w:r>
          </w:p>
        </w:tc>
        <w:tc>
          <w:tcPr>
            <w:tcW w:w="6560" w:type="dxa"/>
            <w:vAlign w:val="bottom"/>
          </w:tcPr>
          <w:p>
            <w:pPr>
              <w:ind w:left="180"/>
              <w:spacing w:after="0"/>
              <w:rPr>
                <w:sz w:val="20"/>
                <w:szCs w:val="20"/>
                <w:color w:val="auto"/>
              </w:rPr>
            </w:pPr>
            <w:r>
              <w:rPr>
                <w:rFonts w:ascii="Arial" w:cs="Arial" w:eastAsia="Arial" w:hAnsi="Arial"/>
                <w:sz w:val="17"/>
                <w:szCs w:val="17"/>
                <w:color w:val="auto"/>
              </w:rPr>
              <w:t>Exercises to stretch the muscles of the posterior kinematic chain</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Exercises to stretch the pectoralis muscles</w:t>
            </w:r>
          </w:p>
        </w:tc>
      </w:tr>
      <w:tr>
        <w:trPr>
          <w:trHeight w:val="257"/>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Exercises to stretch the ischio-cruralis muscles</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Assumption of the prone position, sitting on heels and stretching the arms out in</w:t>
            </w:r>
          </w:p>
        </w:tc>
      </w:tr>
      <w:tr>
        <w:trPr>
          <w:trHeight w:val="197"/>
        </w:trPr>
        <w:tc>
          <w:tcPr>
            <w:tcW w:w="2800" w:type="dxa"/>
            <w:vAlign w:val="bottom"/>
          </w:tcPr>
          <w:p>
            <w:pPr>
              <w:spacing w:after="0"/>
              <w:rPr>
                <w:sz w:val="17"/>
                <w:szCs w:val="17"/>
                <w:color w:val="auto"/>
              </w:rPr>
            </w:pPr>
          </w:p>
        </w:tc>
        <w:tc>
          <w:tcPr>
            <w:tcW w:w="6560" w:type="dxa"/>
            <w:vAlign w:val="bottom"/>
          </w:tcPr>
          <w:p>
            <w:pPr>
              <w:ind w:left="340"/>
              <w:spacing w:after="0"/>
              <w:rPr>
                <w:sz w:val="20"/>
                <w:szCs w:val="20"/>
                <w:color w:val="auto"/>
              </w:rPr>
            </w:pPr>
            <w:r>
              <w:rPr>
                <w:rFonts w:ascii="Arial" w:cs="Arial" w:eastAsia="Arial" w:hAnsi="Arial"/>
                <w:sz w:val="17"/>
                <w:szCs w:val="17"/>
                <w:color w:val="auto"/>
              </w:rPr>
              <w:t>front</w:t>
            </w:r>
          </w:p>
        </w:tc>
      </w:tr>
      <w:tr>
        <w:trPr>
          <w:trHeight w:val="255"/>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Exercises to stretch lumbar muscles (in the supine position, each knee, in turn, is</w:t>
            </w:r>
          </w:p>
        </w:tc>
      </w:tr>
      <w:tr>
        <w:trPr>
          <w:trHeight w:val="194"/>
        </w:trPr>
        <w:tc>
          <w:tcPr>
            <w:tcW w:w="2800" w:type="dxa"/>
            <w:vAlign w:val="bottom"/>
          </w:tcPr>
          <w:p>
            <w:pPr>
              <w:spacing w:after="0"/>
              <w:rPr>
                <w:sz w:val="16"/>
                <w:szCs w:val="16"/>
                <w:color w:val="auto"/>
              </w:rPr>
            </w:pPr>
          </w:p>
        </w:tc>
        <w:tc>
          <w:tcPr>
            <w:tcW w:w="6560" w:type="dxa"/>
            <w:vAlign w:val="bottom"/>
          </w:tcPr>
          <w:p>
            <w:pPr>
              <w:ind w:left="340"/>
              <w:spacing w:after="0" w:line="194" w:lineRule="exact"/>
              <w:rPr>
                <w:sz w:val="20"/>
                <w:szCs w:val="20"/>
                <w:color w:val="auto"/>
              </w:rPr>
            </w:pPr>
            <w:r>
              <w:rPr>
                <w:rFonts w:ascii="Arial" w:cs="Arial" w:eastAsia="Arial" w:hAnsi="Arial"/>
                <w:sz w:val="17"/>
                <w:szCs w:val="17"/>
                <w:color w:val="auto"/>
              </w:rPr>
              <w:t>brought to the chest)</w:t>
            </w:r>
          </w:p>
        </w:tc>
      </w:tr>
      <w:tr>
        <w:trPr>
          <w:trHeight w:val="257"/>
        </w:trPr>
        <w:tc>
          <w:tcPr>
            <w:tcW w:w="2800" w:type="dxa"/>
            <w:vAlign w:val="bottom"/>
          </w:tcPr>
          <w:p>
            <w:pPr>
              <w:ind w:left="100"/>
              <w:spacing w:after="0"/>
              <w:rPr>
                <w:sz w:val="20"/>
                <w:szCs w:val="20"/>
                <w:color w:val="auto"/>
              </w:rPr>
            </w:pPr>
            <w:r>
              <w:rPr>
                <w:rFonts w:ascii="Arial" w:cs="Arial" w:eastAsia="Arial" w:hAnsi="Arial"/>
                <w:sz w:val="17"/>
                <w:szCs w:val="17"/>
                <w:color w:val="auto"/>
              </w:rPr>
              <w:t>Postural exercises (15 min)</w:t>
            </w:r>
          </w:p>
        </w:tc>
        <w:tc>
          <w:tcPr>
            <w:tcW w:w="6560" w:type="dxa"/>
            <w:vAlign w:val="bottom"/>
          </w:tcPr>
          <w:p>
            <w:pPr>
              <w:ind w:left="180"/>
              <w:spacing w:after="0"/>
              <w:rPr>
                <w:sz w:val="20"/>
                <w:szCs w:val="20"/>
                <w:color w:val="auto"/>
              </w:rPr>
            </w:pPr>
            <w:r>
              <w:rPr>
                <w:rFonts w:ascii="Arial" w:cs="Arial" w:eastAsia="Arial" w:hAnsi="Arial"/>
                <w:sz w:val="17"/>
                <w:szCs w:val="17"/>
                <w:color w:val="auto"/>
              </w:rPr>
              <w:t>Anterior and lateral flexion, extension and rotation of the trunk in standing position,</w:t>
            </w:r>
          </w:p>
        </w:tc>
      </w:tr>
      <w:tr>
        <w:trPr>
          <w:trHeight w:val="194"/>
        </w:trPr>
        <w:tc>
          <w:tcPr>
            <w:tcW w:w="2800" w:type="dxa"/>
            <w:vAlign w:val="bottom"/>
          </w:tcPr>
          <w:p>
            <w:pPr>
              <w:spacing w:after="0"/>
              <w:rPr>
                <w:sz w:val="16"/>
                <w:szCs w:val="16"/>
                <w:color w:val="auto"/>
              </w:rPr>
            </w:pPr>
          </w:p>
        </w:tc>
        <w:tc>
          <w:tcPr>
            <w:tcW w:w="6560" w:type="dxa"/>
            <w:vAlign w:val="bottom"/>
          </w:tcPr>
          <w:p>
            <w:pPr>
              <w:ind w:left="340"/>
              <w:spacing w:after="0" w:line="194" w:lineRule="exact"/>
              <w:rPr>
                <w:sz w:val="20"/>
                <w:szCs w:val="20"/>
                <w:color w:val="auto"/>
              </w:rPr>
            </w:pPr>
            <w:r>
              <w:rPr>
                <w:rFonts w:ascii="Arial" w:cs="Arial" w:eastAsia="Arial" w:hAnsi="Arial"/>
                <w:sz w:val="17"/>
                <w:szCs w:val="17"/>
                <w:color w:val="auto"/>
              </w:rPr>
              <w:t>to promote spinal column mobilization</w:t>
            </w:r>
          </w:p>
        </w:tc>
      </w:tr>
      <w:tr>
        <w:trPr>
          <w:trHeight w:val="257"/>
        </w:trPr>
        <w:tc>
          <w:tcPr>
            <w:tcW w:w="2800" w:type="dxa"/>
            <w:vAlign w:val="bottom"/>
          </w:tcPr>
          <w:p>
            <w:pPr>
              <w:ind w:left="100"/>
              <w:spacing w:after="0"/>
              <w:rPr>
                <w:sz w:val="20"/>
                <w:szCs w:val="20"/>
                <w:color w:val="auto"/>
              </w:rPr>
            </w:pPr>
            <w:r>
              <w:rPr>
                <w:rFonts w:ascii="Arial" w:cs="Arial" w:eastAsia="Arial" w:hAnsi="Arial"/>
                <w:sz w:val="17"/>
                <w:szCs w:val="17"/>
                <w:color w:val="auto"/>
              </w:rPr>
              <w:t>Overground gait training (20 min)</w:t>
            </w:r>
          </w:p>
        </w:tc>
        <w:tc>
          <w:tcPr>
            <w:tcW w:w="6560" w:type="dxa"/>
            <w:vAlign w:val="bottom"/>
          </w:tcPr>
          <w:p>
            <w:pPr>
              <w:ind w:left="180"/>
              <w:spacing w:after="0"/>
              <w:rPr>
                <w:sz w:val="20"/>
                <w:szCs w:val="20"/>
                <w:color w:val="auto"/>
              </w:rPr>
            </w:pPr>
            <w:r>
              <w:rPr>
                <w:rFonts w:ascii="Arial" w:cs="Arial" w:eastAsia="Arial" w:hAnsi="Arial"/>
                <w:sz w:val="17"/>
                <w:szCs w:val="17"/>
                <w:color w:val="auto"/>
              </w:rPr>
              <w:t>Overground gait training (forwards, backwards, and lateral)</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Walking on the spot</w:t>
            </w:r>
          </w:p>
        </w:tc>
      </w:tr>
      <w:tr>
        <w:trPr>
          <w:trHeight w:val="257"/>
        </w:trPr>
        <w:tc>
          <w:tcPr>
            <w:tcW w:w="2800" w:type="dxa"/>
            <w:vAlign w:val="bottom"/>
          </w:tcPr>
          <w:p>
            <w:pPr>
              <w:ind w:left="100"/>
              <w:spacing w:after="0"/>
              <w:rPr>
                <w:sz w:val="20"/>
                <w:szCs w:val="20"/>
                <w:color w:val="auto"/>
              </w:rPr>
            </w:pPr>
            <w:r>
              <w:rPr>
                <w:rFonts w:ascii="Arial" w:cs="Arial" w:eastAsia="Arial" w:hAnsi="Arial"/>
                <w:sz w:val="17"/>
                <w:szCs w:val="17"/>
                <w:color w:val="auto"/>
              </w:rPr>
              <w:t>Balance training (15 min)</w:t>
            </w:r>
          </w:p>
        </w:tc>
        <w:tc>
          <w:tcPr>
            <w:tcW w:w="6560" w:type="dxa"/>
            <w:vAlign w:val="bottom"/>
          </w:tcPr>
          <w:p>
            <w:pPr>
              <w:ind w:left="180"/>
              <w:spacing w:after="0"/>
              <w:rPr>
                <w:sz w:val="20"/>
                <w:szCs w:val="20"/>
                <w:color w:val="auto"/>
              </w:rPr>
            </w:pPr>
            <w:r>
              <w:rPr>
                <w:rFonts w:ascii="Arial" w:cs="Arial" w:eastAsia="Arial" w:hAnsi="Arial"/>
                <w:sz w:val="17"/>
                <w:szCs w:val="17"/>
                <w:color w:val="auto"/>
              </w:rPr>
              <w:t>Path with obstacles</w:t>
            </w:r>
          </w:p>
        </w:tc>
      </w:tr>
      <w:tr>
        <w:trPr>
          <w:trHeight w:val="254"/>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Balance exercises performed in order of difficulty:</w:t>
            </w:r>
          </w:p>
        </w:tc>
      </w:tr>
      <w:tr>
        <w:trPr>
          <w:trHeight w:val="257"/>
        </w:trPr>
        <w:tc>
          <w:tcPr>
            <w:tcW w:w="2800" w:type="dxa"/>
            <w:vAlign w:val="bottom"/>
          </w:tcPr>
          <w:p>
            <w:pPr>
              <w:spacing w:after="0"/>
              <w:rPr>
                <w:sz w:val="22"/>
                <w:szCs w:val="22"/>
                <w:color w:val="auto"/>
              </w:rPr>
            </w:pPr>
          </w:p>
        </w:tc>
        <w:tc>
          <w:tcPr>
            <w:tcW w:w="6560" w:type="dxa"/>
            <w:vAlign w:val="bottom"/>
          </w:tcPr>
          <w:p>
            <w:pPr>
              <w:ind w:left="340"/>
              <w:spacing w:after="0"/>
              <w:rPr>
                <w:sz w:val="20"/>
                <w:szCs w:val="20"/>
                <w:color w:val="auto"/>
              </w:rPr>
            </w:pPr>
            <w:r>
              <w:rPr>
                <w:rFonts w:ascii="Arial" w:cs="Arial" w:eastAsia="Arial" w:hAnsi="Arial"/>
                <w:sz w:val="17"/>
                <w:szCs w:val="17"/>
                <w:color w:val="auto"/>
              </w:rPr>
              <w:t>Heel-to-toe walking</w:t>
            </w:r>
          </w:p>
        </w:tc>
      </w:tr>
      <w:tr>
        <w:trPr>
          <w:trHeight w:val="254"/>
        </w:trPr>
        <w:tc>
          <w:tcPr>
            <w:tcW w:w="2800" w:type="dxa"/>
            <w:vAlign w:val="bottom"/>
          </w:tcPr>
          <w:p>
            <w:pPr>
              <w:spacing w:after="0"/>
              <w:rPr>
                <w:sz w:val="22"/>
                <w:szCs w:val="22"/>
                <w:color w:val="auto"/>
              </w:rPr>
            </w:pPr>
          </w:p>
        </w:tc>
        <w:tc>
          <w:tcPr>
            <w:tcW w:w="6560" w:type="dxa"/>
            <w:vAlign w:val="bottom"/>
          </w:tcPr>
          <w:p>
            <w:pPr>
              <w:ind w:left="340"/>
              <w:spacing w:after="0"/>
              <w:rPr>
                <w:sz w:val="20"/>
                <w:szCs w:val="20"/>
                <w:color w:val="auto"/>
              </w:rPr>
            </w:pPr>
            <w:r>
              <w:rPr>
                <w:rFonts w:ascii="Arial" w:cs="Arial" w:eastAsia="Arial" w:hAnsi="Arial"/>
                <w:sz w:val="17"/>
                <w:szCs w:val="17"/>
                <w:color w:val="auto"/>
              </w:rPr>
              <w:t>Lateral walking, crossing the legs</w:t>
            </w:r>
          </w:p>
        </w:tc>
      </w:tr>
      <w:tr>
        <w:trPr>
          <w:trHeight w:val="257"/>
        </w:trPr>
        <w:tc>
          <w:tcPr>
            <w:tcW w:w="2800" w:type="dxa"/>
            <w:vAlign w:val="bottom"/>
          </w:tcPr>
          <w:p>
            <w:pPr>
              <w:spacing w:after="0"/>
              <w:rPr>
                <w:sz w:val="22"/>
                <w:szCs w:val="22"/>
                <w:color w:val="auto"/>
              </w:rPr>
            </w:pPr>
          </w:p>
        </w:tc>
        <w:tc>
          <w:tcPr>
            <w:tcW w:w="6560" w:type="dxa"/>
            <w:vAlign w:val="bottom"/>
          </w:tcPr>
          <w:p>
            <w:pPr>
              <w:ind w:left="340"/>
              <w:spacing w:after="0"/>
              <w:rPr>
                <w:sz w:val="20"/>
                <w:szCs w:val="20"/>
                <w:color w:val="auto"/>
              </w:rPr>
            </w:pPr>
            <w:r>
              <w:rPr>
                <w:rFonts w:ascii="Arial" w:cs="Arial" w:eastAsia="Arial" w:hAnsi="Arial"/>
                <w:sz w:val="17"/>
                <w:szCs w:val="17"/>
                <w:color w:val="auto"/>
              </w:rPr>
              <w:t>Walking along a path on surfaces of different texture (foam mats, mats containing</w:t>
            </w:r>
          </w:p>
        </w:tc>
      </w:tr>
      <w:tr>
        <w:trPr>
          <w:trHeight w:val="194"/>
        </w:trPr>
        <w:tc>
          <w:tcPr>
            <w:tcW w:w="2800" w:type="dxa"/>
            <w:vAlign w:val="bottom"/>
          </w:tcPr>
          <w:p>
            <w:pPr>
              <w:spacing w:after="0"/>
              <w:rPr>
                <w:sz w:val="16"/>
                <w:szCs w:val="16"/>
                <w:color w:val="auto"/>
              </w:rPr>
            </w:pPr>
          </w:p>
        </w:tc>
        <w:tc>
          <w:tcPr>
            <w:tcW w:w="6560" w:type="dxa"/>
            <w:vAlign w:val="bottom"/>
          </w:tcPr>
          <w:p>
            <w:pPr>
              <w:ind w:left="480"/>
              <w:spacing w:after="0" w:line="194" w:lineRule="exact"/>
              <w:rPr>
                <w:sz w:val="20"/>
                <w:szCs w:val="20"/>
                <w:color w:val="auto"/>
              </w:rPr>
            </w:pPr>
            <w:r>
              <w:rPr>
                <w:rFonts w:ascii="Arial" w:cs="Arial" w:eastAsia="Arial" w:hAnsi="Arial"/>
                <w:sz w:val="17"/>
                <w:szCs w:val="17"/>
                <w:color w:val="auto"/>
              </w:rPr>
              <w:t>sand, etc.)</w:t>
            </w:r>
          </w:p>
        </w:tc>
      </w:tr>
      <w:tr>
        <w:trPr>
          <w:trHeight w:val="254"/>
        </w:trPr>
        <w:tc>
          <w:tcPr>
            <w:tcW w:w="2800" w:type="dxa"/>
            <w:vAlign w:val="bottom"/>
          </w:tcPr>
          <w:p>
            <w:pPr>
              <w:ind w:left="100"/>
              <w:spacing w:after="0"/>
              <w:rPr>
                <w:sz w:val="20"/>
                <w:szCs w:val="20"/>
                <w:color w:val="auto"/>
              </w:rPr>
            </w:pPr>
            <w:r>
              <w:rPr>
                <w:rFonts w:ascii="Arial" w:cs="Arial" w:eastAsia="Arial" w:hAnsi="Arial"/>
                <w:sz w:val="17"/>
                <w:szCs w:val="17"/>
                <w:color w:val="auto"/>
              </w:rPr>
              <w:t>Relaxation exercises (15 min)</w:t>
            </w:r>
          </w:p>
        </w:tc>
        <w:tc>
          <w:tcPr>
            <w:tcW w:w="6560" w:type="dxa"/>
            <w:vAlign w:val="bottom"/>
          </w:tcPr>
          <w:p>
            <w:pPr>
              <w:ind w:left="180"/>
              <w:spacing w:after="0"/>
              <w:rPr>
                <w:sz w:val="20"/>
                <w:szCs w:val="20"/>
                <w:color w:val="auto"/>
              </w:rPr>
            </w:pPr>
            <w:r>
              <w:rPr>
                <w:rFonts w:ascii="Arial" w:cs="Arial" w:eastAsia="Arial" w:hAnsi="Arial"/>
                <w:sz w:val="17"/>
                <w:szCs w:val="17"/>
                <w:color w:val="auto"/>
              </w:rPr>
              <w:t>Intersegmental coordination exercises</w:t>
            </w:r>
          </w:p>
        </w:tc>
      </w:tr>
      <w:tr>
        <w:trPr>
          <w:trHeight w:val="257"/>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Segmental passive mobilization (until maximum joint range of motion is reached)</w:t>
            </w:r>
          </w:p>
        </w:tc>
      </w:tr>
      <w:tr>
        <w:trPr>
          <w:trHeight w:val="255"/>
        </w:trPr>
        <w:tc>
          <w:tcPr>
            <w:tcW w:w="2800" w:type="dxa"/>
            <w:vAlign w:val="bottom"/>
          </w:tcPr>
          <w:p>
            <w:pPr>
              <w:spacing w:after="0"/>
              <w:rPr>
                <w:sz w:val="22"/>
                <w:szCs w:val="22"/>
                <w:color w:val="auto"/>
              </w:rPr>
            </w:pPr>
          </w:p>
        </w:tc>
        <w:tc>
          <w:tcPr>
            <w:tcW w:w="6560" w:type="dxa"/>
            <w:vAlign w:val="bottom"/>
          </w:tcPr>
          <w:p>
            <w:pPr>
              <w:ind w:left="180"/>
              <w:spacing w:after="0"/>
              <w:rPr>
                <w:sz w:val="20"/>
                <w:szCs w:val="20"/>
                <w:color w:val="auto"/>
              </w:rPr>
            </w:pPr>
            <w:r>
              <w:rPr>
                <w:rFonts w:ascii="Arial" w:cs="Arial" w:eastAsia="Arial" w:hAnsi="Arial"/>
                <w:sz w:val="17"/>
                <w:szCs w:val="17"/>
                <w:color w:val="auto"/>
              </w:rPr>
              <w:t>Breathing exercises to promote expansion of the chest</w:t>
            </w:r>
          </w:p>
        </w:tc>
      </w:tr>
      <w:tr>
        <w:trPr>
          <w:trHeight w:val="67"/>
        </w:trPr>
        <w:tc>
          <w:tcPr>
            <w:tcW w:w="2800" w:type="dxa"/>
            <w:vAlign w:val="bottom"/>
            <w:tcBorders>
              <w:bottom w:val="single" w:sz="8" w:color="auto"/>
            </w:tcBorders>
          </w:tcPr>
          <w:p>
            <w:pPr>
              <w:spacing w:after="0"/>
              <w:rPr>
                <w:sz w:val="5"/>
                <w:szCs w:val="5"/>
                <w:color w:val="auto"/>
              </w:rPr>
            </w:pPr>
          </w:p>
        </w:tc>
        <w:tc>
          <w:tcPr>
            <w:tcW w:w="6560" w:type="dxa"/>
            <w:vAlign w:val="bottom"/>
            <w:tcBorders>
              <w:bottom w:val="single" w:sz="8" w:color="auto"/>
            </w:tcBorders>
          </w:tcPr>
          <w:p>
            <w:pPr>
              <w:spacing w:after="0"/>
              <w:rPr>
                <w:sz w:val="5"/>
                <w:szCs w:val="5"/>
                <w:color w:val="auto"/>
              </w:rPr>
            </w:pPr>
          </w:p>
        </w:tc>
      </w:tr>
    </w:tbl>
    <w:p>
      <w:pPr>
        <w:spacing w:after="0" w:line="127" w:lineRule="exact"/>
        <w:rPr>
          <w:sz w:val="20"/>
          <w:szCs w:val="20"/>
          <w:color w:val="auto"/>
        </w:rPr>
      </w:pPr>
    </w:p>
    <w:p>
      <w:pPr>
        <w:ind w:left="360" w:hanging="360"/>
        <w:spacing w:after="0" w:line="233" w:lineRule="auto"/>
        <w:tabs>
          <w:tab w:leader="none" w:pos="360" w:val="left"/>
        </w:tabs>
        <w:numPr>
          <w:ilvl w:val="0"/>
          <w:numId w:val="1"/>
        </w:numPr>
        <w:rPr>
          <w:rFonts w:ascii="Arial" w:cs="Arial" w:eastAsia="Arial" w:hAnsi="Arial"/>
          <w:sz w:val="18"/>
          <w:szCs w:val="18"/>
          <w:color w:val="auto"/>
        </w:rPr>
      </w:pPr>
      <w:r>
        <w:rPr>
          <w:rFonts w:ascii="Arial" w:cs="Arial" w:eastAsia="Arial" w:hAnsi="Arial"/>
          <w:sz w:val="18"/>
          <w:szCs w:val="18"/>
          <w:color w:val="auto"/>
        </w:rPr>
        <w:t>Depending on the single patient’s motor and functional status, the physiotherapist could include exercises other than those indicated as basic exercises.</w: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Therapeutic Theater Workshop</w:t>
      </w:r>
    </w:p>
    <w:p>
      <w:pPr>
        <w:spacing w:after="0" w:line="249" w:lineRule="exact"/>
        <w:rPr>
          <w:sz w:val="20"/>
          <w:szCs w:val="20"/>
          <w:color w:val="auto"/>
        </w:rPr>
      </w:pPr>
    </w:p>
    <w:p>
      <w:pPr>
        <w:spacing w:after="0" w:line="235" w:lineRule="auto"/>
        <w:rPr>
          <w:sz w:val="20"/>
          <w:szCs w:val="20"/>
          <w:color w:val="auto"/>
        </w:rPr>
      </w:pPr>
      <w:r>
        <w:rPr>
          <w:rFonts w:ascii="Times New Roman" w:cs="Times New Roman" w:eastAsia="Times New Roman" w:hAnsi="Times New Roman"/>
          <w:sz w:val="22"/>
          <w:szCs w:val="22"/>
          <w:color w:val="auto"/>
        </w:rPr>
        <w:t>The theatrical workshop, led by the theater company, consisted of 6-h daily sessions, for two consecutive days, once or twice per month, for a total of ~18 h/months, for 3 years (for more details see Table 2). The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2304</w:t>
      </w:r>
    </w:p>
    <w:p>
      <w:pPr>
        <w:sectPr>
          <w:pgSz w:w="12240" w:h="15840" w:orient="portrait"/>
          <w:cols w:equalWidth="0" w:num="1">
            <w:col w:w="9360"/>
          </w:cols>
          <w:pgMar w:left="1440" w:top="426" w:right="1440" w:bottom="196" w:gutter="0" w:footer="0" w:header="0"/>
        </w:sectPr>
      </w:pPr>
    </w:p>
    <w:bookmarkStart w:id="4" w:name="page5"/>
    <w:bookmarkEnd w:id="4"/>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2"/>
          <w:szCs w:val="22"/>
          <w:color w:val="auto"/>
        </w:rPr>
        <w:t>initial part of every workshop focused on exercising basic skills. All subjects were trained in controlling breathing, posture, gait, coordination, and manual tasks.</w:t>
      </w:r>
    </w:p>
    <w:p>
      <w:pPr>
        <w:spacing w:after="0" w:line="13" w:lineRule="exact"/>
        <w:rPr>
          <w:sz w:val="20"/>
          <w:szCs w:val="20"/>
          <w:color w:val="auto"/>
        </w:rPr>
      </w:pPr>
    </w:p>
    <w:p>
      <w:pPr>
        <w:jc w:val="both"/>
        <w:ind w:firstLine="360"/>
        <w:spacing w:after="0" w:line="236" w:lineRule="auto"/>
        <w:rPr>
          <w:rFonts w:ascii="Times New Roman" w:cs="Times New Roman" w:eastAsia="Times New Roman" w:hAnsi="Times New Roman"/>
          <w:sz w:val="22"/>
          <w:szCs w:val="22"/>
          <w:color w:val="auto"/>
        </w:rPr>
      </w:pPr>
      <w:hyperlink r:id="rId13">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u w:val="single" w:color="auto"/>
            <w:color w:val="0000FF"/>
          </w:rPr>
          <w:t>MOVIE S1</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This movie shows some exercises of motor coordination performed by one PD patient, with 1 year of theater training, together with an actress during one theatrical workshop session. The patient was in “ON” therapy.)</w:t>
      </w:r>
    </w:p>
    <w:p>
      <w:pPr>
        <w:spacing w:after="0" w:line="200" w:lineRule="exact"/>
        <w:rPr>
          <w:sz w:val="20"/>
          <w:szCs w:val="20"/>
          <w:color w:val="auto"/>
        </w:rPr>
      </w:pPr>
    </w:p>
    <w:p>
      <w:pPr>
        <w:spacing w:after="0" w:line="281"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TABLE 2</w:t>
      </w:r>
    </w:p>
    <w:p>
      <w:pPr>
        <w:jc w:val="center"/>
        <w:spacing w:after="0"/>
        <w:rPr>
          <w:sz w:val="20"/>
          <w:szCs w:val="20"/>
          <w:color w:val="auto"/>
        </w:rPr>
      </w:pPr>
      <w:r>
        <w:rPr>
          <w:rFonts w:ascii="Arial" w:cs="Arial" w:eastAsia="Arial" w:hAnsi="Arial"/>
          <w:sz w:val="20"/>
          <w:szCs w:val="20"/>
          <w:b w:val="1"/>
          <w:bCs w:val="1"/>
          <w:color w:val="auto"/>
        </w:rPr>
        <w:t>Exercises Included in a Typical Theater Training Session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158750</wp:posOffset>
                </wp:positionV>
                <wp:extent cx="59442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5pt" to="468.05pt,12.5pt" o:allowincell="f" strokecolor="#000000" strokeweight="0.2399pt"/>
            </w:pict>
          </mc:Fallback>
        </mc:AlternateContent>
      </w:r>
    </w:p>
    <w:p>
      <w:pPr>
        <w:spacing w:after="0" w:line="345" w:lineRule="exact"/>
        <w:rPr>
          <w:sz w:val="20"/>
          <w:szCs w:val="20"/>
          <w:color w:val="auto"/>
        </w:rPr>
      </w:pPr>
    </w:p>
    <w:p>
      <w:pPr>
        <w:ind w:left="100"/>
        <w:spacing w:after="0"/>
        <w:tabs>
          <w:tab w:leader="none" w:pos="5040" w:val="left"/>
        </w:tabs>
        <w:rPr>
          <w:sz w:val="20"/>
          <w:szCs w:val="20"/>
          <w:color w:val="auto"/>
        </w:rPr>
      </w:pPr>
      <w:r>
        <w:rPr>
          <w:rFonts w:ascii="Arial" w:cs="Arial" w:eastAsia="Arial" w:hAnsi="Arial"/>
          <w:sz w:val="20"/>
          <w:szCs w:val="20"/>
          <w:b w:val="1"/>
          <w:bCs w:val="1"/>
          <w:color w:val="auto"/>
        </w:rPr>
        <w:t>Activities</w:t>
      </w:r>
      <w:r>
        <w:rPr>
          <w:sz w:val="20"/>
          <w:szCs w:val="20"/>
          <w:color w:val="auto"/>
        </w:rPr>
        <w:tab/>
      </w:r>
      <w:r>
        <w:rPr>
          <w:rFonts w:ascii="Arial" w:cs="Arial" w:eastAsia="Arial" w:hAnsi="Arial"/>
          <w:sz w:val="20"/>
          <w:szCs w:val="20"/>
          <w:b w:val="1"/>
          <w:bCs w:val="1"/>
          <w:color w:val="auto"/>
        </w:rPr>
        <w:t>Basic Exercises*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82550</wp:posOffset>
                </wp:positionV>
                <wp:extent cx="594423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5pt" to="468.05pt,6.5pt" o:allowincell="f" strokecolor="#000000" strokeweight="0.2399pt"/>
            </w:pict>
          </mc:Fallback>
        </mc:AlternateContent>
      </w:r>
    </w:p>
    <w:p>
      <w:pPr>
        <w:sectPr>
          <w:pgSz w:w="12240" w:h="15840" w:orient="portrait"/>
          <w:cols w:equalWidth="0" w:num="1">
            <w:col w:w="9360"/>
          </w:cols>
          <w:pgMar w:left="1440" w:top="426" w:right="1440" w:bottom="196" w:gutter="0" w:footer="0" w:header="0"/>
        </w:sectPr>
      </w:pPr>
    </w:p>
    <w:p>
      <w:pPr>
        <w:spacing w:after="0" w:line="190" w:lineRule="exact"/>
        <w:rPr>
          <w:sz w:val="20"/>
          <w:szCs w:val="20"/>
          <w:color w:val="auto"/>
        </w:rPr>
      </w:pPr>
    </w:p>
    <w:p>
      <w:pPr>
        <w:ind w:left="100"/>
        <w:spacing w:after="0"/>
        <w:rPr>
          <w:sz w:val="20"/>
          <w:szCs w:val="20"/>
          <w:color w:val="auto"/>
        </w:rPr>
      </w:pPr>
      <w:r>
        <w:rPr>
          <w:rFonts w:ascii="Arial" w:cs="Arial" w:eastAsia="Arial" w:hAnsi="Arial"/>
          <w:sz w:val="18"/>
          <w:szCs w:val="18"/>
          <w:color w:val="auto"/>
        </w:rPr>
        <w:t>Vocal warm up (20 min)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260" w:hanging="143"/>
        <w:spacing w:after="0" w:line="237" w:lineRule="auto"/>
        <w:rPr>
          <w:sz w:val="20"/>
          <w:szCs w:val="20"/>
          <w:color w:val="auto"/>
        </w:rPr>
      </w:pPr>
      <w:r>
        <w:rPr>
          <w:rFonts w:ascii="Arial" w:cs="Arial" w:eastAsia="Arial" w:hAnsi="Arial"/>
          <w:sz w:val="18"/>
          <w:szCs w:val="18"/>
          <w:color w:val="auto"/>
        </w:rPr>
        <w:t>Preparation of the scene (40 min): to be performed in a circle, always repeating the same line to the person beside them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00"/>
        <w:spacing w:after="0"/>
        <w:rPr>
          <w:sz w:val="20"/>
          <w:szCs w:val="20"/>
          <w:color w:val="auto"/>
        </w:rPr>
      </w:pPr>
      <w:r>
        <w:rPr>
          <w:rFonts w:ascii="Arial" w:cs="Arial" w:eastAsia="Arial" w:hAnsi="Arial"/>
          <w:sz w:val="18"/>
          <w:szCs w:val="18"/>
          <w:color w:val="auto"/>
        </w:rPr>
        <w:t>Staging (5 h)</w:t>
      </w:r>
    </w:p>
    <w:p>
      <w:pPr>
        <w:spacing w:after="0" w:line="20" w:lineRule="exact"/>
        <w:rPr>
          <w:sz w:val="20"/>
          <w:szCs w:val="20"/>
          <w:color w:val="auto"/>
        </w:rPr>
      </w:pPr>
      <w:r>
        <w:rPr>
          <w:sz w:val="20"/>
          <w:szCs w:val="20"/>
          <w:color w:val="auto"/>
        </w:rPr>
        <w:br w:type="column"/>
      </w:r>
    </w:p>
    <w:p>
      <w:pPr>
        <w:spacing w:after="0" w:line="180" w:lineRule="exact"/>
        <w:rPr>
          <w:sz w:val="20"/>
          <w:szCs w:val="20"/>
          <w:color w:val="auto"/>
        </w:rPr>
      </w:pPr>
    </w:p>
    <w:p>
      <w:pPr>
        <w:ind w:right="3140"/>
        <w:spacing w:after="0" w:line="297" w:lineRule="auto"/>
        <w:rPr>
          <w:sz w:val="20"/>
          <w:szCs w:val="20"/>
          <w:color w:val="auto"/>
        </w:rPr>
      </w:pPr>
      <w:r>
        <w:rPr>
          <w:rFonts w:ascii="Arial" w:cs="Arial" w:eastAsia="Arial" w:hAnsi="Arial"/>
          <w:sz w:val="18"/>
          <w:szCs w:val="18"/>
          <w:color w:val="auto"/>
        </w:rPr>
        <w:t>Feet on the ground, erect position on the chairs Massage and tapping of the chest</w:t>
      </w:r>
    </w:p>
    <w:p>
      <w:pPr>
        <w:spacing w:after="0" w:line="21" w:lineRule="exact"/>
        <w:rPr>
          <w:sz w:val="20"/>
          <w:szCs w:val="20"/>
          <w:color w:val="auto"/>
        </w:rPr>
      </w:pPr>
    </w:p>
    <w:p>
      <w:pPr>
        <w:ind w:right="2700"/>
        <w:spacing w:after="0" w:line="297" w:lineRule="auto"/>
        <w:rPr>
          <w:sz w:val="20"/>
          <w:szCs w:val="20"/>
          <w:color w:val="auto"/>
        </w:rPr>
      </w:pPr>
      <w:r>
        <w:rPr>
          <w:rFonts w:ascii="Arial" w:cs="Arial" w:eastAsia="Arial" w:hAnsi="Arial"/>
          <w:sz w:val="18"/>
          <w:szCs w:val="18"/>
          <w:color w:val="auto"/>
        </w:rPr>
        <w:t>Hands on the belly, movement of abdominal muscles Diaphragmatic breathing</w:t>
      </w:r>
    </w:p>
    <w:p>
      <w:pPr>
        <w:spacing w:after="0" w:line="13" w:lineRule="exact"/>
        <w:rPr>
          <w:sz w:val="20"/>
          <w:szCs w:val="20"/>
          <w:color w:val="auto"/>
        </w:rPr>
      </w:pPr>
    </w:p>
    <w:p>
      <w:pPr>
        <w:spacing w:after="0"/>
        <w:rPr>
          <w:sz w:val="20"/>
          <w:szCs w:val="20"/>
          <w:color w:val="auto"/>
        </w:rPr>
      </w:pPr>
      <w:r>
        <w:rPr>
          <w:rFonts w:ascii="Arial" w:cs="Arial" w:eastAsia="Arial" w:hAnsi="Arial"/>
          <w:sz w:val="18"/>
          <w:szCs w:val="18"/>
          <w:color w:val="auto"/>
        </w:rPr>
        <w:t>Vocal emission of the consonant “S”</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Vocal emission of the consonant “M”, keeping mouth closed</w:t>
      </w:r>
    </w:p>
    <w:p>
      <w:pPr>
        <w:spacing w:after="0" w:line="69" w:lineRule="exact"/>
        <w:rPr>
          <w:sz w:val="20"/>
          <w:szCs w:val="20"/>
          <w:color w:val="auto"/>
        </w:rPr>
      </w:pPr>
    </w:p>
    <w:p>
      <w:pPr>
        <w:ind w:left="160" w:right="720" w:hanging="143"/>
        <w:spacing w:after="0" w:line="233" w:lineRule="auto"/>
        <w:rPr>
          <w:sz w:val="20"/>
          <w:szCs w:val="20"/>
          <w:color w:val="auto"/>
        </w:rPr>
      </w:pPr>
      <w:r>
        <w:rPr>
          <w:rFonts w:ascii="Arial" w:cs="Arial" w:eastAsia="Arial" w:hAnsi="Arial"/>
          <w:sz w:val="18"/>
          <w:szCs w:val="18"/>
          <w:color w:val="auto"/>
        </w:rPr>
        <w:t>Vocal emission of the syllable “NO”, low note, insisting on the projection of the consonant as a springboard for the vowel</w:t>
      </w:r>
    </w:p>
    <w:p>
      <w:pPr>
        <w:spacing w:after="0" w:line="63" w:lineRule="exact"/>
        <w:rPr>
          <w:sz w:val="20"/>
          <w:szCs w:val="20"/>
          <w:color w:val="auto"/>
        </w:rPr>
      </w:pPr>
    </w:p>
    <w:p>
      <w:pPr>
        <w:spacing w:after="0"/>
        <w:rPr>
          <w:sz w:val="20"/>
          <w:szCs w:val="20"/>
          <w:color w:val="auto"/>
        </w:rPr>
      </w:pPr>
      <w:r>
        <w:rPr>
          <w:rFonts w:ascii="Arial" w:cs="Arial" w:eastAsia="Arial" w:hAnsi="Arial"/>
          <w:sz w:val="18"/>
          <w:szCs w:val="18"/>
          <w:color w:val="auto"/>
        </w:rPr>
        <w:t>Emission of the syllables PA, PE, PI, PO, PU</w:t>
      </w:r>
    </w:p>
    <w:p>
      <w:pPr>
        <w:spacing w:after="0" w:line="69" w:lineRule="exact"/>
        <w:rPr>
          <w:sz w:val="20"/>
          <w:szCs w:val="20"/>
          <w:color w:val="auto"/>
        </w:rPr>
      </w:pPr>
    </w:p>
    <w:p>
      <w:pPr>
        <w:ind w:left="160" w:right="260" w:hanging="143"/>
        <w:spacing w:after="0" w:line="233" w:lineRule="auto"/>
        <w:rPr>
          <w:sz w:val="20"/>
          <w:szCs w:val="20"/>
          <w:color w:val="auto"/>
        </w:rPr>
      </w:pPr>
      <w:r>
        <w:rPr>
          <w:rFonts w:ascii="Arial" w:cs="Arial" w:eastAsia="Arial" w:hAnsi="Arial"/>
          <w:sz w:val="18"/>
          <w:szCs w:val="18"/>
          <w:color w:val="auto"/>
        </w:rPr>
        <w:t>Emission of the consonant “M”, keeping mouth closed, but gradually rising note and back</w:t>
      </w:r>
    </w:p>
    <w:p>
      <w:pPr>
        <w:spacing w:after="0" w:line="61" w:lineRule="exact"/>
        <w:rPr>
          <w:sz w:val="20"/>
          <w:szCs w:val="20"/>
          <w:color w:val="auto"/>
        </w:rPr>
      </w:pPr>
    </w:p>
    <w:p>
      <w:pPr>
        <w:spacing w:after="0"/>
        <w:rPr>
          <w:sz w:val="20"/>
          <w:szCs w:val="20"/>
          <w:color w:val="auto"/>
        </w:rPr>
      </w:pPr>
      <w:r>
        <w:rPr>
          <w:rFonts w:ascii="Arial" w:cs="Arial" w:eastAsia="Arial" w:hAnsi="Arial"/>
          <w:sz w:val="18"/>
          <w:szCs w:val="18"/>
          <w:color w:val="auto"/>
        </w:rPr>
        <w:t>Emission of the syllable “MA”, but gradually rising note and back</w:t>
      </w:r>
    </w:p>
    <w:p>
      <w:pPr>
        <w:spacing w:after="0" w:line="62" w:lineRule="exact"/>
        <w:rPr>
          <w:sz w:val="20"/>
          <w:szCs w:val="20"/>
          <w:color w:val="auto"/>
        </w:rPr>
      </w:pPr>
    </w:p>
    <w:p>
      <w:pPr>
        <w:spacing w:after="0"/>
        <w:rPr>
          <w:sz w:val="20"/>
          <w:szCs w:val="20"/>
          <w:color w:val="auto"/>
        </w:rPr>
      </w:pPr>
      <w:r>
        <w:rPr>
          <w:rFonts w:ascii="Arial" w:cs="Arial" w:eastAsia="Arial" w:hAnsi="Arial"/>
          <w:sz w:val="18"/>
          <w:szCs w:val="18"/>
          <w:color w:val="auto"/>
        </w:rPr>
        <w:t>Vocal emission of the breath, freely moving the facemask</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Rotation of the tongue inside and outside of teeth</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Emission of the vowels keeping the tongue out of the mouth</w:t>
      </w:r>
    </w:p>
    <w:p>
      <w:pPr>
        <w:spacing w:after="0" w:line="60" w:lineRule="exact"/>
        <w:rPr>
          <w:sz w:val="20"/>
          <w:szCs w:val="20"/>
          <w:color w:val="auto"/>
        </w:rPr>
      </w:pPr>
    </w:p>
    <w:p>
      <w:pPr>
        <w:spacing w:after="0"/>
        <w:rPr>
          <w:sz w:val="20"/>
          <w:szCs w:val="20"/>
          <w:color w:val="auto"/>
        </w:rPr>
      </w:pPr>
      <w:r>
        <w:rPr>
          <w:rFonts w:ascii="Arial" w:cs="Arial" w:eastAsia="Arial" w:hAnsi="Arial"/>
          <w:sz w:val="18"/>
          <w:szCs w:val="18"/>
          <w:color w:val="auto"/>
        </w:rPr>
        <w:t>Emission of the vowels, exasperating facial expression</w:t>
      </w:r>
    </w:p>
    <w:p>
      <w:pPr>
        <w:spacing w:after="0" w:line="62" w:lineRule="exact"/>
        <w:rPr>
          <w:sz w:val="20"/>
          <w:szCs w:val="20"/>
          <w:color w:val="auto"/>
        </w:rPr>
      </w:pPr>
    </w:p>
    <w:p>
      <w:pPr>
        <w:spacing w:after="0"/>
        <w:rPr>
          <w:sz w:val="20"/>
          <w:szCs w:val="20"/>
          <w:color w:val="auto"/>
        </w:rPr>
      </w:pPr>
      <w:r>
        <w:rPr>
          <w:rFonts w:ascii="Arial" w:cs="Arial" w:eastAsia="Arial" w:hAnsi="Arial"/>
          <w:sz w:val="18"/>
          <w:szCs w:val="18"/>
          <w:color w:val="auto"/>
        </w:rPr>
        <w:t>Emission of all the vowels while laughing</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Slow vocal articulation of a line from the scene</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Projection of the line into the distance, leaning the sound on the consonant</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Articulation of the line in a low voice</w:t>
      </w:r>
    </w:p>
    <w:p>
      <w:pPr>
        <w:spacing w:after="0" w:line="62" w:lineRule="exact"/>
        <w:rPr>
          <w:sz w:val="20"/>
          <w:szCs w:val="20"/>
          <w:color w:val="auto"/>
        </w:rPr>
      </w:pPr>
    </w:p>
    <w:p>
      <w:pPr>
        <w:spacing w:after="0"/>
        <w:rPr>
          <w:sz w:val="20"/>
          <w:szCs w:val="20"/>
          <w:color w:val="auto"/>
        </w:rPr>
      </w:pPr>
      <w:r>
        <w:rPr>
          <w:rFonts w:ascii="Arial" w:cs="Arial" w:eastAsia="Arial" w:hAnsi="Arial"/>
          <w:sz w:val="18"/>
          <w:szCs w:val="18"/>
          <w:color w:val="auto"/>
        </w:rPr>
        <w:t>Repeating the line with a different rhythm</w:t>
      </w:r>
    </w:p>
    <w:p>
      <w:pPr>
        <w:spacing w:after="0" w:line="69" w:lineRule="exact"/>
        <w:rPr>
          <w:sz w:val="20"/>
          <w:szCs w:val="20"/>
          <w:color w:val="auto"/>
        </w:rPr>
      </w:pPr>
    </w:p>
    <w:p>
      <w:pPr>
        <w:ind w:left="160" w:right="360" w:hanging="143"/>
        <w:spacing w:after="0" w:line="233" w:lineRule="auto"/>
        <w:rPr>
          <w:sz w:val="20"/>
          <w:szCs w:val="20"/>
          <w:color w:val="auto"/>
        </w:rPr>
      </w:pPr>
      <w:r>
        <w:rPr>
          <w:rFonts w:ascii="Arial" w:cs="Arial" w:eastAsia="Arial" w:hAnsi="Arial"/>
          <w:sz w:val="18"/>
          <w:szCs w:val="18"/>
          <w:color w:val="auto"/>
        </w:rPr>
        <w:t>Attempt to speak the line in five different emotional moods (anger, fear, sensuality, happiness, sadness)</w:t>
      </w:r>
    </w:p>
    <w:p>
      <w:pPr>
        <w:spacing w:after="0" w:line="61" w:lineRule="exact"/>
        <w:rPr>
          <w:sz w:val="20"/>
          <w:szCs w:val="20"/>
          <w:color w:val="auto"/>
        </w:rPr>
      </w:pPr>
    </w:p>
    <w:p>
      <w:pPr>
        <w:spacing w:after="0"/>
        <w:rPr>
          <w:sz w:val="20"/>
          <w:szCs w:val="20"/>
          <w:color w:val="auto"/>
        </w:rPr>
      </w:pPr>
      <w:r>
        <w:rPr>
          <w:rFonts w:ascii="Arial" w:cs="Arial" w:eastAsia="Arial" w:hAnsi="Arial"/>
          <w:sz w:val="18"/>
          <w:szCs w:val="18"/>
          <w:color w:val="auto"/>
        </w:rPr>
        <w:t>In circle, adding the second line to the first</w:t>
      </w:r>
    </w:p>
    <w:p>
      <w:pPr>
        <w:spacing w:after="0" w:line="62" w:lineRule="exact"/>
        <w:rPr>
          <w:sz w:val="20"/>
          <w:szCs w:val="20"/>
          <w:color w:val="auto"/>
        </w:rPr>
      </w:pPr>
    </w:p>
    <w:p>
      <w:pPr>
        <w:spacing w:after="0"/>
        <w:rPr>
          <w:sz w:val="20"/>
          <w:szCs w:val="20"/>
          <w:color w:val="auto"/>
        </w:rPr>
      </w:pPr>
      <w:r>
        <w:rPr>
          <w:rFonts w:ascii="Arial" w:cs="Arial" w:eastAsia="Arial" w:hAnsi="Arial"/>
          <w:sz w:val="18"/>
          <w:szCs w:val="18"/>
          <w:color w:val="auto"/>
        </w:rPr>
        <w:t>Attempt to speak the two lines in five different moods (see above)</w:t>
      </w:r>
    </w:p>
    <w:p>
      <w:pPr>
        <w:spacing w:after="0" w:line="59" w:lineRule="exact"/>
        <w:rPr>
          <w:sz w:val="20"/>
          <w:szCs w:val="20"/>
          <w:color w:val="auto"/>
        </w:rPr>
      </w:pPr>
    </w:p>
    <w:p>
      <w:pPr>
        <w:spacing w:after="0"/>
        <w:rPr>
          <w:sz w:val="20"/>
          <w:szCs w:val="20"/>
          <w:color w:val="auto"/>
        </w:rPr>
      </w:pPr>
      <w:r>
        <w:rPr>
          <w:rFonts w:ascii="Arial" w:cs="Arial" w:eastAsia="Arial" w:hAnsi="Arial"/>
          <w:sz w:val="18"/>
          <w:szCs w:val="18"/>
          <w:color w:val="auto"/>
        </w:rPr>
        <w:t>Continue the same exercise, adding lines of the script depending on the scene</w:t>
      </w:r>
    </w:p>
    <w:p>
      <w:pPr>
        <w:spacing w:after="0" w:line="69" w:lineRule="exact"/>
        <w:rPr>
          <w:sz w:val="20"/>
          <w:szCs w:val="20"/>
          <w:color w:val="auto"/>
        </w:rPr>
      </w:pPr>
    </w:p>
    <w:p>
      <w:pPr>
        <w:ind w:left="160" w:right="320" w:hanging="143"/>
        <w:spacing w:after="0" w:line="233" w:lineRule="auto"/>
        <w:rPr>
          <w:sz w:val="20"/>
          <w:szCs w:val="20"/>
          <w:color w:val="auto"/>
        </w:rPr>
      </w:pPr>
      <w:r>
        <w:rPr>
          <w:rFonts w:ascii="Arial" w:cs="Arial" w:eastAsia="Arial" w:hAnsi="Arial"/>
          <w:sz w:val="18"/>
          <w:szCs w:val="18"/>
          <w:color w:val="auto"/>
        </w:rPr>
        <w:t>After having created an acting and an audience area, the involved patients perform the scene they were previously exercising technically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-1557655</wp:posOffset>
                </wp:positionH>
                <wp:positionV relativeFrom="paragraph">
                  <wp:posOffset>43180</wp:posOffset>
                </wp:positionV>
                <wp:extent cx="595249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2490"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2.6499pt,3.4pt" to="346.05pt,3.4pt" o:allowincell="f" strokecolor="#000000" strokeweight="0.24pt"/>
            </w:pict>
          </mc:Fallback>
        </mc:AlternateContent>
      </w:r>
    </w:p>
    <w:p>
      <w:pPr>
        <w:spacing w:after="0" w:line="189" w:lineRule="exact"/>
        <w:rPr>
          <w:sz w:val="20"/>
          <w:szCs w:val="20"/>
          <w:color w:val="auto"/>
        </w:rPr>
      </w:pPr>
    </w:p>
    <w:p>
      <w:pPr>
        <w:sectPr>
          <w:pgSz w:w="12240" w:h="15840" w:orient="portrait"/>
          <w:cols w:equalWidth="0" w:num="2">
            <w:col w:w="2120" w:space="320"/>
            <w:col w:w="6920"/>
          </w:cols>
          <w:pgMar w:left="1440" w:top="426" w:right="1440" w:bottom="196" w:gutter="0" w:footer="0" w:header="0"/>
          <w:type w:val="continuous"/>
        </w:sectPr>
      </w:pPr>
    </w:p>
    <w:p>
      <w:pPr>
        <w:ind w:left="360" w:hanging="360"/>
        <w:spacing w:after="0"/>
        <w:tabs>
          <w:tab w:leader="none" w:pos="360" w:val="left"/>
        </w:tabs>
        <w:numPr>
          <w:ilvl w:val="0"/>
          <w:numId w:val="2"/>
        </w:numPr>
        <w:rPr>
          <w:rFonts w:ascii="Arial" w:cs="Arial" w:eastAsia="Arial" w:hAnsi="Arial"/>
          <w:sz w:val="18"/>
          <w:szCs w:val="18"/>
          <w:color w:val="auto"/>
        </w:rPr>
      </w:pPr>
      <w:r>
        <w:rPr>
          <w:rFonts w:ascii="Arial" w:cs="Arial" w:eastAsia="Arial" w:hAnsi="Arial"/>
          <w:sz w:val="18"/>
          <w:szCs w:val="18"/>
          <w:color w:val="auto"/>
        </w:rPr>
        <w:t>Some lessons could be preceded by a video (10 min) of the scene to be performed.</w:t>
      </w:r>
    </w:p>
    <w:p>
      <w:pPr>
        <w:spacing w:after="0" w:line="200" w:lineRule="exact"/>
        <w:rPr>
          <w:sz w:val="20"/>
          <w:szCs w:val="20"/>
          <w:color w:val="auto"/>
        </w:rPr>
      </w:pPr>
    </w:p>
    <w:p>
      <w:pPr>
        <w:spacing w:after="0" w:line="286"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2"/>
          <w:szCs w:val="22"/>
          <w:color w:val="auto"/>
        </w:rPr>
        <w:t>The patients were then taught to approach theater texts and to analyze them. In the second part of the workshop, patients rehearsed singly or in groups, together with actors, based on improvisation or sketches. Sketches were always directed by actors of the company with the aim of recreating on the stage behaviors and emotions that could occur in real life. Through this training, patients learned to express themselves and to communicate with each other both verbally and nonverbally. After periods of training, some of the patients wrote a script and eventually presented it with the help of the director.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2305</w:t>
      </w:r>
    </w:p>
    <w:p>
      <w:pPr>
        <w:sectPr>
          <w:pgSz w:w="12240" w:h="15840" w:orient="portrait"/>
          <w:cols w:equalWidth="0" w:num="1">
            <w:col w:w="9360"/>
          </w:cols>
          <w:pgMar w:left="1440" w:top="426" w:right="1440" w:bottom="196" w:gutter="0" w:footer="0" w:header="0"/>
          <w:type w:val="continuous"/>
        </w:sectPr>
      </w:pPr>
    </w:p>
    <w:bookmarkStart w:id="5" w:name="page6"/>
    <w:bookmarkEnd w:id="5"/>
    <w:p>
      <w:pPr>
        <w:ind w:left="60"/>
        <w:spacing w:after="0"/>
        <w:tabs>
          <w:tab w:leader="none" w:pos="570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ind w:left="60" w:right="60" w:firstLine="360"/>
        <w:spacing w:after="0" w:line="234" w:lineRule="auto"/>
        <w:rPr>
          <w:rFonts w:ascii="Times New Roman" w:cs="Times New Roman" w:eastAsia="Times New Roman" w:hAnsi="Times New Roman"/>
          <w:sz w:val="22"/>
          <w:szCs w:val="22"/>
          <w:color w:val="auto"/>
        </w:rPr>
      </w:pPr>
      <w:hyperlink r:id="rId14">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u w:val="single" w:color="auto"/>
            <w:color w:val="0000FF"/>
          </w:rPr>
          <w:t>MOVIE S2</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 xml:space="preserve">This movie shows a sketch where a PD patient, with 1 year of theater training, </w:t>
      </w:r>
      <w:r>
        <w:rPr>
          <w:rFonts w:ascii="Times New Roman" w:cs="Times New Roman" w:eastAsia="Times New Roman" w:hAnsi="Times New Roman"/>
          <w:sz w:val="22"/>
          <w:szCs w:val="22"/>
          <w:color w:val="auto"/>
        </w:rPr>
        <w:t>impersonates a man who finds out that he has won the lottery. The patient was in “ON” therapy.)</w:t>
      </w:r>
    </w:p>
    <w:p>
      <w:pPr>
        <w:spacing w:after="0" w:line="200" w:lineRule="exact"/>
        <w:rPr>
          <w:sz w:val="20"/>
          <w:szCs w:val="20"/>
          <w:color w:val="auto"/>
        </w:rPr>
      </w:pPr>
    </w:p>
    <w:p>
      <w:pPr>
        <w:spacing w:after="0" w:line="285"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auto"/>
        </w:rPr>
        <w:t>Statistics</w:t>
      </w:r>
    </w:p>
    <w:p>
      <w:pPr>
        <w:spacing w:after="0" w:line="249" w:lineRule="exact"/>
        <w:rPr>
          <w:sz w:val="20"/>
          <w:szCs w:val="20"/>
          <w:color w:val="auto"/>
        </w:rPr>
      </w:pPr>
    </w:p>
    <w:p>
      <w:pPr>
        <w:jc w:val="both"/>
        <w:ind w:left="60" w:right="60"/>
        <w:spacing w:after="0" w:line="234" w:lineRule="auto"/>
        <w:rPr>
          <w:sz w:val="20"/>
          <w:szCs w:val="20"/>
          <w:color w:val="auto"/>
        </w:rPr>
      </w:pPr>
      <w:r>
        <w:rPr>
          <w:rFonts w:ascii="Times New Roman" w:cs="Times New Roman" w:eastAsia="Times New Roman" w:hAnsi="Times New Roman"/>
          <w:sz w:val="22"/>
          <w:szCs w:val="22"/>
          <w:color w:val="auto"/>
        </w:rPr>
        <w:t>We employed the Shapiro-Wilk test of normality in order to assess whether a given sample came from a normally distributed population.</w:t>
      </w:r>
    </w:p>
    <w:p>
      <w:pPr>
        <w:spacing w:after="0" w:line="13" w:lineRule="exact"/>
        <w:rPr>
          <w:sz w:val="20"/>
          <w:szCs w:val="20"/>
          <w:color w:val="auto"/>
        </w:rPr>
      </w:pPr>
    </w:p>
    <w:p>
      <w:pPr>
        <w:jc w:val="both"/>
        <w:ind w:left="60" w:right="60" w:firstLine="360"/>
        <w:spacing w:after="0" w:line="235" w:lineRule="auto"/>
        <w:rPr>
          <w:sz w:val="20"/>
          <w:szCs w:val="20"/>
          <w:color w:val="auto"/>
        </w:rPr>
      </w:pPr>
      <w:r>
        <w:rPr>
          <w:rFonts w:ascii="Times New Roman" w:cs="Times New Roman" w:eastAsia="Times New Roman" w:hAnsi="Times New Roman"/>
          <w:sz w:val="22"/>
          <w:szCs w:val="22"/>
          <w:color w:val="auto"/>
        </w:rPr>
        <w:t xml:space="preserve">Analyses of variance (ANOVAs) were employed for assessing (1) changes in drug therapy at T0 vs. T3 in theater vs. control group and (2) changes over time (T0, T1, T2, T3) in theater vs. control groups </w:t>
      </w:r>
      <w:r>
        <w:rPr>
          <w:rFonts w:ascii="Times New Roman" w:cs="Times New Roman" w:eastAsia="Times New Roman" w:hAnsi="Times New Roman"/>
          <w:sz w:val="22"/>
          <w:szCs w:val="22"/>
          <w:color w:val="auto"/>
        </w:rPr>
        <w:t xml:space="preserve">across all clinical scales. Mauchley‟s test evaluated the sphericity assumption and, where appropriate, </w:t>
      </w:r>
      <w:r>
        <w:rPr>
          <w:rFonts w:ascii="Times New Roman" w:cs="Times New Roman" w:eastAsia="Times New Roman" w:hAnsi="Times New Roman"/>
          <w:sz w:val="22"/>
          <w:szCs w:val="22"/>
          <w:color w:val="auto"/>
        </w:rPr>
        <w:t>correction of the degrees of freedom was made according to the Greenhouse-Geisser procedure. Bonferroni correction was applied to all posthoc tests (pairwise comparisons).</w:t>
      </w:r>
    </w:p>
    <w:p>
      <w:pPr>
        <w:spacing w:after="0" w:line="3" w:lineRule="exact"/>
        <w:rPr>
          <w:sz w:val="20"/>
          <w:szCs w:val="20"/>
          <w:color w:val="auto"/>
        </w:rPr>
      </w:pPr>
    </w:p>
    <w:p>
      <w:pPr>
        <w:jc w:val="both"/>
        <w:ind w:left="60" w:right="60" w:firstLine="360"/>
        <w:spacing w:after="0" w:line="223" w:lineRule="auto"/>
        <w:rPr>
          <w:sz w:val="20"/>
          <w:szCs w:val="20"/>
          <w:color w:val="auto"/>
        </w:rPr>
      </w:pPr>
      <w:r>
        <w:rPr>
          <w:rFonts w:ascii="Times New Roman" w:cs="Times New Roman" w:eastAsia="Times New Roman" w:hAnsi="Times New Roman"/>
          <w:sz w:val="22"/>
          <w:szCs w:val="22"/>
          <w:color w:val="auto"/>
        </w:rPr>
        <w:t>In order to control for the sample size, for each statistic we computed the partial eta-</w:t>
      </w:r>
      <w:r>
        <w:rPr>
          <w:rFonts w:ascii="Times New Roman" w:cs="Times New Roman" w:eastAsia="Times New Roman" w:hAnsi="Times New Roman"/>
          <w:sz w:val="22"/>
          <w:szCs w:val="22"/>
          <w:color w:val="auto"/>
        </w:rPr>
        <w:t>squared (η</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2"/>
          <w:szCs w:val="22"/>
          <w:color w:val="auto"/>
        </w:rPr>
        <w:t>), a coefficient that estimates the so-</w:t>
      </w:r>
      <w:r>
        <w:rPr>
          <w:rFonts w:ascii="Times New Roman" w:cs="Times New Roman" w:eastAsia="Times New Roman" w:hAnsi="Times New Roman"/>
          <w:sz w:val="22"/>
          <w:szCs w:val="22"/>
          <w:color w:val="auto"/>
        </w:rPr>
        <w:t>called “effect size”. The</w:t>
      </w:r>
      <w:r>
        <w:rPr>
          <w:rFonts w:ascii="Times New Roman" w:cs="Times New Roman" w:eastAsia="Times New Roman" w:hAnsi="Times New Roman"/>
          <w:sz w:val="22"/>
          <w:szCs w:val="22"/>
          <w:color w:val="auto"/>
        </w:rPr>
        <w:t xml:space="preserve"> effect size is a measure used for describing the degree of relationship between dependent and independent variables, independently from the sample size. </w:t>
      </w:r>
      <w:r>
        <w:rPr>
          <w:rFonts w:ascii="Times New Roman" w:cs="Times New Roman" w:eastAsia="Times New Roman" w:hAnsi="Times New Roman"/>
          <w:sz w:val="22"/>
          <w:szCs w:val="22"/>
          <w:color w:val="auto"/>
        </w:rPr>
        <w:t>Values of η</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color w:val="auto"/>
        </w:rPr>
        <w:t>higher than 0.14 indicate strong effect sizes, namely that the F values obtained are unlikely</w:t>
      </w:r>
      <w:r>
        <w:rPr>
          <w:rFonts w:ascii="Times New Roman" w:cs="Times New Roman" w:eastAsia="Times New Roman" w:hAnsi="Times New Roman"/>
          <w:sz w:val="22"/>
          <w:szCs w:val="22"/>
          <w:color w:val="auto"/>
        </w:rPr>
        <w:t xml:space="preserve"> to depend on the sample size. Values of η</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color w:val="auto"/>
        </w:rPr>
        <w:t>smaller than 0.06 indicate small effect sizes.</w:t>
      </w:r>
    </w:p>
    <w:p>
      <w:pPr>
        <w:spacing w:after="0" w:line="200" w:lineRule="exact"/>
        <w:rPr>
          <w:sz w:val="20"/>
          <w:szCs w:val="20"/>
          <w:color w:val="auto"/>
        </w:rPr>
      </w:pPr>
    </w:p>
    <w:p>
      <w:pPr>
        <w:spacing w:after="0" w:line="224" w:lineRule="exact"/>
        <w:rPr>
          <w:sz w:val="20"/>
          <w:szCs w:val="20"/>
          <w:color w:val="auto"/>
        </w:rPr>
      </w:pPr>
    </w:p>
    <w:p>
      <w:pPr>
        <w:ind w:left="60"/>
        <w:spacing w:after="0"/>
        <w:rPr>
          <w:sz w:val="20"/>
          <w:szCs w:val="20"/>
          <w:color w:val="auto"/>
        </w:rPr>
      </w:pPr>
      <w:r>
        <w:rPr>
          <w:rFonts w:ascii="Arial" w:cs="Arial" w:eastAsia="Arial" w:hAnsi="Arial"/>
          <w:sz w:val="24"/>
          <w:szCs w:val="24"/>
          <w:b w:val="1"/>
          <w:bCs w:val="1"/>
          <w:color w:val="auto"/>
        </w:rPr>
        <w:t>RESULTS</w:t>
      </w:r>
    </w:p>
    <w:p>
      <w:pPr>
        <w:spacing w:after="0" w:line="249" w:lineRule="exact"/>
        <w:rPr>
          <w:sz w:val="20"/>
          <w:szCs w:val="20"/>
          <w:color w:val="auto"/>
        </w:rPr>
      </w:pPr>
    </w:p>
    <w:p>
      <w:pPr>
        <w:jc w:val="both"/>
        <w:ind w:left="60" w:right="60"/>
        <w:spacing w:after="0" w:line="238" w:lineRule="auto"/>
        <w:rPr>
          <w:sz w:val="20"/>
          <w:szCs w:val="20"/>
          <w:color w:val="auto"/>
        </w:rPr>
      </w:pPr>
      <w:r>
        <w:rPr>
          <w:rFonts w:ascii="Times New Roman" w:cs="Times New Roman" w:eastAsia="Times New Roman" w:hAnsi="Times New Roman"/>
          <w:sz w:val="22"/>
          <w:szCs w:val="22"/>
          <w:color w:val="auto"/>
        </w:rPr>
        <w:t xml:space="preserve">At time T0, i.e., prior to the theatrical experience, all clinical parameters of the two groups (see Table 3) were homogeneous. T-tests revealed no significant differences for age (t[18] = 0.618,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 0.544), years with diagnosis (t[18] =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color w:val="auto"/>
        </w:rPr>
        <w:t xml:space="preserve">0.047,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 0.963), or Hoehn and Yahr score (t[18] = 0.361,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 0.722). Furthermore, an ANOVA on the amount of L-dopa equivalents/kg administered, with time (T0 and T3) and group (theater and control) as factors, showed a significant main effect of time (two-way repeated-measures ANOVA F[1] = 6.564,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&lt; 0.05), but no main effect of group (F[1] = 0.582,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 0.455) and of interaction (F[1] = 3.1, </w:t>
      </w:r>
      <w:r>
        <w:rPr>
          <w:rFonts w:ascii="Times New Roman" w:cs="Times New Roman" w:eastAsia="Times New Roman" w:hAnsi="Times New Roman"/>
          <w:sz w:val="22"/>
          <w:szCs w:val="22"/>
          <w:i w:val="1"/>
          <w:iCs w:val="1"/>
          <w:color w:val="auto"/>
        </w:rPr>
        <w:t>p</w:t>
      </w:r>
      <w:r>
        <w:rPr>
          <w:rFonts w:ascii="Times New Roman" w:cs="Times New Roman" w:eastAsia="Times New Roman" w:hAnsi="Times New Roman"/>
          <w:sz w:val="22"/>
          <w:szCs w:val="22"/>
          <w:color w:val="auto"/>
        </w:rPr>
        <w:t xml:space="preserve"> = 0.09). However, even though there was no interaction between time and group (it was very close to be significant), theater-group patients did not require an increase in dopaminergic drug therapy during the course of the study, while the control patients did.</w:t>
      </w: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TABLE 3</w:t>
      </w:r>
    </w:p>
    <w:p>
      <w:pPr>
        <w:jc w:val="center"/>
        <w:spacing w:after="0"/>
        <w:rPr>
          <w:sz w:val="20"/>
          <w:szCs w:val="20"/>
          <w:color w:val="auto"/>
        </w:rPr>
      </w:pPr>
      <w:r>
        <w:rPr>
          <w:rFonts w:ascii="Arial" w:cs="Arial" w:eastAsia="Arial" w:hAnsi="Arial"/>
          <w:sz w:val="20"/>
          <w:szCs w:val="20"/>
          <w:b w:val="1"/>
          <w:bCs w:val="1"/>
          <w:color w:val="auto"/>
        </w:rPr>
        <w:t>Clinical Data of Patients Affected by PD of Control (CTRL) and Theater (TH) Group*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158750</wp:posOffset>
                </wp:positionV>
                <wp:extent cx="601789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7895" cy="4763"/>
                        </a:xfrm>
                        <a:prstGeom prst="line">
                          <a:avLst/>
                        </a:prstGeom>
                        <a:solidFill>
                          <a:srgbClr val="FFFFFF"/>
                        </a:solidFill>
                        <a:ln w="3048">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12.5pt" to="473.95pt,12.5pt" o:allowincell="f" strokecolor="#000000" strokeweight="0.24pt"/>
            </w:pict>
          </mc:Fallback>
        </mc:AlternateContent>
      </w: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880" w:type="dxa"/>
            <w:vAlign w:val="bottom"/>
          </w:tcPr>
          <w:p>
            <w:pPr>
              <w:spacing w:after="0"/>
              <w:rPr>
                <w:sz w:val="19"/>
                <w:szCs w:val="19"/>
                <w:color w:val="auto"/>
              </w:rPr>
            </w:pPr>
          </w:p>
        </w:tc>
        <w:tc>
          <w:tcPr>
            <w:tcW w:w="840" w:type="dxa"/>
            <w:vAlign w:val="bottom"/>
          </w:tcPr>
          <w:p>
            <w:pPr>
              <w:ind w:left="440"/>
              <w:spacing w:after="0"/>
              <w:rPr>
                <w:sz w:val="20"/>
                <w:szCs w:val="20"/>
                <w:color w:val="auto"/>
              </w:rPr>
            </w:pPr>
            <w:r>
              <w:rPr>
                <w:rFonts w:ascii="Arial" w:cs="Arial" w:eastAsia="Arial" w:hAnsi="Arial"/>
                <w:sz w:val="20"/>
                <w:szCs w:val="20"/>
                <w:b w:val="1"/>
                <w:bCs w:val="1"/>
                <w:color w:val="auto"/>
              </w:rPr>
              <w:t>Sex</w:t>
            </w:r>
          </w:p>
        </w:tc>
        <w:tc>
          <w:tcPr>
            <w:tcW w:w="400" w:type="dxa"/>
            <w:vAlign w:val="bottom"/>
          </w:tcPr>
          <w:p>
            <w:pPr>
              <w:spacing w:after="0"/>
              <w:rPr>
                <w:sz w:val="19"/>
                <w:szCs w:val="19"/>
                <w:color w:val="auto"/>
              </w:rPr>
            </w:pPr>
          </w:p>
        </w:tc>
        <w:tc>
          <w:tcPr>
            <w:tcW w:w="920" w:type="dxa"/>
            <w:vAlign w:val="bottom"/>
          </w:tcPr>
          <w:p>
            <w:pPr>
              <w:ind w:left="540"/>
              <w:spacing w:after="0"/>
              <w:rPr>
                <w:sz w:val="20"/>
                <w:szCs w:val="20"/>
                <w:color w:val="auto"/>
              </w:rPr>
            </w:pPr>
            <w:r>
              <w:rPr>
                <w:rFonts w:ascii="Arial" w:cs="Arial" w:eastAsia="Arial" w:hAnsi="Arial"/>
                <w:sz w:val="18"/>
                <w:szCs w:val="18"/>
                <w:b w:val="1"/>
                <w:bCs w:val="1"/>
                <w:color w:val="auto"/>
              </w:rPr>
              <w:t>Age</w:t>
            </w:r>
          </w:p>
        </w:tc>
        <w:tc>
          <w:tcPr>
            <w:tcW w:w="460" w:type="dxa"/>
            <w:vAlign w:val="bottom"/>
          </w:tcPr>
          <w:p>
            <w:pPr>
              <w:spacing w:after="0"/>
              <w:rPr>
                <w:sz w:val="19"/>
                <w:szCs w:val="19"/>
                <w:color w:val="auto"/>
              </w:rPr>
            </w:pPr>
          </w:p>
        </w:tc>
        <w:tc>
          <w:tcPr>
            <w:tcW w:w="1480" w:type="dxa"/>
            <w:vAlign w:val="bottom"/>
            <w:gridSpan w:val="2"/>
          </w:tcPr>
          <w:p>
            <w:pPr>
              <w:jc w:val="center"/>
              <w:spacing w:after="0"/>
              <w:rPr>
                <w:sz w:val="20"/>
                <w:szCs w:val="20"/>
                <w:color w:val="auto"/>
              </w:rPr>
            </w:pPr>
            <w:r>
              <w:rPr>
                <w:rFonts w:ascii="Arial" w:cs="Arial" w:eastAsia="Arial" w:hAnsi="Arial"/>
                <w:sz w:val="18"/>
                <w:szCs w:val="18"/>
                <w:b w:val="1"/>
                <w:bCs w:val="1"/>
                <w:color w:val="auto"/>
              </w:rPr>
              <w:t>Hoehn &amp; Yahr</w:t>
            </w:r>
          </w:p>
        </w:tc>
        <w:tc>
          <w:tcPr>
            <w:tcW w:w="1340" w:type="dxa"/>
            <w:vAlign w:val="bottom"/>
            <w:gridSpan w:val="2"/>
          </w:tcPr>
          <w:p>
            <w:pPr>
              <w:ind w:left="220"/>
              <w:spacing w:after="0"/>
              <w:rPr>
                <w:sz w:val="20"/>
                <w:szCs w:val="20"/>
                <w:color w:val="auto"/>
              </w:rPr>
            </w:pPr>
            <w:r>
              <w:rPr>
                <w:rFonts w:ascii="Arial" w:cs="Arial" w:eastAsia="Arial" w:hAnsi="Arial"/>
                <w:sz w:val="18"/>
                <w:szCs w:val="18"/>
                <w:b w:val="1"/>
                <w:bCs w:val="1"/>
                <w:color w:val="auto"/>
              </w:rPr>
              <w:t>Years with</w:t>
            </w:r>
          </w:p>
        </w:tc>
        <w:tc>
          <w:tcPr>
            <w:tcW w:w="1560" w:type="dxa"/>
            <w:vAlign w:val="bottom"/>
            <w:gridSpan w:val="2"/>
          </w:tcPr>
          <w:p>
            <w:pPr>
              <w:jc w:val="right"/>
              <w:ind w:right="149"/>
              <w:spacing w:after="0"/>
              <w:rPr>
                <w:sz w:val="20"/>
                <w:szCs w:val="20"/>
                <w:color w:val="auto"/>
              </w:rPr>
            </w:pPr>
            <w:r>
              <w:rPr>
                <w:rFonts w:ascii="Arial" w:cs="Arial" w:eastAsia="Arial" w:hAnsi="Arial"/>
                <w:sz w:val="18"/>
                <w:szCs w:val="18"/>
                <w:b w:val="1"/>
                <w:bCs w:val="1"/>
                <w:color w:val="auto"/>
              </w:rPr>
              <w:t>L-DOPA EQ.</w:t>
            </w:r>
          </w:p>
        </w:tc>
        <w:tc>
          <w:tcPr>
            <w:tcW w:w="1600" w:type="dxa"/>
            <w:vAlign w:val="bottom"/>
            <w:gridSpan w:val="2"/>
          </w:tcPr>
          <w:p>
            <w:pPr>
              <w:jc w:val="right"/>
              <w:ind w:right="169"/>
              <w:spacing w:after="0"/>
              <w:rPr>
                <w:sz w:val="20"/>
                <w:szCs w:val="20"/>
                <w:color w:val="auto"/>
              </w:rPr>
            </w:pPr>
            <w:r>
              <w:rPr>
                <w:rFonts w:ascii="Arial" w:cs="Arial" w:eastAsia="Arial" w:hAnsi="Arial"/>
                <w:sz w:val="18"/>
                <w:szCs w:val="18"/>
                <w:b w:val="1"/>
                <w:bCs w:val="1"/>
                <w:color w:val="auto"/>
              </w:rPr>
              <w:t>L-DOPA EQ.</w:t>
            </w:r>
          </w:p>
        </w:tc>
        <w:tc>
          <w:tcPr>
            <w:tcW w:w="0" w:type="dxa"/>
            <w:vAlign w:val="bottom"/>
          </w:tcPr>
          <w:p>
            <w:pPr>
              <w:spacing w:after="0"/>
              <w:rPr>
                <w:sz w:val="1"/>
                <w:szCs w:val="1"/>
                <w:color w:val="auto"/>
              </w:rPr>
            </w:pPr>
          </w:p>
        </w:tc>
      </w:tr>
      <w:tr>
        <w:trPr>
          <w:trHeight w:val="197"/>
        </w:trPr>
        <w:tc>
          <w:tcPr>
            <w:tcW w:w="880" w:type="dxa"/>
            <w:vAlign w:val="bottom"/>
            <w:vMerge w:val="restart"/>
          </w:tcPr>
          <w:p>
            <w:pPr>
              <w:ind w:left="120"/>
              <w:spacing w:after="0"/>
              <w:rPr>
                <w:sz w:val="20"/>
                <w:szCs w:val="20"/>
                <w:color w:val="auto"/>
              </w:rPr>
            </w:pPr>
            <w:r>
              <w:rPr>
                <w:rFonts w:ascii="Arial" w:cs="Arial" w:eastAsia="Arial" w:hAnsi="Arial"/>
                <w:sz w:val="20"/>
                <w:szCs w:val="20"/>
                <w:b w:val="1"/>
                <w:bCs w:val="1"/>
                <w:color w:val="auto"/>
              </w:rPr>
              <w:t>Patient</w:t>
            </w:r>
          </w:p>
        </w:tc>
        <w:tc>
          <w:tcPr>
            <w:tcW w:w="84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92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940" w:type="dxa"/>
            <w:vAlign w:val="bottom"/>
          </w:tcPr>
          <w:p>
            <w:pPr>
              <w:jc w:val="center"/>
              <w:ind w:left="509"/>
              <w:spacing w:after="0" w:line="197" w:lineRule="exact"/>
              <w:rPr>
                <w:sz w:val="20"/>
                <w:szCs w:val="20"/>
                <w:color w:val="auto"/>
              </w:rPr>
            </w:pPr>
            <w:r>
              <w:rPr>
                <w:rFonts w:ascii="Arial" w:cs="Arial" w:eastAsia="Arial" w:hAnsi="Arial"/>
                <w:sz w:val="18"/>
                <w:szCs w:val="18"/>
                <w:b w:val="1"/>
                <w:bCs w:val="1"/>
                <w:color w:val="auto"/>
              </w:rPr>
              <w:t>T0</w:t>
            </w:r>
          </w:p>
        </w:tc>
        <w:tc>
          <w:tcPr>
            <w:tcW w:w="540" w:type="dxa"/>
            <w:vAlign w:val="bottom"/>
          </w:tcPr>
          <w:p>
            <w:pPr>
              <w:spacing w:after="0"/>
              <w:rPr>
                <w:sz w:val="17"/>
                <w:szCs w:val="17"/>
                <w:color w:val="auto"/>
              </w:rPr>
            </w:pPr>
          </w:p>
        </w:tc>
        <w:tc>
          <w:tcPr>
            <w:tcW w:w="1340" w:type="dxa"/>
            <w:vAlign w:val="bottom"/>
            <w:gridSpan w:val="2"/>
          </w:tcPr>
          <w:p>
            <w:pPr>
              <w:ind w:left="260"/>
              <w:spacing w:after="0" w:line="197" w:lineRule="exact"/>
              <w:rPr>
                <w:sz w:val="20"/>
                <w:szCs w:val="20"/>
                <w:color w:val="auto"/>
              </w:rPr>
            </w:pPr>
            <w:r>
              <w:rPr>
                <w:rFonts w:ascii="Arial" w:cs="Arial" w:eastAsia="Arial" w:hAnsi="Arial"/>
                <w:sz w:val="18"/>
                <w:szCs w:val="18"/>
                <w:b w:val="1"/>
                <w:bCs w:val="1"/>
                <w:color w:val="auto"/>
              </w:rPr>
              <w:t>Diagnosis</w:t>
            </w:r>
          </w:p>
        </w:tc>
        <w:tc>
          <w:tcPr>
            <w:tcW w:w="680" w:type="dxa"/>
            <w:vAlign w:val="bottom"/>
          </w:tcPr>
          <w:p>
            <w:pPr>
              <w:spacing w:after="0"/>
              <w:rPr>
                <w:sz w:val="17"/>
                <w:szCs w:val="17"/>
                <w:color w:val="auto"/>
              </w:rPr>
            </w:pPr>
          </w:p>
        </w:tc>
        <w:tc>
          <w:tcPr>
            <w:tcW w:w="880" w:type="dxa"/>
            <w:vAlign w:val="bottom"/>
          </w:tcPr>
          <w:p>
            <w:pPr>
              <w:jc w:val="right"/>
              <w:ind w:right="569"/>
              <w:spacing w:after="0" w:line="197" w:lineRule="exact"/>
              <w:rPr>
                <w:sz w:val="20"/>
                <w:szCs w:val="20"/>
                <w:color w:val="auto"/>
              </w:rPr>
            </w:pPr>
            <w:r>
              <w:rPr>
                <w:rFonts w:ascii="Arial" w:cs="Arial" w:eastAsia="Arial" w:hAnsi="Arial"/>
                <w:sz w:val="18"/>
                <w:szCs w:val="18"/>
                <w:b w:val="1"/>
                <w:bCs w:val="1"/>
                <w:color w:val="auto"/>
                <w:w w:val="94"/>
              </w:rPr>
              <w:t>T0</w:t>
            </w:r>
          </w:p>
        </w:tc>
        <w:tc>
          <w:tcPr>
            <w:tcW w:w="700" w:type="dxa"/>
            <w:vAlign w:val="bottom"/>
          </w:tcPr>
          <w:p>
            <w:pPr>
              <w:spacing w:after="0"/>
              <w:rPr>
                <w:sz w:val="17"/>
                <w:szCs w:val="17"/>
                <w:color w:val="auto"/>
              </w:rPr>
            </w:pPr>
          </w:p>
        </w:tc>
        <w:tc>
          <w:tcPr>
            <w:tcW w:w="900" w:type="dxa"/>
            <w:vAlign w:val="bottom"/>
          </w:tcPr>
          <w:p>
            <w:pPr>
              <w:jc w:val="right"/>
              <w:ind w:right="589"/>
              <w:spacing w:after="0" w:line="197" w:lineRule="exact"/>
              <w:rPr>
                <w:sz w:val="20"/>
                <w:szCs w:val="20"/>
                <w:color w:val="auto"/>
              </w:rPr>
            </w:pPr>
            <w:r>
              <w:rPr>
                <w:rFonts w:ascii="Arial" w:cs="Arial" w:eastAsia="Arial" w:hAnsi="Arial"/>
                <w:sz w:val="18"/>
                <w:szCs w:val="18"/>
                <w:b w:val="1"/>
                <w:bCs w:val="1"/>
                <w:color w:val="auto"/>
                <w:w w:val="94"/>
              </w:rPr>
              <w:t>T3</w:t>
            </w:r>
          </w:p>
        </w:tc>
        <w:tc>
          <w:tcPr>
            <w:tcW w:w="0" w:type="dxa"/>
            <w:vAlign w:val="bottom"/>
          </w:tcPr>
          <w:p>
            <w:pPr>
              <w:spacing w:after="0"/>
              <w:rPr>
                <w:sz w:val="1"/>
                <w:szCs w:val="1"/>
                <w:color w:val="auto"/>
              </w:rPr>
            </w:pPr>
          </w:p>
        </w:tc>
      </w:tr>
      <w:tr>
        <w:trPr>
          <w:trHeight w:val="70"/>
        </w:trPr>
        <w:tc>
          <w:tcPr>
            <w:tcW w:w="880" w:type="dxa"/>
            <w:vAlign w:val="bottom"/>
            <w:vMerge w:val="continue"/>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400" w:type="dxa"/>
            <w:vAlign w:val="bottom"/>
            <w:tcBorders>
              <w:bottom w:val="single" w:sz="8" w:color="auto"/>
            </w:tcBorders>
          </w:tcPr>
          <w:p>
            <w:pPr>
              <w:spacing w:after="0"/>
              <w:rPr>
                <w:sz w:val="6"/>
                <w:szCs w:val="6"/>
                <w:color w:val="auto"/>
              </w:rPr>
            </w:pPr>
          </w:p>
        </w:tc>
        <w:tc>
          <w:tcPr>
            <w:tcW w:w="920" w:type="dxa"/>
            <w:vAlign w:val="bottom"/>
            <w:tcBorders>
              <w:bottom w:val="single" w:sz="8" w:color="auto"/>
            </w:tcBorders>
          </w:tcPr>
          <w:p>
            <w:pPr>
              <w:spacing w:after="0"/>
              <w:rPr>
                <w:sz w:val="6"/>
                <w:szCs w:val="6"/>
                <w:color w:val="auto"/>
              </w:rPr>
            </w:pPr>
          </w:p>
        </w:tc>
        <w:tc>
          <w:tcPr>
            <w:tcW w:w="460" w:type="dxa"/>
            <w:vAlign w:val="bottom"/>
            <w:tcBorders>
              <w:bottom w:val="single" w:sz="8" w:color="auto"/>
            </w:tcBorders>
          </w:tcPr>
          <w:p>
            <w:pPr>
              <w:spacing w:after="0"/>
              <w:rPr>
                <w:sz w:val="6"/>
                <w:szCs w:val="6"/>
                <w:color w:val="auto"/>
              </w:rPr>
            </w:pPr>
          </w:p>
        </w:tc>
        <w:tc>
          <w:tcPr>
            <w:tcW w:w="94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80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680" w:type="dxa"/>
            <w:vAlign w:val="bottom"/>
            <w:tcBorders>
              <w:bottom w:val="single" w:sz="8" w:color="auto"/>
            </w:tcBorders>
          </w:tcPr>
          <w:p>
            <w:pPr>
              <w:spacing w:after="0"/>
              <w:rPr>
                <w:sz w:val="6"/>
                <w:szCs w:val="6"/>
                <w:color w:val="auto"/>
              </w:rPr>
            </w:pPr>
          </w:p>
        </w:tc>
        <w:tc>
          <w:tcPr>
            <w:tcW w:w="88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900" w:type="dxa"/>
            <w:vAlign w:val="bottom"/>
            <w:tcBorders>
              <w:bottom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27"/>
        </w:trPr>
        <w:tc>
          <w:tcPr>
            <w:tcW w:w="880" w:type="dxa"/>
            <w:vAlign w:val="bottom"/>
            <w:vMerge w:val="continue"/>
          </w:tcPr>
          <w:p>
            <w:pPr>
              <w:spacing w:after="0"/>
              <w:rPr>
                <w:sz w:val="2"/>
                <w:szCs w:val="2"/>
                <w:color w:val="auto"/>
              </w:rPr>
            </w:pPr>
          </w:p>
        </w:tc>
        <w:tc>
          <w:tcPr>
            <w:tcW w:w="840" w:type="dxa"/>
            <w:vAlign w:val="bottom"/>
            <w:vMerge w:val="restart"/>
          </w:tcPr>
          <w:p>
            <w:pPr>
              <w:jc w:val="center"/>
              <w:spacing w:after="0"/>
              <w:rPr>
                <w:sz w:val="20"/>
                <w:szCs w:val="20"/>
                <w:color w:val="auto"/>
              </w:rPr>
            </w:pPr>
            <w:r>
              <w:rPr>
                <w:rFonts w:ascii="Arial" w:cs="Arial" w:eastAsia="Arial" w:hAnsi="Arial"/>
                <w:sz w:val="20"/>
                <w:szCs w:val="20"/>
                <w:b w:val="1"/>
                <w:bCs w:val="1"/>
                <w:color w:val="auto"/>
                <w:w w:val="97"/>
              </w:rPr>
              <w:t>CTRL</w:t>
            </w:r>
          </w:p>
        </w:tc>
        <w:tc>
          <w:tcPr>
            <w:tcW w:w="40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TH</w:t>
            </w:r>
          </w:p>
        </w:tc>
        <w:tc>
          <w:tcPr>
            <w:tcW w:w="920" w:type="dxa"/>
            <w:vAlign w:val="bottom"/>
            <w:vMerge w:val="restart"/>
          </w:tcPr>
          <w:p>
            <w:pPr>
              <w:jc w:val="center"/>
              <w:ind w:right="89"/>
              <w:spacing w:after="0"/>
              <w:rPr>
                <w:sz w:val="20"/>
                <w:szCs w:val="20"/>
                <w:color w:val="auto"/>
              </w:rPr>
            </w:pPr>
            <w:r>
              <w:rPr>
                <w:rFonts w:ascii="Arial" w:cs="Arial" w:eastAsia="Arial" w:hAnsi="Arial"/>
                <w:sz w:val="20"/>
                <w:szCs w:val="20"/>
                <w:b w:val="1"/>
                <w:bCs w:val="1"/>
                <w:color w:val="auto"/>
              </w:rPr>
              <w:t>CTRL</w:t>
            </w:r>
          </w:p>
        </w:tc>
        <w:tc>
          <w:tcPr>
            <w:tcW w:w="460" w:type="dxa"/>
            <w:vAlign w:val="bottom"/>
            <w:vMerge w:val="restart"/>
          </w:tcPr>
          <w:p>
            <w:pPr>
              <w:jc w:val="center"/>
              <w:ind w:right="29"/>
              <w:spacing w:after="0"/>
              <w:rPr>
                <w:sz w:val="20"/>
                <w:szCs w:val="20"/>
                <w:color w:val="auto"/>
              </w:rPr>
            </w:pPr>
            <w:r>
              <w:rPr>
                <w:rFonts w:ascii="Arial" w:cs="Arial" w:eastAsia="Arial" w:hAnsi="Arial"/>
                <w:sz w:val="20"/>
                <w:szCs w:val="20"/>
                <w:b w:val="1"/>
                <w:bCs w:val="1"/>
                <w:color w:val="auto"/>
                <w:w w:val="97"/>
              </w:rPr>
              <w:t>TH</w:t>
            </w:r>
          </w:p>
        </w:tc>
        <w:tc>
          <w:tcPr>
            <w:tcW w:w="940" w:type="dxa"/>
            <w:vAlign w:val="bottom"/>
            <w:vMerge w:val="restart"/>
          </w:tcPr>
          <w:p>
            <w:pPr>
              <w:jc w:val="center"/>
              <w:spacing w:after="0"/>
              <w:rPr>
                <w:sz w:val="20"/>
                <w:szCs w:val="20"/>
                <w:color w:val="auto"/>
              </w:rPr>
            </w:pPr>
            <w:r>
              <w:rPr>
                <w:rFonts w:ascii="Arial" w:cs="Arial" w:eastAsia="Arial" w:hAnsi="Arial"/>
                <w:sz w:val="20"/>
                <w:szCs w:val="20"/>
                <w:b w:val="1"/>
                <w:bCs w:val="1"/>
                <w:color w:val="auto"/>
              </w:rPr>
              <w:t>CTRL</w:t>
            </w:r>
          </w:p>
        </w:tc>
        <w:tc>
          <w:tcPr>
            <w:tcW w:w="540" w:type="dxa"/>
            <w:vAlign w:val="bottom"/>
            <w:vMerge w:val="restart"/>
          </w:tcPr>
          <w:p>
            <w:pPr>
              <w:jc w:val="center"/>
              <w:ind w:right="29"/>
              <w:spacing w:after="0"/>
              <w:rPr>
                <w:sz w:val="20"/>
                <w:szCs w:val="20"/>
                <w:color w:val="auto"/>
              </w:rPr>
            </w:pPr>
            <w:r>
              <w:rPr>
                <w:rFonts w:ascii="Arial" w:cs="Arial" w:eastAsia="Arial" w:hAnsi="Arial"/>
                <w:sz w:val="20"/>
                <w:szCs w:val="20"/>
                <w:b w:val="1"/>
                <w:bCs w:val="1"/>
                <w:color w:val="auto"/>
                <w:w w:val="97"/>
              </w:rPr>
              <w:t>TH</w:t>
            </w:r>
          </w:p>
        </w:tc>
        <w:tc>
          <w:tcPr>
            <w:tcW w:w="800" w:type="dxa"/>
            <w:vAlign w:val="bottom"/>
            <w:vMerge w:val="restart"/>
          </w:tcPr>
          <w:p>
            <w:pPr>
              <w:ind w:left="120"/>
              <w:spacing w:after="0"/>
              <w:rPr>
                <w:sz w:val="20"/>
                <w:szCs w:val="20"/>
                <w:color w:val="auto"/>
              </w:rPr>
            </w:pPr>
            <w:r>
              <w:rPr>
                <w:rFonts w:ascii="Arial" w:cs="Arial" w:eastAsia="Arial" w:hAnsi="Arial"/>
                <w:sz w:val="20"/>
                <w:szCs w:val="20"/>
                <w:b w:val="1"/>
                <w:bCs w:val="1"/>
                <w:color w:val="auto"/>
              </w:rPr>
              <w:t>CTRL</w:t>
            </w:r>
          </w:p>
        </w:tc>
        <w:tc>
          <w:tcPr>
            <w:tcW w:w="540" w:type="dxa"/>
            <w:vAlign w:val="bottom"/>
            <w:vMerge w:val="restart"/>
          </w:tcPr>
          <w:p>
            <w:pPr>
              <w:ind w:left="120"/>
              <w:spacing w:after="0"/>
              <w:rPr>
                <w:sz w:val="20"/>
                <w:szCs w:val="20"/>
                <w:color w:val="auto"/>
              </w:rPr>
            </w:pPr>
            <w:r>
              <w:rPr>
                <w:rFonts w:ascii="Arial" w:cs="Arial" w:eastAsia="Arial" w:hAnsi="Arial"/>
                <w:sz w:val="20"/>
                <w:szCs w:val="20"/>
                <w:b w:val="1"/>
                <w:bCs w:val="1"/>
                <w:color w:val="auto"/>
              </w:rPr>
              <w:t>TH</w:t>
            </w:r>
          </w:p>
        </w:tc>
        <w:tc>
          <w:tcPr>
            <w:tcW w:w="680" w:type="dxa"/>
            <w:vAlign w:val="bottom"/>
            <w:vMerge w:val="restart"/>
          </w:tcPr>
          <w:p>
            <w:pPr>
              <w:ind w:left="140"/>
              <w:spacing w:after="0"/>
              <w:rPr>
                <w:sz w:val="20"/>
                <w:szCs w:val="20"/>
                <w:color w:val="auto"/>
              </w:rPr>
            </w:pPr>
            <w:r>
              <w:rPr>
                <w:rFonts w:ascii="Arial" w:cs="Arial" w:eastAsia="Arial" w:hAnsi="Arial"/>
                <w:sz w:val="20"/>
                <w:szCs w:val="20"/>
                <w:b w:val="1"/>
                <w:bCs w:val="1"/>
                <w:color w:val="auto"/>
                <w:w w:val="97"/>
              </w:rPr>
              <w:t>CTRL</w:t>
            </w:r>
          </w:p>
        </w:tc>
        <w:tc>
          <w:tcPr>
            <w:tcW w:w="880" w:type="dxa"/>
            <w:vAlign w:val="bottom"/>
            <w:vMerge w:val="restart"/>
          </w:tcPr>
          <w:p>
            <w:pPr>
              <w:jc w:val="right"/>
              <w:ind w:right="149"/>
              <w:spacing w:after="0"/>
              <w:rPr>
                <w:sz w:val="20"/>
                <w:szCs w:val="20"/>
                <w:color w:val="auto"/>
              </w:rPr>
            </w:pPr>
            <w:r>
              <w:rPr>
                <w:rFonts w:ascii="Arial" w:cs="Arial" w:eastAsia="Arial" w:hAnsi="Arial"/>
                <w:sz w:val="20"/>
                <w:szCs w:val="20"/>
                <w:b w:val="1"/>
                <w:bCs w:val="1"/>
                <w:color w:val="auto"/>
              </w:rPr>
              <w:t>TH</w:t>
            </w:r>
          </w:p>
        </w:tc>
        <w:tc>
          <w:tcPr>
            <w:tcW w:w="700" w:type="dxa"/>
            <w:vAlign w:val="bottom"/>
            <w:vMerge w:val="restart"/>
          </w:tcPr>
          <w:p>
            <w:pPr>
              <w:ind w:left="160"/>
              <w:spacing w:after="0"/>
              <w:rPr>
                <w:sz w:val="20"/>
                <w:szCs w:val="20"/>
                <w:color w:val="auto"/>
              </w:rPr>
            </w:pPr>
            <w:r>
              <w:rPr>
                <w:rFonts w:ascii="Arial" w:cs="Arial" w:eastAsia="Arial" w:hAnsi="Arial"/>
                <w:sz w:val="20"/>
                <w:szCs w:val="20"/>
                <w:b w:val="1"/>
                <w:bCs w:val="1"/>
                <w:color w:val="auto"/>
                <w:w w:val="97"/>
              </w:rPr>
              <w:t>CTRL</w:t>
            </w:r>
          </w:p>
        </w:tc>
        <w:tc>
          <w:tcPr>
            <w:tcW w:w="900" w:type="dxa"/>
            <w:vAlign w:val="bottom"/>
            <w:vMerge w:val="restart"/>
          </w:tcPr>
          <w:p>
            <w:pPr>
              <w:jc w:val="right"/>
              <w:ind w:right="169"/>
              <w:spacing w:after="0"/>
              <w:rPr>
                <w:sz w:val="20"/>
                <w:szCs w:val="20"/>
                <w:color w:val="auto"/>
              </w:rPr>
            </w:pPr>
            <w:r>
              <w:rPr>
                <w:rFonts w:ascii="Arial" w:cs="Arial" w:eastAsia="Arial" w:hAnsi="Arial"/>
                <w:sz w:val="20"/>
                <w:szCs w:val="20"/>
                <w:b w:val="1"/>
                <w:bCs w:val="1"/>
                <w:color w:val="auto"/>
              </w:rPr>
              <w:t>TH</w:t>
            </w:r>
          </w:p>
        </w:tc>
        <w:tc>
          <w:tcPr>
            <w:tcW w:w="0" w:type="dxa"/>
            <w:vAlign w:val="bottom"/>
          </w:tcPr>
          <w:p>
            <w:pPr>
              <w:spacing w:after="0" w:line="20" w:lineRule="exact"/>
              <w:rPr>
                <w:sz w:val="1"/>
                <w:szCs w:val="1"/>
                <w:color w:val="auto"/>
              </w:rPr>
            </w:pPr>
          </w:p>
        </w:tc>
      </w:tr>
      <w:tr>
        <w:trPr>
          <w:trHeight w:val="240"/>
        </w:trPr>
        <w:tc>
          <w:tcPr>
            <w:tcW w:w="880" w:type="dxa"/>
            <w:vAlign w:val="bottom"/>
          </w:tcPr>
          <w:p>
            <w:pPr>
              <w:spacing w:after="0"/>
              <w:rPr>
                <w:sz w:val="20"/>
                <w:szCs w:val="20"/>
                <w:color w:val="auto"/>
              </w:rPr>
            </w:pPr>
          </w:p>
        </w:tc>
        <w:tc>
          <w:tcPr>
            <w:tcW w:w="840" w:type="dxa"/>
            <w:vAlign w:val="bottom"/>
            <w:vMerge w:val="continue"/>
          </w:tcPr>
          <w:p>
            <w:pPr>
              <w:spacing w:after="0"/>
              <w:rPr>
                <w:sz w:val="20"/>
                <w:szCs w:val="20"/>
                <w:color w:val="auto"/>
              </w:rPr>
            </w:pPr>
          </w:p>
        </w:tc>
        <w:tc>
          <w:tcPr>
            <w:tcW w:w="400" w:type="dxa"/>
            <w:vAlign w:val="bottom"/>
            <w:vMerge w:val="continue"/>
          </w:tcPr>
          <w:p>
            <w:pPr>
              <w:spacing w:after="0"/>
              <w:rPr>
                <w:sz w:val="20"/>
                <w:szCs w:val="20"/>
                <w:color w:val="auto"/>
              </w:rPr>
            </w:pPr>
          </w:p>
        </w:tc>
        <w:tc>
          <w:tcPr>
            <w:tcW w:w="920" w:type="dxa"/>
            <w:vAlign w:val="bottom"/>
            <w:vMerge w:val="continue"/>
          </w:tcPr>
          <w:p>
            <w:pPr>
              <w:spacing w:after="0"/>
              <w:rPr>
                <w:sz w:val="20"/>
                <w:szCs w:val="20"/>
                <w:color w:val="auto"/>
              </w:rPr>
            </w:pPr>
          </w:p>
        </w:tc>
        <w:tc>
          <w:tcPr>
            <w:tcW w:w="460" w:type="dxa"/>
            <w:vAlign w:val="bottom"/>
            <w:vMerge w:val="continue"/>
          </w:tcPr>
          <w:p>
            <w:pPr>
              <w:spacing w:after="0"/>
              <w:rPr>
                <w:sz w:val="20"/>
                <w:szCs w:val="20"/>
                <w:color w:val="auto"/>
              </w:rPr>
            </w:pPr>
          </w:p>
        </w:tc>
        <w:tc>
          <w:tcPr>
            <w:tcW w:w="940" w:type="dxa"/>
            <w:vAlign w:val="bottom"/>
            <w:vMerge w:val="continue"/>
          </w:tcPr>
          <w:p>
            <w:pPr>
              <w:spacing w:after="0"/>
              <w:rPr>
                <w:sz w:val="20"/>
                <w:szCs w:val="20"/>
                <w:color w:val="auto"/>
              </w:rPr>
            </w:pPr>
          </w:p>
        </w:tc>
        <w:tc>
          <w:tcPr>
            <w:tcW w:w="540" w:type="dxa"/>
            <w:vAlign w:val="bottom"/>
            <w:vMerge w:val="continue"/>
          </w:tcPr>
          <w:p>
            <w:pPr>
              <w:spacing w:after="0"/>
              <w:rPr>
                <w:sz w:val="20"/>
                <w:szCs w:val="20"/>
                <w:color w:val="auto"/>
              </w:rPr>
            </w:pPr>
          </w:p>
        </w:tc>
        <w:tc>
          <w:tcPr>
            <w:tcW w:w="800" w:type="dxa"/>
            <w:vAlign w:val="bottom"/>
            <w:vMerge w:val="continue"/>
          </w:tcPr>
          <w:p>
            <w:pPr>
              <w:spacing w:after="0"/>
              <w:rPr>
                <w:sz w:val="20"/>
                <w:szCs w:val="20"/>
                <w:color w:val="auto"/>
              </w:rPr>
            </w:pPr>
          </w:p>
        </w:tc>
        <w:tc>
          <w:tcPr>
            <w:tcW w:w="540" w:type="dxa"/>
            <w:vAlign w:val="bottom"/>
            <w:vMerge w:val="continue"/>
          </w:tcPr>
          <w:p>
            <w:pPr>
              <w:spacing w:after="0"/>
              <w:rPr>
                <w:sz w:val="20"/>
                <w:szCs w:val="20"/>
                <w:color w:val="auto"/>
              </w:rPr>
            </w:pPr>
          </w:p>
        </w:tc>
        <w:tc>
          <w:tcPr>
            <w:tcW w:w="680" w:type="dxa"/>
            <w:vAlign w:val="bottom"/>
            <w:vMerge w:val="continue"/>
          </w:tcPr>
          <w:p>
            <w:pPr>
              <w:spacing w:after="0"/>
              <w:rPr>
                <w:sz w:val="20"/>
                <w:szCs w:val="20"/>
                <w:color w:val="auto"/>
              </w:rPr>
            </w:pPr>
          </w:p>
        </w:tc>
        <w:tc>
          <w:tcPr>
            <w:tcW w:w="880" w:type="dxa"/>
            <w:vAlign w:val="bottom"/>
            <w:vMerge w:val="continue"/>
          </w:tcPr>
          <w:p>
            <w:pPr>
              <w:spacing w:after="0"/>
              <w:rPr>
                <w:sz w:val="20"/>
                <w:szCs w:val="20"/>
                <w:color w:val="auto"/>
              </w:rPr>
            </w:pPr>
          </w:p>
        </w:tc>
        <w:tc>
          <w:tcPr>
            <w:tcW w:w="700" w:type="dxa"/>
            <w:vAlign w:val="bottom"/>
            <w:vMerge w:val="continue"/>
          </w:tcPr>
          <w:p>
            <w:pPr>
              <w:spacing w:after="0"/>
              <w:rPr>
                <w:sz w:val="20"/>
                <w:szCs w:val="20"/>
                <w:color w:val="auto"/>
              </w:rPr>
            </w:pPr>
          </w:p>
        </w:tc>
        <w:tc>
          <w:tcPr>
            <w:tcW w:w="90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126"/>
        </w:trPr>
        <w:tc>
          <w:tcPr>
            <w:tcW w:w="880" w:type="dxa"/>
            <w:vAlign w:val="bottom"/>
            <w:tcBorders>
              <w:bottom w:val="single" w:sz="8" w:color="auto"/>
            </w:tcBorders>
          </w:tcPr>
          <w:p>
            <w:pPr>
              <w:spacing w:after="0"/>
              <w:rPr>
                <w:sz w:val="10"/>
                <w:szCs w:val="10"/>
                <w:color w:val="auto"/>
              </w:rPr>
            </w:pPr>
          </w:p>
        </w:tc>
        <w:tc>
          <w:tcPr>
            <w:tcW w:w="840" w:type="dxa"/>
            <w:vAlign w:val="bottom"/>
            <w:tcBorders>
              <w:bottom w:val="single" w:sz="8" w:color="auto"/>
            </w:tcBorders>
          </w:tcPr>
          <w:p>
            <w:pPr>
              <w:spacing w:after="0"/>
              <w:rPr>
                <w:sz w:val="10"/>
                <w:szCs w:val="10"/>
                <w:color w:val="auto"/>
              </w:rPr>
            </w:pPr>
          </w:p>
        </w:tc>
        <w:tc>
          <w:tcPr>
            <w:tcW w:w="400" w:type="dxa"/>
            <w:vAlign w:val="bottom"/>
            <w:tcBorders>
              <w:bottom w:val="single" w:sz="8" w:color="auto"/>
            </w:tcBorders>
          </w:tcPr>
          <w:p>
            <w:pPr>
              <w:spacing w:after="0"/>
              <w:rPr>
                <w:sz w:val="10"/>
                <w:szCs w:val="10"/>
                <w:color w:val="auto"/>
              </w:rPr>
            </w:pPr>
          </w:p>
        </w:tc>
        <w:tc>
          <w:tcPr>
            <w:tcW w:w="920" w:type="dxa"/>
            <w:vAlign w:val="bottom"/>
            <w:tcBorders>
              <w:bottom w:val="single" w:sz="8" w:color="auto"/>
            </w:tcBorders>
          </w:tcPr>
          <w:p>
            <w:pPr>
              <w:spacing w:after="0"/>
              <w:rPr>
                <w:sz w:val="10"/>
                <w:szCs w:val="10"/>
                <w:color w:val="auto"/>
              </w:rPr>
            </w:pPr>
          </w:p>
        </w:tc>
        <w:tc>
          <w:tcPr>
            <w:tcW w:w="460" w:type="dxa"/>
            <w:vAlign w:val="bottom"/>
            <w:tcBorders>
              <w:bottom w:val="single" w:sz="8" w:color="auto"/>
            </w:tcBorders>
          </w:tcPr>
          <w:p>
            <w:pPr>
              <w:spacing w:after="0"/>
              <w:rPr>
                <w:sz w:val="10"/>
                <w:szCs w:val="10"/>
                <w:color w:val="auto"/>
              </w:rPr>
            </w:pPr>
          </w:p>
        </w:tc>
        <w:tc>
          <w:tcPr>
            <w:tcW w:w="94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800" w:type="dxa"/>
            <w:vAlign w:val="bottom"/>
            <w:tcBorders>
              <w:bottom w:val="single" w:sz="8" w:color="auto"/>
            </w:tcBorders>
          </w:tcPr>
          <w:p>
            <w:pPr>
              <w:spacing w:after="0"/>
              <w:rPr>
                <w:sz w:val="10"/>
                <w:szCs w:val="10"/>
                <w:color w:val="auto"/>
              </w:rPr>
            </w:pPr>
          </w:p>
        </w:tc>
        <w:tc>
          <w:tcPr>
            <w:tcW w:w="540" w:type="dxa"/>
            <w:vAlign w:val="bottom"/>
            <w:tcBorders>
              <w:bottom w:val="single" w:sz="8" w:color="auto"/>
            </w:tcBorders>
          </w:tcPr>
          <w:p>
            <w:pPr>
              <w:spacing w:after="0"/>
              <w:rPr>
                <w:sz w:val="10"/>
                <w:szCs w:val="10"/>
                <w:color w:val="auto"/>
              </w:rPr>
            </w:pPr>
          </w:p>
        </w:tc>
        <w:tc>
          <w:tcPr>
            <w:tcW w:w="680" w:type="dxa"/>
            <w:vAlign w:val="bottom"/>
            <w:tcBorders>
              <w:bottom w:val="single" w:sz="8" w:color="auto"/>
            </w:tcBorders>
          </w:tcPr>
          <w:p>
            <w:pPr>
              <w:spacing w:after="0"/>
              <w:rPr>
                <w:sz w:val="10"/>
                <w:szCs w:val="10"/>
                <w:color w:val="auto"/>
              </w:rPr>
            </w:pPr>
          </w:p>
        </w:tc>
        <w:tc>
          <w:tcPr>
            <w:tcW w:w="880" w:type="dxa"/>
            <w:vAlign w:val="bottom"/>
            <w:tcBorders>
              <w:bottom w:val="single" w:sz="8" w:color="auto"/>
            </w:tcBorders>
          </w:tcPr>
          <w:p>
            <w:pPr>
              <w:spacing w:after="0"/>
              <w:rPr>
                <w:sz w:val="10"/>
                <w:szCs w:val="10"/>
                <w:color w:val="auto"/>
              </w:rPr>
            </w:pPr>
          </w:p>
        </w:tc>
        <w:tc>
          <w:tcPr>
            <w:tcW w:w="700" w:type="dxa"/>
            <w:vAlign w:val="bottom"/>
            <w:tcBorders>
              <w:bottom w:val="single" w:sz="8" w:color="auto"/>
            </w:tcBorders>
          </w:tcPr>
          <w:p>
            <w:pPr>
              <w:spacing w:after="0"/>
              <w:rPr>
                <w:sz w:val="10"/>
                <w:szCs w:val="10"/>
                <w:color w:val="auto"/>
              </w:rPr>
            </w:pPr>
          </w:p>
        </w:tc>
        <w:tc>
          <w:tcPr>
            <w:tcW w:w="900" w:type="dxa"/>
            <w:vAlign w:val="bottom"/>
            <w:tcBorders>
              <w:bottom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51"/>
        </w:trPr>
        <w:tc>
          <w:tcPr>
            <w:tcW w:w="880" w:type="dxa"/>
            <w:vAlign w:val="bottom"/>
          </w:tcPr>
          <w:p>
            <w:pPr>
              <w:ind w:left="120"/>
              <w:spacing w:after="0"/>
              <w:rPr>
                <w:sz w:val="20"/>
                <w:szCs w:val="20"/>
                <w:color w:val="auto"/>
              </w:rPr>
            </w:pPr>
            <w:r>
              <w:rPr>
                <w:rFonts w:ascii="Arial" w:cs="Arial" w:eastAsia="Arial" w:hAnsi="Arial"/>
                <w:sz w:val="18"/>
                <w:szCs w:val="18"/>
                <w:color w:val="auto"/>
              </w:rPr>
              <w:t>1</w:t>
            </w:r>
          </w:p>
        </w:tc>
        <w:tc>
          <w:tcPr>
            <w:tcW w:w="840" w:type="dxa"/>
            <w:vAlign w:val="bottom"/>
          </w:tcPr>
          <w:p>
            <w:pPr>
              <w:jc w:val="center"/>
              <w:spacing w:after="0"/>
              <w:rPr>
                <w:sz w:val="20"/>
                <w:szCs w:val="20"/>
                <w:color w:val="auto"/>
              </w:rPr>
            </w:pPr>
            <w:r>
              <w:rPr>
                <w:rFonts w:ascii="Arial" w:cs="Arial" w:eastAsia="Arial" w:hAnsi="Arial"/>
                <w:sz w:val="18"/>
                <w:szCs w:val="18"/>
                <w:color w:val="auto"/>
              </w:rPr>
              <w:t>F</w:t>
            </w:r>
          </w:p>
        </w:tc>
        <w:tc>
          <w:tcPr>
            <w:tcW w:w="400" w:type="dxa"/>
            <w:vAlign w:val="bottom"/>
          </w:tcPr>
          <w:p>
            <w:pPr>
              <w:jc w:val="center"/>
              <w:ind w:right="9"/>
              <w:spacing w:after="0"/>
              <w:rPr>
                <w:sz w:val="20"/>
                <w:szCs w:val="20"/>
                <w:color w:val="auto"/>
              </w:rPr>
            </w:pPr>
            <w:r>
              <w:rPr>
                <w:rFonts w:ascii="Arial" w:cs="Arial" w:eastAsia="Arial" w:hAnsi="Arial"/>
                <w:sz w:val="18"/>
                <w:szCs w:val="18"/>
                <w:color w:val="auto"/>
                <w:w w:val="90"/>
              </w:rPr>
              <w:t>F</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70</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58</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3</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16</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24</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3650</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w w:val="99"/>
              </w:rPr>
              <w:t>905</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3800</w:t>
            </w:r>
          </w:p>
        </w:tc>
        <w:tc>
          <w:tcPr>
            <w:tcW w:w="900" w:type="dxa"/>
            <w:vAlign w:val="bottom"/>
          </w:tcPr>
          <w:p>
            <w:pPr>
              <w:jc w:val="center"/>
              <w:ind w:left="29"/>
              <w:spacing w:after="0"/>
              <w:rPr>
                <w:sz w:val="20"/>
                <w:szCs w:val="20"/>
                <w:color w:val="auto"/>
              </w:rPr>
            </w:pPr>
            <w:r>
              <w:rPr>
                <w:rFonts w:ascii="Arial" w:cs="Arial" w:eastAsia="Arial" w:hAnsi="Arial"/>
                <w:sz w:val="18"/>
                <w:szCs w:val="18"/>
                <w:color w:val="auto"/>
                <w:w w:val="99"/>
              </w:rPr>
              <w:t>977</w:t>
            </w:r>
          </w:p>
        </w:tc>
        <w:tc>
          <w:tcPr>
            <w:tcW w:w="0" w:type="dxa"/>
            <w:vAlign w:val="bottom"/>
          </w:tcPr>
          <w:p>
            <w:pPr>
              <w:spacing w:after="0"/>
              <w:rPr>
                <w:sz w:val="1"/>
                <w:szCs w:val="1"/>
                <w:color w:val="auto"/>
              </w:rPr>
            </w:pPr>
          </w:p>
        </w:tc>
      </w:tr>
      <w:tr>
        <w:trPr>
          <w:trHeight w:val="267"/>
        </w:trPr>
        <w:tc>
          <w:tcPr>
            <w:tcW w:w="880" w:type="dxa"/>
            <w:vAlign w:val="bottom"/>
          </w:tcPr>
          <w:p>
            <w:pPr>
              <w:ind w:left="120"/>
              <w:spacing w:after="0"/>
              <w:rPr>
                <w:sz w:val="20"/>
                <w:szCs w:val="20"/>
                <w:color w:val="auto"/>
              </w:rPr>
            </w:pPr>
            <w:r>
              <w:rPr>
                <w:rFonts w:ascii="Arial" w:cs="Arial" w:eastAsia="Arial" w:hAnsi="Arial"/>
                <w:sz w:val="18"/>
                <w:szCs w:val="18"/>
                <w:color w:val="auto"/>
              </w:rPr>
              <w:t>2</w:t>
            </w:r>
          </w:p>
        </w:tc>
        <w:tc>
          <w:tcPr>
            <w:tcW w:w="840" w:type="dxa"/>
            <w:vAlign w:val="bottom"/>
          </w:tcPr>
          <w:p>
            <w:pPr>
              <w:jc w:val="center"/>
              <w:spacing w:after="0"/>
              <w:rPr>
                <w:sz w:val="20"/>
                <w:szCs w:val="20"/>
                <w:color w:val="auto"/>
              </w:rPr>
            </w:pPr>
            <w:r>
              <w:rPr>
                <w:rFonts w:ascii="Arial" w:cs="Arial" w:eastAsia="Arial" w:hAnsi="Arial"/>
                <w:sz w:val="18"/>
                <w:szCs w:val="18"/>
                <w:color w:val="auto"/>
              </w:rPr>
              <w:t>M</w:t>
            </w:r>
          </w:p>
        </w:tc>
        <w:tc>
          <w:tcPr>
            <w:tcW w:w="400" w:type="dxa"/>
            <w:vAlign w:val="bottom"/>
          </w:tcPr>
          <w:p>
            <w:pPr>
              <w:jc w:val="center"/>
              <w:spacing w:after="0"/>
              <w:rPr>
                <w:sz w:val="20"/>
                <w:szCs w:val="20"/>
                <w:color w:val="auto"/>
              </w:rPr>
            </w:pPr>
            <w:r>
              <w:rPr>
                <w:rFonts w:ascii="Arial" w:cs="Arial" w:eastAsia="Arial" w:hAnsi="Arial"/>
                <w:sz w:val="18"/>
                <w:szCs w:val="18"/>
                <w:color w:val="auto"/>
              </w:rPr>
              <w:t>M</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64</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58</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4</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12</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7</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3400</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1603</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3600</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1403</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3</w:t>
            </w:r>
          </w:p>
        </w:tc>
        <w:tc>
          <w:tcPr>
            <w:tcW w:w="840" w:type="dxa"/>
            <w:vAlign w:val="bottom"/>
          </w:tcPr>
          <w:p>
            <w:pPr>
              <w:jc w:val="center"/>
              <w:spacing w:after="0"/>
              <w:rPr>
                <w:sz w:val="20"/>
                <w:szCs w:val="20"/>
                <w:color w:val="auto"/>
              </w:rPr>
            </w:pPr>
            <w:r>
              <w:rPr>
                <w:rFonts w:ascii="Arial" w:cs="Arial" w:eastAsia="Arial" w:hAnsi="Arial"/>
                <w:sz w:val="18"/>
                <w:szCs w:val="18"/>
                <w:color w:val="auto"/>
              </w:rPr>
              <w:t>F</w:t>
            </w:r>
          </w:p>
        </w:tc>
        <w:tc>
          <w:tcPr>
            <w:tcW w:w="400" w:type="dxa"/>
            <w:vAlign w:val="bottom"/>
          </w:tcPr>
          <w:p>
            <w:pPr>
              <w:jc w:val="center"/>
              <w:ind w:right="9"/>
              <w:spacing w:after="0"/>
              <w:rPr>
                <w:sz w:val="20"/>
                <w:szCs w:val="20"/>
                <w:color w:val="auto"/>
              </w:rPr>
            </w:pPr>
            <w:r>
              <w:rPr>
                <w:rFonts w:ascii="Arial" w:cs="Arial" w:eastAsia="Arial" w:hAnsi="Arial"/>
                <w:sz w:val="18"/>
                <w:szCs w:val="18"/>
                <w:color w:val="auto"/>
                <w:w w:val="90"/>
              </w:rPr>
              <w:t>F</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65</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61</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4</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13</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6</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1105</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w w:val="99"/>
              </w:rPr>
              <w:t>977</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1141</w:t>
            </w:r>
          </w:p>
        </w:tc>
        <w:tc>
          <w:tcPr>
            <w:tcW w:w="900" w:type="dxa"/>
            <w:vAlign w:val="bottom"/>
          </w:tcPr>
          <w:p>
            <w:pPr>
              <w:jc w:val="center"/>
              <w:ind w:left="29"/>
              <w:spacing w:after="0"/>
              <w:rPr>
                <w:sz w:val="20"/>
                <w:szCs w:val="20"/>
                <w:color w:val="auto"/>
              </w:rPr>
            </w:pPr>
            <w:r>
              <w:rPr>
                <w:rFonts w:ascii="Arial" w:cs="Arial" w:eastAsia="Arial" w:hAnsi="Arial"/>
                <w:sz w:val="18"/>
                <w:szCs w:val="18"/>
                <w:color w:val="auto"/>
                <w:w w:val="99"/>
              </w:rPr>
              <w:t>877</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4</w:t>
            </w:r>
          </w:p>
        </w:tc>
        <w:tc>
          <w:tcPr>
            <w:tcW w:w="840" w:type="dxa"/>
            <w:vAlign w:val="bottom"/>
          </w:tcPr>
          <w:p>
            <w:pPr>
              <w:jc w:val="center"/>
              <w:spacing w:after="0"/>
              <w:rPr>
                <w:sz w:val="20"/>
                <w:szCs w:val="20"/>
                <w:color w:val="auto"/>
              </w:rPr>
            </w:pPr>
            <w:r>
              <w:rPr>
                <w:rFonts w:ascii="Arial" w:cs="Arial" w:eastAsia="Arial" w:hAnsi="Arial"/>
                <w:sz w:val="18"/>
                <w:szCs w:val="18"/>
                <w:color w:val="auto"/>
              </w:rPr>
              <w:t>F</w:t>
            </w:r>
          </w:p>
        </w:tc>
        <w:tc>
          <w:tcPr>
            <w:tcW w:w="400" w:type="dxa"/>
            <w:vAlign w:val="bottom"/>
          </w:tcPr>
          <w:p>
            <w:pPr>
              <w:jc w:val="center"/>
              <w:ind w:right="9"/>
              <w:spacing w:after="0"/>
              <w:rPr>
                <w:sz w:val="20"/>
                <w:szCs w:val="20"/>
                <w:color w:val="auto"/>
              </w:rPr>
            </w:pPr>
            <w:r>
              <w:rPr>
                <w:rFonts w:ascii="Arial" w:cs="Arial" w:eastAsia="Arial" w:hAnsi="Arial"/>
                <w:sz w:val="18"/>
                <w:szCs w:val="18"/>
                <w:color w:val="auto"/>
                <w:w w:val="90"/>
              </w:rPr>
              <w:t>F</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62</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72</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4</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9</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12</w:t>
            </w:r>
          </w:p>
        </w:tc>
        <w:tc>
          <w:tcPr>
            <w:tcW w:w="680" w:type="dxa"/>
            <w:vAlign w:val="bottom"/>
          </w:tcPr>
          <w:p>
            <w:pPr>
              <w:jc w:val="center"/>
              <w:ind w:left="49"/>
              <w:spacing w:after="0"/>
              <w:rPr>
                <w:sz w:val="20"/>
                <w:szCs w:val="20"/>
                <w:color w:val="auto"/>
              </w:rPr>
            </w:pPr>
            <w:r>
              <w:rPr>
                <w:rFonts w:ascii="Arial" w:cs="Arial" w:eastAsia="Arial" w:hAnsi="Arial"/>
                <w:sz w:val="18"/>
                <w:szCs w:val="18"/>
                <w:color w:val="auto"/>
                <w:w w:val="99"/>
              </w:rPr>
              <w:t>805</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3400</w:t>
            </w:r>
          </w:p>
        </w:tc>
        <w:tc>
          <w:tcPr>
            <w:tcW w:w="700" w:type="dxa"/>
            <w:vAlign w:val="bottom"/>
          </w:tcPr>
          <w:p>
            <w:pPr>
              <w:jc w:val="center"/>
              <w:ind w:left="29"/>
              <w:spacing w:after="0"/>
              <w:rPr>
                <w:sz w:val="20"/>
                <w:szCs w:val="20"/>
                <w:color w:val="auto"/>
              </w:rPr>
            </w:pPr>
            <w:r>
              <w:rPr>
                <w:rFonts w:ascii="Arial" w:cs="Arial" w:eastAsia="Arial" w:hAnsi="Arial"/>
                <w:sz w:val="18"/>
                <w:szCs w:val="18"/>
                <w:color w:val="auto"/>
                <w:w w:val="99"/>
              </w:rPr>
              <w:t>705</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3400</w:t>
            </w:r>
          </w:p>
        </w:tc>
        <w:tc>
          <w:tcPr>
            <w:tcW w:w="0" w:type="dxa"/>
            <w:vAlign w:val="bottom"/>
          </w:tcPr>
          <w:p>
            <w:pPr>
              <w:spacing w:after="0"/>
              <w:rPr>
                <w:sz w:val="1"/>
                <w:szCs w:val="1"/>
                <w:color w:val="auto"/>
              </w:rPr>
            </w:pPr>
          </w:p>
        </w:tc>
      </w:tr>
      <w:tr>
        <w:trPr>
          <w:trHeight w:val="269"/>
        </w:trPr>
        <w:tc>
          <w:tcPr>
            <w:tcW w:w="880" w:type="dxa"/>
            <w:vAlign w:val="bottom"/>
          </w:tcPr>
          <w:p>
            <w:pPr>
              <w:ind w:left="120"/>
              <w:spacing w:after="0"/>
              <w:rPr>
                <w:sz w:val="20"/>
                <w:szCs w:val="20"/>
                <w:color w:val="auto"/>
              </w:rPr>
            </w:pPr>
            <w:r>
              <w:rPr>
                <w:rFonts w:ascii="Arial" w:cs="Arial" w:eastAsia="Arial" w:hAnsi="Arial"/>
                <w:sz w:val="18"/>
                <w:szCs w:val="18"/>
                <w:color w:val="auto"/>
              </w:rPr>
              <w:t>5</w:t>
            </w:r>
          </w:p>
        </w:tc>
        <w:tc>
          <w:tcPr>
            <w:tcW w:w="840" w:type="dxa"/>
            <w:vAlign w:val="bottom"/>
          </w:tcPr>
          <w:p>
            <w:pPr>
              <w:jc w:val="center"/>
              <w:spacing w:after="0"/>
              <w:rPr>
                <w:sz w:val="20"/>
                <w:szCs w:val="20"/>
                <w:color w:val="auto"/>
              </w:rPr>
            </w:pPr>
            <w:r>
              <w:rPr>
                <w:rFonts w:ascii="Arial" w:cs="Arial" w:eastAsia="Arial" w:hAnsi="Arial"/>
                <w:sz w:val="18"/>
                <w:szCs w:val="18"/>
                <w:color w:val="auto"/>
              </w:rPr>
              <w:t>M</w:t>
            </w:r>
          </w:p>
        </w:tc>
        <w:tc>
          <w:tcPr>
            <w:tcW w:w="400" w:type="dxa"/>
            <w:vAlign w:val="bottom"/>
          </w:tcPr>
          <w:p>
            <w:pPr>
              <w:jc w:val="center"/>
              <w:spacing w:after="0"/>
              <w:rPr>
                <w:sz w:val="20"/>
                <w:szCs w:val="20"/>
                <w:color w:val="auto"/>
              </w:rPr>
            </w:pPr>
            <w:r>
              <w:rPr>
                <w:rFonts w:ascii="Arial" w:cs="Arial" w:eastAsia="Arial" w:hAnsi="Arial"/>
                <w:sz w:val="18"/>
                <w:szCs w:val="18"/>
                <w:color w:val="auto"/>
              </w:rPr>
              <w:t>M</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59</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65</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3</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3</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5</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8</w:t>
            </w:r>
          </w:p>
        </w:tc>
        <w:tc>
          <w:tcPr>
            <w:tcW w:w="680" w:type="dxa"/>
            <w:vAlign w:val="bottom"/>
          </w:tcPr>
          <w:p>
            <w:pPr>
              <w:jc w:val="center"/>
              <w:ind w:left="49"/>
              <w:spacing w:after="0"/>
              <w:rPr>
                <w:sz w:val="20"/>
                <w:szCs w:val="20"/>
                <w:color w:val="auto"/>
              </w:rPr>
            </w:pPr>
            <w:r>
              <w:rPr>
                <w:rFonts w:ascii="Arial" w:cs="Arial" w:eastAsia="Arial" w:hAnsi="Arial"/>
                <w:sz w:val="18"/>
                <w:szCs w:val="18"/>
                <w:color w:val="auto"/>
                <w:w w:val="99"/>
              </w:rPr>
              <w:t>200</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1263</w:t>
            </w:r>
          </w:p>
        </w:tc>
        <w:tc>
          <w:tcPr>
            <w:tcW w:w="700" w:type="dxa"/>
            <w:vAlign w:val="bottom"/>
          </w:tcPr>
          <w:p>
            <w:pPr>
              <w:jc w:val="center"/>
              <w:ind w:left="29"/>
              <w:spacing w:after="0"/>
              <w:rPr>
                <w:sz w:val="20"/>
                <w:szCs w:val="20"/>
                <w:color w:val="auto"/>
              </w:rPr>
            </w:pPr>
            <w:r>
              <w:rPr>
                <w:rFonts w:ascii="Arial" w:cs="Arial" w:eastAsia="Arial" w:hAnsi="Arial"/>
                <w:sz w:val="18"/>
                <w:szCs w:val="18"/>
                <w:color w:val="auto"/>
                <w:w w:val="99"/>
              </w:rPr>
              <w:t>344</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1263</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6</w:t>
            </w:r>
          </w:p>
        </w:tc>
        <w:tc>
          <w:tcPr>
            <w:tcW w:w="840" w:type="dxa"/>
            <w:vAlign w:val="bottom"/>
          </w:tcPr>
          <w:p>
            <w:pPr>
              <w:jc w:val="center"/>
              <w:spacing w:after="0"/>
              <w:rPr>
                <w:sz w:val="20"/>
                <w:szCs w:val="20"/>
                <w:color w:val="auto"/>
              </w:rPr>
            </w:pPr>
            <w:r>
              <w:rPr>
                <w:rFonts w:ascii="Arial" w:cs="Arial" w:eastAsia="Arial" w:hAnsi="Arial"/>
                <w:sz w:val="18"/>
                <w:szCs w:val="18"/>
                <w:color w:val="auto"/>
              </w:rPr>
              <w:t>M</w:t>
            </w:r>
          </w:p>
        </w:tc>
        <w:tc>
          <w:tcPr>
            <w:tcW w:w="400" w:type="dxa"/>
            <w:vAlign w:val="bottom"/>
          </w:tcPr>
          <w:p>
            <w:pPr>
              <w:jc w:val="center"/>
              <w:spacing w:after="0"/>
              <w:rPr>
                <w:sz w:val="20"/>
                <w:szCs w:val="20"/>
                <w:color w:val="auto"/>
              </w:rPr>
            </w:pPr>
            <w:r>
              <w:rPr>
                <w:rFonts w:ascii="Arial" w:cs="Arial" w:eastAsia="Arial" w:hAnsi="Arial"/>
                <w:sz w:val="18"/>
                <w:szCs w:val="18"/>
                <w:color w:val="auto"/>
              </w:rPr>
              <w:t>M</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63</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66</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4</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10</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11</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3350</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1563</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3600</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1707</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7</w:t>
            </w:r>
          </w:p>
        </w:tc>
        <w:tc>
          <w:tcPr>
            <w:tcW w:w="840" w:type="dxa"/>
            <w:vAlign w:val="bottom"/>
          </w:tcPr>
          <w:p>
            <w:pPr>
              <w:jc w:val="center"/>
              <w:spacing w:after="0"/>
              <w:rPr>
                <w:sz w:val="20"/>
                <w:szCs w:val="20"/>
                <w:color w:val="auto"/>
              </w:rPr>
            </w:pPr>
            <w:r>
              <w:rPr>
                <w:rFonts w:ascii="Arial" w:cs="Arial" w:eastAsia="Arial" w:hAnsi="Arial"/>
                <w:sz w:val="18"/>
                <w:szCs w:val="18"/>
                <w:color w:val="auto"/>
              </w:rPr>
              <w:t>F</w:t>
            </w:r>
          </w:p>
        </w:tc>
        <w:tc>
          <w:tcPr>
            <w:tcW w:w="400" w:type="dxa"/>
            <w:vAlign w:val="bottom"/>
          </w:tcPr>
          <w:p>
            <w:pPr>
              <w:jc w:val="center"/>
              <w:ind w:right="9"/>
              <w:spacing w:after="0"/>
              <w:rPr>
                <w:sz w:val="20"/>
                <w:szCs w:val="20"/>
                <w:color w:val="auto"/>
              </w:rPr>
            </w:pPr>
            <w:r>
              <w:rPr>
                <w:rFonts w:ascii="Arial" w:cs="Arial" w:eastAsia="Arial" w:hAnsi="Arial"/>
                <w:sz w:val="18"/>
                <w:szCs w:val="18"/>
                <w:color w:val="auto"/>
                <w:w w:val="90"/>
              </w:rPr>
              <w:t>F</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65</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62</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3</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3</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6</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5</w:t>
            </w:r>
          </w:p>
        </w:tc>
        <w:tc>
          <w:tcPr>
            <w:tcW w:w="680" w:type="dxa"/>
            <w:vAlign w:val="bottom"/>
          </w:tcPr>
          <w:p>
            <w:pPr>
              <w:jc w:val="center"/>
              <w:ind w:left="49"/>
              <w:spacing w:after="0"/>
              <w:rPr>
                <w:sz w:val="20"/>
                <w:szCs w:val="20"/>
                <w:color w:val="auto"/>
              </w:rPr>
            </w:pPr>
            <w:r>
              <w:rPr>
                <w:rFonts w:ascii="Arial" w:cs="Arial" w:eastAsia="Arial" w:hAnsi="Arial"/>
                <w:sz w:val="18"/>
                <w:szCs w:val="18"/>
                <w:color w:val="auto"/>
                <w:w w:val="99"/>
              </w:rPr>
              <w:t>561</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1263</w:t>
            </w:r>
          </w:p>
        </w:tc>
        <w:tc>
          <w:tcPr>
            <w:tcW w:w="700" w:type="dxa"/>
            <w:vAlign w:val="bottom"/>
          </w:tcPr>
          <w:p>
            <w:pPr>
              <w:jc w:val="center"/>
              <w:ind w:left="29"/>
              <w:spacing w:after="0"/>
              <w:rPr>
                <w:sz w:val="20"/>
                <w:szCs w:val="20"/>
                <w:color w:val="auto"/>
              </w:rPr>
            </w:pPr>
            <w:r>
              <w:rPr>
                <w:rFonts w:ascii="Arial" w:cs="Arial" w:eastAsia="Arial" w:hAnsi="Arial"/>
                <w:sz w:val="18"/>
                <w:szCs w:val="18"/>
                <w:color w:val="auto"/>
                <w:w w:val="99"/>
              </w:rPr>
              <w:t>661</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1263</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8</w:t>
            </w:r>
          </w:p>
        </w:tc>
        <w:tc>
          <w:tcPr>
            <w:tcW w:w="840" w:type="dxa"/>
            <w:vAlign w:val="bottom"/>
          </w:tcPr>
          <w:p>
            <w:pPr>
              <w:jc w:val="center"/>
              <w:spacing w:after="0"/>
              <w:rPr>
                <w:sz w:val="20"/>
                <w:szCs w:val="20"/>
                <w:color w:val="auto"/>
              </w:rPr>
            </w:pPr>
            <w:r>
              <w:rPr>
                <w:rFonts w:ascii="Arial" w:cs="Arial" w:eastAsia="Arial" w:hAnsi="Arial"/>
                <w:sz w:val="18"/>
                <w:szCs w:val="18"/>
                <w:color w:val="auto"/>
              </w:rPr>
              <w:t>M</w:t>
            </w:r>
          </w:p>
        </w:tc>
        <w:tc>
          <w:tcPr>
            <w:tcW w:w="400" w:type="dxa"/>
            <w:vAlign w:val="bottom"/>
          </w:tcPr>
          <w:p>
            <w:pPr>
              <w:jc w:val="center"/>
              <w:spacing w:after="0"/>
              <w:rPr>
                <w:sz w:val="20"/>
                <w:szCs w:val="20"/>
                <w:color w:val="auto"/>
              </w:rPr>
            </w:pPr>
            <w:r>
              <w:rPr>
                <w:rFonts w:ascii="Arial" w:cs="Arial" w:eastAsia="Arial" w:hAnsi="Arial"/>
                <w:sz w:val="18"/>
                <w:szCs w:val="18"/>
                <w:color w:val="auto"/>
              </w:rPr>
              <w:t>M</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65</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63</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3</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3</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9</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10</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1105</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rPr>
              <w:t>1543</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1255</w:t>
            </w:r>
          </w:p>
        </w:tc>
        <w:tc>
          <w:tcPr>
            <w:tcW w:w="900" w:type="dxa"/>
            <w:vAlign w:val="bottom"/>
          </w:tcPr>
          <w:p>
            <w:pPr>
              <w:jc w:val="center"/>
              <w:ind w:left="9"/>
              <w:spacing w:after="0"/>
              <w:rPr>
                <w:sz w:val="20"/>
                <w:szCs w:val="20"/>
                <w:color w:val="auto"/>
              </w:rPr>
            </w:pPr>
            <w:r>
              <w:rPr>
                <w:rFonts w:ascii="Arial" w:cs="Arial" w:eastAsia="Arial" w:hAnsi="Arial"/>
                <w:sz w:val="18"/>
                <w:szCs w:val="18"/>
                <w:color w:val="auto"/>
                <w:w w:val="99"/>
              </w:rPr>
              <w:t>1507</w:t>
            </w:r>
          </w:p>
        </w:tc>
        <w:tc>
          <w:tcPr>
            <w:tcW w:w="0" w:type="dxa"/>
            <w:vAlign w:val="bottom"/>
          </w:tcPr>
          <w:p>
            <w:pPr>
              <w:spacing w:after="0"/>
              <w:rPr>
                <w:sz w:val="1"/>
                <w:szCs w:val="1"/>
                <w:color w:val="auto"/>
              </w:rPr>
            </w:pPr>
          </w:p>
        </w:tc>
      </w:tr>
      <w:tr>
        <w:trPr>
          <w:trHeight w:val="269"/>
        </w:trPr>
        <w:tc>
          <w:tcPr>
            <w:tcW w:w="880" w:type="dxa"/>
            <w:vAlign w:val="bottom"/>
          </w:tcPr>
          <w:p>
            <w:pPr>
              <w:ind w:left="120"/>
              <w:spacing w:after="0"/>
              <w:rPr>
                <w:sz w:val="20"/>
                <w:szCs w:val="20"/>
                <w:color w:val="auto"/>
              </w:rPr>
            </w:pPr>
            <w:r>
              <w:rPr>
                <w:rFonts w:ascii="Arial" w:cs="Arial" w:eastAsia="Arial" w:hAnsi="Arial"/>
                <w:sz w:val="18"/>
                <w:szCs w:val="18"/>
                <w:color w:val="auto"/>
              </w:rPr>
              <w:t>9</w:t>
            </w:r>
          </w:p>
        </w:tc>
        <w:tc>
          <w:tcPr>
            <w:tcW w:w="840" w:type="dxa"/>
            <w:vAlign w:val="bottom"/>
          </w:tcPr>
          <w:p>
            <w:pPr>
              <w:jc w:val="center"/>
              <w:spacing w:after="0"/>
              <w:rPr>
                <w:sz w:val="20"/>
                <w:szCs w:val="20"/>
                <w:color w:val="auto"/>
              </w:rPr>
            </w:pPr>
            <w:r>
              <w:rPr>
                <w:rFonts w:ascii="Arial" w:cs="Arial" w:eastAsia="Arial" w:hAnsi="Arial"/>
                <w:sz w:val="18"/>
                <w:szCs w:val="18"/>
                <w:color w:val="auto"/>
              </w:rPr>
              <w:t>M</w:t>
            </w:r>
          </w:p>
        </w:tc>
        <w:tc>
          <w:tcPr>
            <w:tcW w:w="400" w:type="dxa"/>
            <w:vAlign w:val="bottom"/>
          </w:tcPr>
          <w:p>
            <w:pPr>
              <w:jc w:val="center"/>
              <w:spacing w:after="0"/>
              <w:rPr>
                <w:sz w:val="20"/>
                <w:szCs w:val="20"/>
                <w:color w:val="auto"/>
              </w:rPr>
            </w:pPr>
            <w:r>
              <w:rPr>
                <w:rFonts w:ascii="Arial" w:cs="Arial" w:eastAsia="Arial" w:hAnsi="Arial"/>
                <w:sz w:val="18"/>
                <w:szCs w:val="18"/>
                <w:color w:val="auto"/>
              </w:rPr>
              <w:t>M</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62</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61</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3</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4</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6</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4</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1363</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w w:val="99"/>
              </w:rPr>
              <w:t>566</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1363</w:t>
            </w:r>
          </w:p>
        </w:tc>
        <w:tc>
          <w:tcPr>
            <w:tcW w:w="900" w:type="dxa"/>
            <w:vAlign w:val="bottom"/>
          </w:tcPr>
          <w:p>
            <w:pPr>
              <w:jc w:val="center"/>
              <w:ind w:left="29"/>
              <w:spacing w:after="0"/>
              <w:rPr>
                <w:sz w:val="20"/>
                <w:szCs w:val="20"/>
                <w:color w:val="auto"/>
              </w:rPr>
            </w:pPr>
            <w:r>
              <w:rPr>
                <w:rFonts w:ascii="Arial" w:cs="Arial" w:eastAsia="Arial" w:hAnsi="Arial"/>
                <w:sz w:val="18"/>
                <w:szCs w:val="18"/>
                <w:color w:val="auto"/>
                <w:w w:val="99"/>
              </w:rPr>
              <w:t>766</w:t>
            </w:r>
          </w:p>
        </w:tc>
        <w:tc>
          <w:tcPr>
            <w:tcW w:w="0" w:type="dxa"/>
            <w:vAlign w:val="bottom"/>
          </w:tcPr>
          <w:p>
            <w:pPr>
              <w:spacing w:after="0"/>
              <w:rPr>
                <w:sz w:val="1"/>
                <w:szCs w:val="1"/>
                <w:color w:val="auto"/>
              </w:rPr>
            </w:pPr>
          </w:p>
        </w:tc>
      </w:tr>
      <w:tr>
        <w:trPr>
          <w:trHeight w:val="266"/>
        </w:trPr>
        <w:tc>
          <w:tcPr>
            <w:tcW w:w="880" w:type="dxa"/>
            <w:vAlign w:val="bottom"/>
          </w:tcPr>
          <w:p>
            <w:pPr>
              <w:ind w:left="120"/>
              <w:spacing w:after="0"/>
              <w:rPr>
                <w:sz w:val="20"/>
                <w:szCs w:val="20"/>
                <w:color w:val="auto"/>
              </w:rPr>
            </w:pPr>
            <w:r>
              <w:rPr>
                <w:rFonts w:ascii="Arial" w:cs="Arial" w:eastAsia="Arial" w:hAnsi="Arial"/>
                <w:sz w:val="18"/>
                <w:szCs w:val="18"/>
                <w:color w:val="auto"/>
              </w:rPr>
              <w:t>10</w:t>
            </w:r>
          </w:p>
        </w:tc>
        <w:tc>
          <w:tcPr>
            <w:tcW w:w="840" w:type="dxa"/>
            <w:vAlign w:val="bottom"/>
          </w:tcPr>
          <w:p>
            <w:pPr>
              <w:jc w:val="center"/>
              <w:spacing w:after="0"/>
              <w:rPr>
                <w:sz w:val="20"/>
                <w:szCs w:val="20"/>
                <w:color w:val="auto"/>
              </w:rPr>
            </w:pPr>
            <w:r>
              <w:rPr>
                <w:rFonts w:ascii="Arial" w:cs="Arial" w:eastAsia="Arial" w:hAnsi="Arial"/>
                <w:sz w:val="18"/>
                <w:szCs w:val="18"/>
                <w:color w:val="auto"/>
              </w:rPr>
              <w:t>F</w:t>
            </w:r>
          </w:p>
        </w:tc>
        <w:tc>
          <w:tcPr>
            <w:tcW w:w="400" w:type="dxa"/>
            <w:vAlign w:val="bottom"/>
          </w:tcPr>
          <w:p>
            <w:pPr>
              <w:jc w:val="center"/>
              <w:ind w:right="9"/>
              <w:spacing w:after="0"/>
              <w:rPr>
                <w:sz w:val="20"/>
                <w:szCs w:val="20"/>
                <w:color w:val="auto"/>
              </w:rPr>
            </w:pPr>
            <w:r>
              <w:rPr>
                <w:rFonts w:ascii="Arial" w:cs="Arial" w:eastAsia="Arial" w:hAnsi="Arial"/>
                <w:sz w:val="18"/>
                <w:szCs w:val="18"/>
                <w:color w:val="auto"/>
                <w:w w:val="90"/>
              </w:rPr>
              <w:t>F</w:t>
            </w:r>
          </w:p>
        </w:tc>
        <w:tc>
          <w:tcPr>
            <w:tcW w:w="920" w:type="dxa"/>
            <w:vAlign w:val="bottom"/>
          </w:tcPr>
          <w:p>
            <w:pPr>
              <w:jc w:val="center"/>
              <w:ind w:right="69"/>
              <w:spacing w:after="0"/>
              <w:rPr>
                <w:sz w:val="20"/>
                <w:szCs w:val="20"/>
                <w:color w:val="auto"/>
              </w:rPr>
            </w:pPr>
            <w:r>
              <w:rPr>
                <w:rFonts w:ascii="Arial" w:cs="Arial" w:eastAsia="Arial" w:hAnsi="Arial"/>
                <w:sz w:val="18"/>
                <w:szCs w:val="18"/>
                <w:color w:val="auto"/>
                <w:w w:val="99"/>
              </w:rPr>
              <w:t>57</w:t>
            </w:r>
          </w:p>
        </w:tc>
        <w:tc>
          <w:tcPr>
            <w:tcW w:w="460" w:type="dxa"/>
            <w:vAlign w:val="bottom"/>
          </w:tcPr>
          <w:p>
            <w:pPr>
              <w:jc w:val="center"/>
              <w:ind w:right="9"/>
              <w:spacing w:after="0"/>
              <w:rPr>
                <w:sz w:val="20"/>
                <w:szCs w:val="20"/>
                <w:color w:val="auto"/>
              </w:rPr>
            </w:pPr>
            <w:r>
              <w:rPr>
                <w:rFonts w:ascii="Arial" w:cs="Arial" w:eastAsia="Arial" w:hAnsi="Arial"/>
                <w:sz w:val="18"/>
                <w:szCs w:val="18"/>
                <w:color w:val="auto"/>
                <w:w w:val="99"/>
              </w:rPr>
              <w:t>54</w:t>
            </w:r>
          </w:p>
        </w:tc>
        <w:tc>
          <w:tcPr>
            <w:tcW w:w="940" w:type="dxa"/>
            <w:vAlign w:val="bottom"/>
          </w:tcPr>
          <w:p>
            <w:pPr>
              <w:jc w:val="center"/>
              <w:spacing w:after="0"/>
              <w:rPr>
                <w:sz w:val="20"/>
                <w:szCs w:val="20"/>
                <w:color w:val="auto"/>
              </w:rPr>
            </w:pPr>
            <w:r>
              <w:rPr>
                <w:rFonts w:ascii="Arial" w:cs="Arial" w:eastAsia="Arial" w:hAnsi="Arial"/>
                <w:sz w:val="18"/>
                <w:szCs w:val="18"/>
                <w:color w:val="auto"/>
                <w:w w:val="99"/>
              </w:rPr>
              <w:t>3</w:t>
            </w:r>
          </w:p>
        </w:tc>
        <w:tc>
          <w:tcPr>
            <w:tcW w:w="540" w:type="dxa"/>
            <w:vAlign w:val="bottom"/>
          </w:tcPr>
          <w:p>
            <w:pPr>
              <w:jc w:val="center"/>
              <w:ind w:right="29"/>
              <w:spacing w:after="0"/>
              <w:rPr>
                <w:sz w:val="20"/>
                <w:szCs w:val="20"/>
                <w:color w:val="auto"/>
              </w:rPr>
            </w:pPr>
            <w:r>
              <w:rPr>
                <w:rFonts w:ascii="Arial" w:cs="Arial" w:eastAsia="Arial" w:hAnsi="Arial"/>
                <w:sz w:val="18"/>
                <w:szCs w:val="18"/>
                <w:color w:val="auto"/>
                <w:w w:val="99"/>
              </w:rPr>
              <w:t>2</w:t>
            </w:r>
          </w:p>
        </w:tc>
        <w:tc>
          <w:tcPr>
            <w:tcW w:w="800" w:type="dxa"/>
            <w:vAlign w:val="bottom"/>
          </w:tcPr>
          <w:p>
            <w:pPr>
              <w:jc w:val="center"/>
              <w:spacing w:after="0"/>
              <w:rPr>
                <w:sz w:val="20"/>
                <w:szCs w:val="20"/>
                <w:color w:val="auto"/>
              </w:rPr>
            </w:pPr>
            <w:r>
              <w:rPr>
                <w:rFonts w:ascii="Arial" w:cs="Arial" w:eastAsia="Arial" w:hAnsi="Arial"/>
                <w:sz w:val="18"/>
                <w:szCs w:val="18"/>
                <w:color w:val="auto"/>
                <w:w w:val="99"/>
              </w:rPr>
              <w:t>8</w:t>
            </w:r>
          </w:p>
        </w:tc>
        <w:tc>
          <w:tcPr>
            <w:tcW w:w="540" w:type="dxa"/>
            <w:vAlign w:val="bottom"/>
          </w:tcPr>
          <w:p>
            <w:pPr>
              <w:jc w:val="center"/>
              <w:spacing w:after="0"/>
              <w:rPr>
                <w:sz w:val="20"/>
                <w:szCs w:val="20"/>
                <w:color w:val="auto"/>
              </w:rPr>
            </w:pPr>
            <w:r>
              <w:rPr>
                <w:rFonts w:ascii="Arial" w:cs="Arial" w:eastAsia="Arial" w:hAnsi="Arial"/>
                <w:sz w:val="18"/>
                <w:szCs w:val="18"/>
                <w:color w:val="auto"/>
                <w:w w:val="99"/>
              </w:rPr>
              <w:t>8</w:t>
            </w:r>
          </w:p>
        </w:tc>
        <w:tc>
          <w:tcPr>
            <w:tcW w:w="680" w:type="dxa"/>
            <w:vAlign w:val="bottom"/>
          </w:tcPr>
          <w:p>
            <w:pPr>
              <w:jc w:val="center"/>
              <w:ind w:left="29"/>
              <w:spacing w:after="0"/>
              <w:rPr>
                <w:sz w:val="20"/>
                <w:szCs w:val="20"/>
                <w:color w:val="auto"/>
              </w:rPr>
            </w:pPr>
            <w:r>
              <w:rPr>
                <w:rFonts w:ascii="Arial" w:cs="Arial" w:eastAsia="Arial" w:hAnsi="Arial"/>
                <w:sz w:val="18"/>
                <w:szCs w:val="18"/>
                <w:color w:val="auto"/>
                <w:w w:val="99"/>
              </w:rPr>
              <w:t>1263</w:t>
            </w:r>
          </w:p>
        </w:tc>
        <w:tc>
          <w:tcPr>
            <w:tcW w:w="880" w:type="dxa"/>
            <w:vAlign w:val="bottom"/>
          </w:tcPr>
          <w:p>
            <w:pPr>
              <w:jc w:val="center"/>
              <w:ind w:left="49"/>
              <w:spacing w:after="0"/>
              <w:rPr>
                <w:sz w:val="20"/>
                <w:szCs w:val="20"/>
                <w:color w:val="auto"/>
              </w:rPr>
            </w:pPr>
            <w:r>
              <w:rPr>
                <w:rFonts w:ascii="Arial" w:cs="Arial" w:eastAsia="Arial" w:hAnsi="Arial"/>
                <w:sz w:val="18"/>
                <w:szCs w:val="18"/>
                <w:color w:val="auto"/>
                <w:w w:val="99"/>
              </w:rPr>
              <w:t>441</w:t>
            </w:r>
          </w:p>
        </w:tc>
        <w:tc>
          <w:tcPr>
            <w:tcW w:w="700" w:type="dxa"/>
            <w:vAlign w:val="bottom"/>
          </w:tcPr>
          <w:p>
            <w:pPr>
              <w:jc w:val="center"/>
              <w:ind w:left="49"/>
              <w:spacing w:after="0"/>
              <w:rPr>
                <w:sz w:val="20"/>
                <w:szCs w:val="20"/>
                <w:color w:val="auto"/>
              </w:rPr>
            </w:pPr>
            <w:r>
              <w:rPr>
                <w:rFonts w:ascii="Arial" w:cs="Arial" w:eastAsia="Arial" w:hAnsi="Arial"/>
                <w:sz w:val="18"/>
                <w:szCs w:val="18"/>
                <w:color w:val="auto"/>
                <w:w w:val="99"/>
              </w:rPr>
              <w:t>1407</w:t>
            </w:r>
          </w:p>
        </w:tc>
        <w:tc>
          <w:tcPr>
            <w:tcW w:w="900" w:type="dxa"/>
            <w:vAlign w:val="bottom"/>
          </w:tcPr>
          <w:p>
            <w:pPr>
              <w:jc w:val="center"/>
              <w:ind w:left="29"/>
              <w:spacing w:after="0"/>
              <w:rPr>
                <w:sz w:val="20"/>
                <w:szCs w:val="20"/>
                <w:color w:val="auto"/>
              </w:rPr>
            </w:pPr>
            <w:r>
              <w:rPr>
                <w:rFonts w:ascii="Arial" w:cs="Arial" w:eastAsia="Arial" w:hAnsi="Arial"/>
                <w:sz w:val="18"/>
                <w:szCs w:val="18"/>
                <w:color w:val="auto"/>
                <w:w w:val="99"/>
              </w:rPr>
              <w:t>561</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8980"/>
        <w:spacing w:after="0"/>
        <w:rPr>
          <w:sz w:val="20"/>
          <w:szCs w:val="20"/>
          <w:color w:val="auto"/>
        </w:rPr>
      </w:pPr>
      <w:r>
        <w:rPr>
          <w:rFonts w:ascii="Arial" w:cs="Arial" w:eastAsia="Arial" w:hAnsi="Arial"/>
          <w:sz w:val="20"/>
          <w:szCs w:val="20"/>
          <w:b w:val="1"/>
          <w:bCs w:val="1"/>
          <w:color w:val="auto"/>
        </w:rPr>
        <w:t>2306</w:t>
      </w:r>
    </w:p>
    <w:p>
      <w:pPr>
        <w:sectPr>
          <w:pgSz w:w="12240" w:h="15840" w:orient="portrait"/>
          <w:cols w:equalWidth="0" w:num="1">
            <w:col w:w="9480"/>
          </w:cols>
          <w:pgMar w:left="1380" w:top="426" w:right="1380" w:bottom="195" w:gutter="0" w:footer="0" w:header="0"/>
        </w:sectPr>
      </w:pPr>
    </w:p>
    <w:bookmarkStart w:id="6" w:name="page7"/>
    <w:bookmarkEnd w:id="6"/>
    <w:p>
      <w:pPr>
        <w:ind w:left="80"/>
        <w:spacing w:after="0"/>
        <w:tabs>
          <w:tab w:leader="none" w:pos="572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1920" w:type="dxa"/>
            <w:vAlign w:val="bottom"/>
          </w:tcPr>
          <w:p>
            <w:pPr>
              <w:jc w:val="center"/>
              <w:ind w:left="150"/>
              <w:spacing w:after="0"/>
              <w:rPr>
                <w:sz w:val="20"/>
                <w:szCs w:val="20"/>
                <w:color w:val="auto"/>
              </w:rPr>
            </w:pPr>
            <w:r>
              <w:rPr>
                <w:rFonts w:ascii="Arial" w:cs="Arial" w:eastAsia="Arial" w:hAnsi="Arial"/>
                <w:sz w:val="18"/>
                <w:szCs w:val="18"/>
                <w:color w:val="auto"/>
                <w:w w:val="98"/>
              </w:rPr>
              <w:t>Mean (SEM)</w:t>
            </w:r>
          </w:p>
        </w:tc>
        <w:tc>
          <w:tcPr>
            <w:tcW w:w="960" w:type="dxa"/>
            <w:vAlign w:val="bottom"/>
          </w:tcPr>
          <w:p>
            <w:pPr>
              <w:jc w:val="right"/>
              <w:ind w:right="110"/>
              <w:spacing w:after="0"/>
              <w:rPr>
                <w:sz w:val="20"/>
                <w:szCs w:val="20"/>
                <w:color w:val="auto"/>
              </w:rPr>
            </w:pPr>
            <w:r>
              <w:rPr>
                <w:rFonts w:ascii="Arial" w:cs="Arial" w:eastAsia="Arial" w:hAnsi="Arial"/>
                <w:sz w:val="18"/>
                <w:szCs w:val="18"/>
                <w:color w:val="auto"/>
              </w:rPr>
              <w:t>63.2</w:t>
            </w:r>
          </w:p>
        </w:tc>
        <w:tc>
          <w:tcPr>
            <w:tcW w:w="720" w:type="dxa"/>
            <w:vAlign w:val="bottom"/>
          </w:tcPr>
          <w:p>
            <w:pPr>
              <w:jc w:val="right"/>
              <w:ind w:right="170"/>
              <w:spacing w:after="0"/>
              <w:rPr>
                <w:sz w:val="20"/>
                <w:szCs w:val="20"/>
                <w:color w:val="auto"/>
              </w:rPr>
            </w:pPr>
            <w:r>
              <w:rPr>
                <w:rFonts w:ascii="Arial" w:cs="Arial" w:eastAsia="Arial" w:hAnsi="Arial"/>
                <w:sz w:val="18"/>
                <w:szCs w:val="18"/>
                <w:color w:val="auto"/>
              </w:rPr>
              <w:t>62</w:t>
            </w:r>
          </w:p>
        </w:tc>
        <w:tc>
          <w:tcPr>
            <w:tcW w:w="720" w:type="dxa"/>
            <w:vAlign w:val="bottom"/>
          </w:tcPr>
          <w:p>
            <w:pPr>
              <w:jc w:val="right"/>
              <w:ind w:right="150"/>
              <w:spacing w:after="0"/>
              <w:rPr>
                <w:sz w:val="20"/>
                <w:szCs w:val="20"/>
                <w:color w:val="auto"/>
              </w:rPr>
            </w:pPr>
            <w:r>
              <w:rPr>
                <w:rFonts w:ascii="Arial" w:cs="Arial" w:eastAsia="Arial" w:hAnsi="Arial"/>
                <w:sz w:val="18"/>
                <w:szCs w:val="18"/>
                <w:color w:val="auto"/>
              </w:rPr>
              <w:t>3.5</w:t>
            </w:r>
          </w:p>
        </w:tc>
        <w:tc>
          <w:tcPr>
            <w:tcW w:w="740" w:type="dxa"/>
            <w:vAlign w:val="bottom"/>
          </w:tcPr>
          <w:p>
            <w:pPr>
              <w:jc w:val="right"/>
              <w:ind w:right="250"/>
              <w:spacing w:after="0"/>
              <w:rPr>
                <w:sz w:val="20"/>
                <w:szCs w:val="20"/>
                <w:color w:val="auto"/>
              </w:rPr>
            </w:pPr>
            <w:r>
              <w:rPr>
                <w:rFonts w:ascii="Arial" w:cs="Arial" w:eastAsia="Arial" w:hAnsi="Arial"/>
                <w:sz w:val="18"/>
                <w:szCs w:val="18"/>
                <w:color w:val="auto"/>
              </w:rPr>
              <w:t>3</w:t>
            </w:r>
          </w:p>
        </w:tc>
        <w:tc>
          <w:tcPr>
            <w:tcW w:w="660" w:type="dxa"/>
            <w:vAlign w:val="bottom"/>
          </w:tcPr>
          <w:p>
            <w:pPr>
              <w:jc w:val="right"/>
              <w:ind w:right="110"/>
              <w:spacing w:after="0"/>
              <w:rPr>
                <w:sz w:val="20"/>
                <w:szCs w:val="20"/>
                <w:color w:val="auto"/>
              </w:rPr>
            </w:pPr>
            <w:r>
              <w:rPr>
                <w:rFonts w:ascii="Arial" w:cs="Arial" w:eastAsia="Arial" w:hAnsi="Arial"/>
                <w:sz w:val="18"/>
                <w:szCs w:val="18"/>
                <w:color w:val="auto"/>
              </w:rPr>
              <w:t>9.4</w:t>
            </w:r>
          </w:p>
        </w:tc>
        <w:tc>
          <w:tcPr>
            <w:tcW w:w="640" w:type="dxa"/>
            <w:vAlign w:val="bottom"/>
          </w:tcPr>
          <w:p>
            <w:pPr>
              <w:jc w:val="right"/>
              <w:ind w:right="110"/>
              <w:spacing w:after="0"/>
              <w:rPr>
                <w:sz w:val="20"/>
                <w:szCs w:val="20"/>
                <w:color w:val="auto"/>
              </w:rPr>
            </w:pPr>
            <w:r>
              <w:rPr>
                <w:rFonts w:ascii="Arial" w:cs="Arial" w:eastAsia="Arial" w:hAnsi="Arial"/>
                <w:sz w:val="18"/>
                <w:szCs w:val="18"/>
                <w:color w:val="auto"/>
              </w:rPr>
              <w:t>10</w:t>
            </w:r>
          </w:p>
        </w:tc>
        <w:tc>
          <w:tcPr>
            <w:tcW w:w="680" w:type="dxa"/>
            <w:vAlign w:val="bottom"/>
          </w:tcPr>
          <w:p>
            <w:pPr>
              <w:jc w:val="right"/>
              <w:spacing w:after="0"/>
              <w:rPr>
                <w:sz w:val="20"/>
                <w:szCs w:val="20"/>
                <w:color w:val="auto"/>
              </w:rPr>
            </w:pPr>
            <w:r>
              <w:rPr>
                <w:rFonts w:ascii="Arial" w:cs="Arial" w:eastAsia="Arial" w:hAnsi="Arial"/>
                <w:sz w:val="18"/>
                <w:szCs w:val="18"/>
                <w:color w:val="auto"/>
              </w:rPr>
              <w:t>1680.3</w:t>
            </w:r>
          </w:p>
        </w:tc>
        <w:tc>
          <w:tcPr>
            <w:tcW w:w="880" w:type="dxa"/>
            <w:vAlign w:val="bottom"/>
          </w:tcPr>
          <w:p>
            <w:pPr>
              <w:jc w:val="right"/>
              <w:ind w:right="30"/>
              <w:spacing w:after="0"/>
              <w:rPr>
                <w:sz w:val="20"/>
                <w:szCs w:val="20"/>
                <w:color w:val="auto"/>
              </w:rPr>
            </w:pPr>
            <w:r>
              <w:rPr>
                <w:rFonts w:ascii="Arial" w:cs="Arial" w:eastAsia="Arial" w:hAnsi="Arial"/>
                <w:sz w:val="18"/>
                <w:szCs w:val="18"/>
                <w:color w:val="auto"/>
              </w:rPr>
              <w:t>1352.4</w:t>
            </w:r>
          </w:p>
        </w:tc>
        <w:tc>
          <w:tcPr>
            <w:tcW w:w="900" w:type="dxa"/>
            <w:vAlign w:val="bottom"/>
          </w:tcPr>
          <w:p>
            <w:pPr>
              <w:jc w:val="right"/>
              <w:ind w:right="130"/>
              <w:spacing w:after="0"/>
              <w:rPr>
                <w:sz w:val="20"/>
                <w:szCs w:val="20"/>
                <w:color w:val="auto"/>
              </w:rPr>
            </w:pPr>
            <w:r>
              <w:rPr>
                <w:rFonts w:ascii="Arial" w:cs="Arial" w:eastAsia="Arial" w:hAnsi="Arial"/>
                <w:sz w:val="18"/>
                <w:szCs w:val="18"/>
                <w:color w:val="auto"/>
              </w:rPr>
              <w:t>1787.6</w:t>
            </w:r>
          </w:p>
        </w:tc>
        <w:tc>
          <w:tcPr>
            <w:tcW w:w="680" w:type="dxa"/>
            <w:vAlign w:val="bottom"/>
          </w:tcPr>
          <w:p>
            <w:pPr>
              <w:jc w:val="right"/>
              <w:ind w:right="110"/>
              <w:spacing w:after="0"/>
              <w:rPr>
                <w:sz w:val="20"/>
                <w:szCs w:val="20"/>
                <w:color w:val="auto"/>
              </w:rPr>
            </w:pPr>
            <w:r>
              <w:rPr>
                <w:rFonts w:ascii="Arial" w:cs="Arial" w:eastAsia="Arial" w:hAnsi="Arial"/>
                <w:sz w:val="18"/>
                <w:szCs w:val="18"/>
                <w:color w:val="auto"/>
              </w:rPr>
              <w:t>1372</w:t>
            </w:r>
          </w:p>
        </w:tc>
      </w:tr>
      <w:tr>
        <w:trPr>
          <w:trHeight w:val="207"/>
        </w:trPr>
        <w:tc>
          <w:tcPr>
            <w:tcW w:w="1920" w:type="dxa"/>
            <w:vAlign w:val="bottom"/>
          </w:tcPr>
          <w:p>
            <w:pPr>
              <w:spacing w:after="0"/>
              <w:rPr>
                <w:sz w:val="17"/>
                <w:szCs w:val="17"/>
                <w:color w:val="auto"/>
              </w:rPr>
            </w:pPr>
          </w:p>
        </w:tc>
        <w:tc>
          <w:tcPr>
            <w:tcW w:w="960" w:type="dxa"/>
            <w:vAlign w:val="bottom"/>
          </w:tcPr>
          <w:p>
            <w:pPr>
              <w:jc w:val="right"/>
              <w:ind w:right="50"/>
              <w:spacing w:after="0"/>
              <w:rPr>
                <w:sz w:val="20"/>
                <w:szCs w:val="20"/>
                <w:color w:val="auto"/>
              </w:rPr>
            </w:pPr>
            <w:r>
              <w:rPr>
                <w:rFonts w:ascii="Arial" w:cs="Arial" w:eastAsia="Arial" w:hAnsi="Arial"/>
                <w:sz w:val="18"/>
                <w:szCs w:val="18"/>
                <w:color w:val="auto"/>
              </w:rPr>
              <w:t>(1.13)</w:t>
            </w:r>
          </w:p>
        </w:tc>
        <w:tc>
          <w:tcPr>
            <w:tcW w:w="720" w:type="dxa"/>
            <w:vAlign w:val="bottom"/>
          </w:tcPr>
          <w:p>
            <w:pPr>
              <w:jc w:val="right"/>
              <w:ind w:right="50"/>
              <w:spacing w:after="0"/>
              <w:rPr>
                <w:sz w:val="20"/>
                <w:szCs w:val="20"/>
                <w:color w:val="auto"/>
              </w:rPr>
            </w:pPr>
            <w:r>
              <w:rPr>
                <w:rFonts w:ascii="Arial" w:cs="Arial" w:eastAsia="Arial" w:hAnsi="Arial"/>
                <w:sz w:val="18"/>
                <w:szCs w:val="18"/>
                <w:color w:val="auto"/>
              </w:rPr>
              <w:t>(1.58)</w:t>
            </w:r>
          </w:p>
        </w:tc>
        <w:tc>
          <w:tcPr>
            <w:tcW w:w="720" w:type="dxa"/>
            <w:vAlign w:val="bottom"/>
          </w:tcPr>
          <w:p>
            <w:pPr>
              <w:jc w:val="right"/>
              <w:ind w:right="50"/>
              <w:spacing w:after="0"/>
              <w:rPr>
                <w:sz w:val="20"/>
                <w:szCs w:val="20"/>
                <w:color w:val="auto"/>
              </w:rPr>
            </w:pPr>
            <w:r>
              <w:rPr>
                <w:rFonts w:ascii="Arial" w:cs="Arial" w:eastAsia="Arial" w:hAnsi="Arial"/>
                <w:sz w:val="18"/>
                <w:szCs w:val="18"/>
                <w:color w:val="auto"/>
              </w:rPr>
              <w:t>(0.17)</w:t>
            </w:r>
          </w:p>
        </w:tc>
        <w:tc>
          <w:tcPr>
            <w:tcW w:w="740" w:type="dxa"/>
            <w:vAlign w:val="bottom"/>
          </w:tcPr>
          <w:p>
            <w:pPr>
              <w:jc w:val="right"/>
              <w:ind w:right="70"/>
              <w:spacing w:after="0"/>
              <w:rPr>
                <w:sz w:val="20"/>
                <w:szCs w:val="20"/>
                <w:color w:val="auto"/>
              </w:rPr>
            </w:pPr>
            <w:r>
              <w:rPr>
                <w:rFonts w:ascii="Arial" w:cs="Arial" w:eastAsia="Arial" w:hAnsi="Arial"/>
                <w:sz w:val="18"/>
                <w:szCs w:val="18"/>
                <w:color w:val="auto"/>
              </w:rPr>
              <w:t>(0.22)</w:t>
            </w:r>
          </w:p>
        </w:tc>
        <w:tc>
          <w:tcPr>
            <w:tcW w:w="660" w:type="dxa"/>
            <w:vAlign w:val="bottom"/>
          </w:tcPr>
          <w:p>
            <w:pPr>
              <w:jc w:val="right"/>
              <w:ind w:right="50"/>
              <w:spacing w:after="0"/>
              <w:rPr>
                <w:sz w:val="20"/>
                <w:szCs w:val="20"/>
                <w:color w:val="auto"/>
              </w:rPr>
            </w:pPr>
            <w:r>
              <w:rPr>
                <w:rFonts w:ascii="Arial" w:cs="Arial" w:eastAsia="Arial" w:hAnsi="Arial"/>
                <w:sz w:val="18"/>
                <w:szCs w:val="18"/>
                <w:color w:val="auto"/>
              </w:rPr>
              <w:t>(1.1)</w:t>
            </w:r>
          </w:p>
        </w:tc>
        <w:tc>
          <w:tcPr>
            <w:tcW w:w="640" w:type="dxa"/>
            <w:vAlign w:val="bottom"/>
          </w:tcPr>
          <w:p>
            <w:pPr>
              <w:jc w:val="right"/>
              <w:ind w:right="30"/>
              <w:spacing w:after="0"/>
              <w:rPr>
                <w:sz w:val="20"/>
                <w:szCs w:val="20"/>
                <w:color w:val="auto"/>
              </w:rPr>
            </w:pPr>
            <w:r>
              <w:rPr>
                <w:rFonts w:ascii="Arial" w:cs="Arial" w:eastAsia="Arial" w:hAnsi="Arial"/>
                <w:sz w:val="18"/>
                <w:szCs w:val="18"/>
                <w:color w:val="auto"/>
              </w:rPr>
              <w:t>(1.8)</w:t>
            </w:r>
          </w:p>
        </w:tc>
        <w:tc>
          <w:tcPr>
            <w:tcW w:w="680" w:type="dxa"/>
            <w:vAlign w:val="bottom"/>
          </w:tcPr>
          <w:p>
            <w:pPr>
              <w:jc w:val="right"/>
              <w:spacing w:after="0"/>
              <w:rPr>
                <w:sz w:val="20"/>
                <w:szCs w:val="20"/>
                <w:color w:val="auto"/>
              </w:rPr>
            </w:pPr>
            <w:r>
              <w:rPr>
                <w:rFonts w:ascii="Arial" w:cs="Arial" w:eastAsia="Arial" w:hAnsi="Arial"/>
                <w:sz w:val="18"/>
                <w:szCs w:val="18"/>
                <w:color w:val="auto"/>
              </w:rPr>
              <w:t>(405.1)</w:t>
            </w:r>
          </w:p>
        </w:tc>
        <w:tc>
          <w:tcPr>
            <w:tcW w:w="880" w:type="dxa"/>
            <w:vAlign w:val="bottom"/>
          </w:tcPr>
          <w:p>
            <w:pPr>
              <w:jc w:val="right"/>
              <w:ind w:right="10"/>
              <w:spacing w:after="0"/>
              <w:rPr>
                <w:sz w:val="20"/>
                <w:szCs w:val="20"/>
                <w:color w:val="auto"/>
              </w:rPr>
            </w:pPr>
            <w:r>
              <w:rPr>
                <w:rFonts w:ascii="Arial" w:cs="Arial" w:eastAsia="Arial" w:hAnsi="Arial"/>
                <w:sz w:val="18"/>
                <w:szCs w:val="18"/>
                <w:color w:val="auto"/>
              </w:rPr>
              <w:t>(261.2)</w:t>
            </w:r>
          </w:p>
        </w:tc>
        <w:tc>
          <w:tcPr>
            <w:tcW w:w="900" w:type="dxa"/>
            <w:vAlign w:val="bottom"/>
          </w:tcPr>
          <w:p>
            <w:pPr>
              <w:jc w:val="right"/>
              <w:ind w:right="130"/>
              <w:spacing w:after="0"/>
              <w:rPr>
                <w:sz w:val="20"/>
                <w:szCs w:val="20"/>
                <w:color w:val="auto"/>
              </w:rPr>
            </w:pPr>
            <w:r>
              <w:rPr>
                <w:rFonts w:ascii="Arial" w:cs="Arial" w:eastAsia="Arial" w:hAnsi="Arial"/>
                <w:sz w:val="18"/>
                <w:szCs w:val="18"/>
                <w:color w:val="auto"/>
              </w:rPr>
              <w:t>(423.8)</w:t>
            </w:r>
          </w:p>
        </w:tc>
        <w:tc>
          <w:tcPr>
            <w:tcW w:w="680" w:type="dxa"/>
            <w:vAlign w:val="bottom"/>
          </w:tcPr>
          <w:p>
            <w:pPr>
              <w:jc w:val="right"/>
              <w:ind w:right="10"/>
              <w:spacing w:after="0"/>
              <w:rPr>
                <w:sz w:val="20"/>
                <w:szCs w:val="20"/>
                <w:color w:val="auto"/>
              </w:rPr>
            </w:pPr>
            <w:r>
              <w:rPr>
                <w:rFonts w:ascii="Arial" w:cs="Arial" w:eastAsia="Arial" w:hAnsi="Arial"/>
                <w:sz w:val="18"/>
                <w:szCs w:val="18"/>
                <w:color w:val="auto"/>
                <w:w w:val="98"/>
              </w:rPr>
              <w:t>(251.5)</w:t>
            </w:r>
          </w:p>
        </w:tc>
      </w:tr>
      <w:tr>
        <w:trPr>
          <w:trHeight w:val="334"/>
        </w:trPr>
        <w:tc>
          <w:tcPr>
            <w:tcW w:w="1920" w:type="dxa"/>
            <w:vAlign w:val="bottom"/>
          </w:tcPr>
          <w:p>
            <w:pPr>
              <w:jc w:val="center"/>
              <w:ind w:left="150"/>
              <w:spacing w:after="0"/>
              <w:rPr>
                <w:sz w:val="20"/>
                <w:szCs w:val="20"/>
                <w:color w:val="auto"/>
              </w:rPr>
            </w:pPr>
            <w:r>
              <w:rPr>
                <w:rFonts w:ascii="Arial" w:cs="Arial" w:eastAsia="Arial" w:hAnsi="Arial"/>
                <w:sz w:val="18"/>
                <w:szCs w:val="18"/>
                <w:color w:val="auto"/>
                <w:w w:val="99"/>
              </w:rPr>
              <w:t>t-test</w:t>
            </w:r>
          </w:p>
        </w:tc>
        <w:tc>
          <w:tcPr>
            <w:tcW w:w="1680" w:type="dxa"/>
            <w:vAlign w:val="bottom"/>
            <w:gridSpan w:val="2"/>
          </w:tcPr>
          <w:p>
            <w:pPr>
              <w:ind w:left="560"/>
              <w:spacing w:after="0"/>
              <w:rPr>
                <w:sz w:val="20"/>
                <w:szCs w:val="20"/>
                <w:color w:val="auto"/>
              </w:rPr>
            </w:pPr>
            <w:r>
              <w:rPr>
                <w:rFonts w:ascii="Arial" w:cs="Arial" w:eastAsia="Arial" w:hAnsi="Arial"/>
                <w:sz w:val="18"/>
                <w:szCs w:val="18"/>
                <w:i w:val="1"/>
                <w:iCs w:val="1"/>
                <w:color w:val="auto"/>
              </w:rPr>
              <w:t xml:space="preserve">p </w:t>
            </w:r>
            <w:r>
              <w:rPr>
                <w:rFonts w:ascii="Arial" w:cs="Arial" w:eastAsia="Arial" w:hAnsi="Arial"/>
                <w:sz w:val="18"/>
                <w:szCs w:val="18"/>
                <w:color w:val="auto"/>
              </w:rPr>
              <w:t>= 0.544</w:t>
            </w:r>
          </w:p>
        </w:tc>
        <w:tc>
          <w:tcPr>
            <w:tcW w:w="1460" w:type="dxa"/>
            <w:vAlign w:val="bottom"/>
            <w:gridSpan w:val="2"/>
          </w:tcPr>
          <w:p>
            <w:pPr>
              <w:ind w:left="320"/>
              <w:spacing w:after="0"/>
              <w:rPr>
                <w:sz w:val="20"/>
                <w:szCs w:val="20"/>
                <w:color w:val="auto"/>
              </w:rPr>
            </w:pPr>
            <w:r>
              <w:rPr>
                <w:rFonts w:ascii="Arial" w:cs="Arial" w:eastAsia="Arial" w:hAnsi="Arial"/>
                <w:sz w:val="18"/>
                <w:szCs w:val="18"/>
                <w:i w:val="1"/>
                <w:iCs w:val="1"/>
                <w:color w:val="auto"/>
              </w:rPr>
              <w:t xml:space="preserve">p </w:t>
            </w:r>
            <w:r>
              <w:rPr>
                <w:rFonts w:ascii="Arial" w:cs="Arial" w:eastAsia="Arial" w:hAnsi="Arial"/>
                <w:sz w:val="18"/>
                <w:szCs w:val="18"/>
                <w:color w:val="auto"/>
              </w:rPr>
              <w:t>= 0.722</w:t>
            </w:r>
          </w:p>
        </w:tc>
        <w:tc>
          <w:tcPr>
            <w:tcW w:w="1300" w:type="dxa"/>
            <w:vAlign w:val="bottom"/>
            <w:gridSpan w:val="2"/>
          </w:tcPr>
          <w:p>
            <w:pPr>
              <w:ind w:left="240"/>
              <w:spacing w:after="0"/>
              <w:rPr>
                <w:sz w:val="20"/>
                <w:szCs w:val="20"/>
                <w:color w:val="auto"/>
              </w:rPr>
            </w:pPr>
            <w:r>
              <w:rPr>
                <w:rFonts w:ascii="Arial" w:cs="Arial" w:eastAsia="Arial" w:hAnsi="Arial"/>
                <w:sz w:val="18"/>
                <w:szCs w:val="18"/>
                <w:i w:val="1"/>
                <w:iCs w:val="1"/>
                <w:color w:val="auto"/>
              </w:rPr>
              <w:t xml:space="preserve">p </w:t>
            </w:r>
            <w:r>
              <w:rPr>
                <w:rFonts w:ascii="Arial" w:cs="Arial" w:eastAsia="Arial" w:hAnsi="Arial"/>
                <w:sz w:val="18"/>
                <w:szCs w:val="18"/>
                <w:color w:val="auto"/>
              </w:rPr>
              <w:t>= 0.963</w:t>
            </w:r>
          </w:p>
        </w:tc>
        <w:tc>
          <w:tcPr>
            <w:tcW w:w="680" w:type="dxa"/>
            <w:vAlign w:val="bottom"/>
          </w:tcPr>
          <w:p>
            <w:pPr>
              <w:spacing w:after="0"/>
              <w:rPr>
                <w:sz w:val="24"/>
                <w:szCs w:val="24"/>
                <w:color w:val="auto"/>
              </w:rPr>
            </w:pPr>
          </w:p>
        </w:tc>
        <w:tc>
          <w:tcPr>
            <w:tcW w:w="1780" w:type="dxa"/>
            <w:vAlign w:val="bottom"/>
            <w:gridSpan w:val="2"/>
          </w:tcPr>
          <w:p>
            <w:pPr>
              <w:spacing w:after="0"/>
              <w:rPr>
                <w:sz w:val="20"/>
                <w:szCs w:val="20"/>
                <w:color w:val="auto"/>
              </w:rPr>
            </w:pPr>
            <w:r>
              <w:rPr>
                <w:rFonts w:ascii="Arial" w:cs="Arial" w:eastAsia="Arial" w:hAnsi="Arial"/>
                <w:sz w:val="18"/>
                <w:szCs w:val="18"/>
                <w:color w:val="auto"/>
                <w:w w:val="99"/>
              </w:rPr>
              <w:t>See Results (ANOVA)</w:t>
            </w:r>
          </w:p>
        </w:tc>
        <w:tc>
          <w:tcPr>
            <w:tcW w:w="680" w:type="dxa"/>
            <w:vAlign w:val="bottom"/>
          </w:tcPr>
          <w:p>
            <w:pPr>
              <w:spacing w:after="0"/>
              <w:rPr>
                <w:sz w:val="24"/>
                <w:szCs w:val="24"/>
                <w:color w:val="auto"/>
              </w:rPr>
            </w:pPr>
          </w:p>
        </w:tc>
      </w:tr>
      <w:tr>
        <w:trPr>
          <w:trHeight w:val="62"/>
        </w:trPr>
        <w:tc>
          <w:tcPr>
            <w:tcW w:w="1920" w:type="dxa"/>
            <w:vAlign w:val="bottom"/>
            <w:tcBorders>
              <w:bottom w:val="single" w:sz="8" w:color="auto"/>
            </w:tcBorders>
          </w:tcPr>
          <w:p>
            <w:pPr>
              <w:spacing w:after="0"/>
              <w:rPr>
                <w:sz w:val="5"/>
                <w:szCs w:val="5"/>
                <w:color w:val="auto"/>
              </w:rPr>
            </w:pPr>
          </w:p>
        </w:tc>
        <w:tc>
          <w:tcPr>
            <w:tcW w:w="96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74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680" w:type="dxa"/>
            <w:vAlign w:val="bottom"/>
            <w:tcBorders>
              <w:bottom w:val="single" w:sz="8" w:color="auto"/>
            </w:tcBorders>
          </w:tcPr>
          <w:p>
            <w:pPr>
              <w:spacing w:after="0"/>
              <w:rPr>
                <w:sz w:val="5"/>
                <w:szCs w:val="5"/>
                <w:color w:val="auto"/>
              </w:rPr>
            </w:pPr>
          </w:p>
        </w:tc>
      </w:tr>
    </w:tbl>
    <w:p>
      <w:pPr>
        <w:spacing w:after="0" w:line="127" w:lineRule="exact"/>
        <w:rPr>
          <w:sz w:val="20"/>
          <w:szCs w:val="20"/>
          <w:color w:val="auto"/>
        </w:rPr>
      </w:pPr>
    </w:p>
    <w:p>
      <w:pPr>
        <w:jc w:val="both"/>
        <w:ind w:left="440" w:right="60" w:hanging="360"/>
        <w:spacing w:after="0" w:line="236" w:lineRule="auto"/>
        <w:tabs>
          <w:tab w:leader="none" w:pos="440" w:val="left"/>
        </w:tabs>
        <w:numPr>
          <w:ilvl w:val="0"/>
          <w:numId w:val="3"/>
        </w:numPr>
        <w:rPr>
          <w:rFonts w:ascii="Arial" w:cs="Arial" w:eastAsia="Arial" w:hAnsi="Arial"/>
          <w:sz w:val="18"/>
          <w:szCs w:val="18"/>
          <w:color w:val="auto"/>
        </w:rPr>
      </w:pPr>
      <w:r>
        <w:rPr>
          <w:rFonts w:ascii="Arial" w:cs="Arial" w:eastAsia="Arial" w:hAnsi="Arial"/>
          <w:sz w:val="18"/>
          <w:szCs w:val="18"/>
          <w:color w:val="auto"/>
        </w:rPr>
        <w:t xml:space="preserve">For each patient, sex, age, Hoehn and Yahr scores (indicating the relative level of disability due to PD disease) at time point T0 in the phase “OFF” (after the suspension of anti-Parkinson therapy for 12 h), years with diagnosis, L-dopa equivalents/kg at time T0, and L-dopa equivalents/kg at time T3 are given. At the bottom of the table, the </w:t>
      </w:r>
      <w:r>
        <w:rPr>
          <w:rFonts w:ascii="Arial" w:cs="Arial" w:eastAsia="Arial" w:hAnsi="Arial"/>
          <w:sz w:val="18"/>
          <w:szCs w:val="18"/>
          <w:i w:val="1"/>
          <w:iCs w:val="1"/>
          <w:color w:val="auto"/>
        </w:rPr>
        <w:t>p</w:t>
      </w:r>
      <w:r>
        <w:rPr>
          <w:rFonts w:ascii="Arial" w:cs="Arial" w:eastAsia="Arial" w:hAnsi="Arial"/>
          <w:sz w:val="18"/>
          <w:szCs w:val="18"/>
          <w:color w:val="auto"/>
        </w:rPr>
        <w:t xml:space="preserve"> values for the comparisons between the two groups are reported.</w:t>
      </w:r>
    </w:p>
    <w:p>
      <w:pPr>
        <w:spacing w:after="0" w:line="200" w:lineRule="exact"/>
        <w:rPr>
          <w:sz w:val="20"/>
          <w:szCs w:val="20"/>
          <w:color w:val="auto"/>
        </w:rPr>
      </w:pPr>
    </w:p>
    <w:p>
      <w:pPr>
        <w:spacing w:after="0" w:line="291" w:lineRule="exact"/>
        <w:rPr>
          <w:sz w:val="20"/>
          <w:szCs w:val="20"/>
          <w:color w:val="auto"/>
        </w:rPr>
      </w:pPr>
    </w:p>
    <w:p>
      <w:pPr>
        <w:jc w:val="both"/>
        <w:ind w:left="80" w:right="60" w:firstLine="360"/>
        <w:spacing w:after="0" w:line="237" w:lineRule="auto"/>
        <w:rPr>
          <w:sz w:val="20"/>
          <w:szCs w:val="20"/>
          <w:color w:val="auto"/>
        </w:rPr>
      </w:pPr>
      <w:r>
        <w:rPr>
          <w:rFonts w:ascii="Times New Roman" w:cs="Times New Roman" w:eastAsia="Times New Roman" w:hAnsi="Times New Roman"/>
          <w:sz w:val="22"/>
          <w:szCs w:val="22"/>
          <w:color w:val="auto"/>
        </w:rPr>
        <w:t>In order to compare the scores obtained in the clinical scales by the two groups, first we checked whether data were normally distributed. Results are reported in Table 4. As can be noted in the large majority of instances (107/120 or 89.2%), the Shapiro-Wilk test was not significant, indicating that the assumption of normality could not be refused. Thus, we decided to apply parametric rather than nonparametric statistics because the former are much more robust.</w:t>
      </w:r>
    </w:p>
    <w:p>
      <w:pPr>
        <w:spacing w:after="0" w:line="200" w:lineRule="exact"/>
        <w:rPr>
          <w:sz w:val="20"/>
          <w:szCs w:val="20"/>
          <w:color w:val="auto"/>
        </w:rPr>
      </w:pPr>
    </w:p>
    <w:p>
      <w:pPr>
        <w:spacing w:after="0" w:line="285" w:lineRule="exact"/>
        <w:rPr>
          <w:sz w:val="20"/>
          <w:szCs w:val="20"/>
          <w:color w:val="auto"/>
        </w:rPr>
      </w:pPr>
    </w:p>
    <w:p>
      <w:pPr>
        <w:jc w:val="center"/>
        <w:ind w:right="-19"/>
        <w:spacing w:after="0"/>
        <w:rPr>
          <w:sz w:val="20"/>
          <w:szCs w:val="20"/>
          <w:color w:val="auto"/>
        </w:rPr>
      </w:pPr>
      <w:r>
        <w:rPr>
          <w:rFonts w:ascii="Arial" w:cs="Arial" w:eastAsia="Arial" w:hAnsi="Arial"/>
          <w:sz w:val="20"/>
          <w:szCs w:val="20"/>
          <w:b w:val="1"/>
          <w:bCs w:val="1"/>
          <w:color w:val="auto"/>
        </w:rPr>
        <w:t>TABLE 4</w:t>
      </w:r>
    </w:p>
    <w:p>
      <w:pPr>
        <w:jc w:val="center"/>
        <w:ind w:right="-19"/>
        <w:spacing w:after="0"/>
        <w:rPr>
          <w:sz w:val="20"/>
          <w:szCs w:val="20"/>
          <w:color w:val="auto"/>
        </w:rPr>
      </w:pPr>
      <w:r>
        <w:rPr>
          <w:rFonts w:ascii="Arial" w:cs="Arial" w:eastAsia="Arial" w:hAnsi="Arial"/>
          <w:sz w:val="20"/>
          <w:szCs w:val="20"/>
          <w:b w:val="1"/>
          <w:bCs w:val="1"/>
          <w:color w:val="auto"/>
        </w:rPr>
        <w:t>Results of Shapiro-Wilk Test of Normality Obtained for the Two Groups of PD Patients (Control</w:t>
      </w:r>
    </w:p>
    <w:p>
      <w:pPr>
        <w:jc w:val="center"/>
        <w:ind w:right="-19"/>
        <w:spacing w:after="0"/>
        <w:rPr>
          <w:sz w:val="20"/>
          <w:szCs w:val="20"/>
          <w:color w:val="auto"/>
        </w:rPr>
      </w:pPr>
      <w:r>
        <w:rPr>
          <w:rFonts w:ascii="Arial" w:cs="Arial" w:eastAsia="Arial" w:hAnsi="Arial"/>
          <w:sz w:val="20"/>
          <w:szCs w:val="20"/>
          <w:b w:val="1"/>
          <w:bCs w:val="1"/>
          <w:color w:val="auto"/>
        </w:rPr>
        <w:t>Group and Theater Group) in all Clinical Scales (and Subscales) at the Four Time Points*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50800</wp:posOffset>
                </wp:positionH>
                <wp:positionV relativeFrom="paragraph">
                  <wp:posOffset>158750</wp:posOffset>
                </wp:positionV>
                <wp:extent cx="594423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pt,12.5pt" to="472.05pt,12.5pt" o:allowincell="f" strokecolor="#000000" strokeweight="0.2399pt"/>
            </w:pict>
          </mc:Fallback>
        </mc:AlternateContent>
      </w:r>
    </w:p>
    <w:p>
      <w:pPr>
        <w:spacing w:after="0" w:line="345" w:lineRule="exact"/>
        <w:rPr>
          <w:sz w:val="20"/>
          <w:szCs w:val="20"/>
          <w:color w:val="auto"/>
        </w:rPr>
      </w:pPr>
    </w:p>
    <w:tbl>
      <w:tblPr>
        <w:tblLayout w:type="fixed"/>
        <w:tblInd w:w="60" w:type="dxa"/>
        <w:tblCellMar>
          <w:top w:w="0" w:type="dxa"/>
          <w:left w:w="0" w:type="dxa"/>
          <w:bottom w:w="0" w:type="dxa"/>
          <w:right w:w="0" w:type="dxa"/>
        </w:tblCellMar>
      </w:tblPr>
      <w:tr>
        <w:trPr>
          <w:trHeight w:val="207"/>
        </w:trPr>
        <w:tc>
          <w:tcPr>
            <w:tcW w:w="20" w:type="dxa"/>
            <w:vAlign w:val="bottom"/>
          </w:tcPr>
          <w:p>
            <w:pPr>
              <w:spacing w:after="0"/>
              <w:rPr>
                <w:sz w:val="18"/>
                <w:szCs w:val="18"/>
                <w:color w:val="auto"/>
              </w:rPr>
            </w:pPr>
          </w:p>
        </w:tc>
        <w:tc>
          <w:tcPr>
            <w:tcW w:w="23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780" w:type="dxa"/>
            <w:vAlign w:val="bottom"/>
            <w:gridSpan w:val="2"/>
          </w:tcPr>
          <w:p>
            <w:pPr>
              <w:ind w:left="120"/>
              <w:spacing w:after="0"/>
              <w:rPr>
                <w:sz w:val="20"/>
                <w:szCs w:val="20"/>
                <w:color w:val="auto"/>
              </w:rPr>
            </w:pPr>
            <w:r>
              <w:rPr>
                <w:rFonts w:ascii="Arial" w:cs="Arial" w:eastAsia="Arial" w:hAnsi="Arial"/>
                <w:sz w:val="18"/>
                <w:szCs w:val="18"/>
                <w:b w:val="1"/>
                <w:bCs w:val="1"/>
                <w:color w:val="auto"/>
              </w:rPr>
              <w:t>Control (</w:t>
            </w:r>
            <w:r>
              <w:rPr>
                <w:rFonts w:ascii="Arial" w:cs="Arial" w:eastAsia="Arial" w:hAnsi="Arial"/>
                <w:sz w:val="18"/>
                <w:szCs w:val="18"/>
                <w:b w:val="1"/>
                <w:bCs w:val="1"/>
                <w:i w:val="1"/>
                <w:iCs w:val="1"/>
                <w:color w:val="auto"/>
              </w:rPr>
              <w:t>p</w:t>
            </w:r>
            <w:r>
              <w:rPr>
                <w:rFonts w:ascii="Arial" w:cs="Arial" w:eastAsia="Arial" w:hAnsi="Arial"/>
                <w:sz w:val="18"/>
                <w:szCs w:val="18"/>
                <w:b w:val="1"/>
                <w:bCs w:val="1"/>
                <w:color w:val="auto"/>
              </w:rPr>
              <w:t xml:space="preserve"> Values)</w:t>
            </w:r>
          </w:p>
        </w:tc>
        <w:tc>
          <w:tcPr>
            <w:tcW w:w="88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800" w:type="dxa"/>
            <w:vAlign w:val="bottom"/>
            <w:gridSpan w:val="2"/>
          </w:tcPr>
          <w:p>
            <w:pPr>
              <w:ind w:left="120"/>
              <w:spacing w:after="0"/>
              <w:rPr>
                <w:sz w:val="20"/>
                <w:szCs w:val="20"/>
                <w:color w:val="auto"/>
              </w:rPr>
            </w:pPr>
            <w:r>
              <w:rPr>
                <w:rFonts w:ascii="Arial" w:cs="Arial" w:eastAsia="Arial" w:hAnsi="Arial"/>
                <w:sz w:val="18"/>
                <w:szCs w:val="18"/>
                <w:b w:val="1"/>
                <w:bCs w:val="1"/>
                <w:color w:val="auto"/>
              </w:rPr>
              <w:t>Theater (</w:t>
            </w:r>
            <w:r>
              <w:rPr>
                <w:rFonts w:ascii="Arial" w:cs="Arial" w:eastAsia="Arial" w:hAnsi="Arial"/>
                <w:sz w:val="18"/>
                <w:szCs w:val="18"/>
                <w:b w:val="1"/>
                <w:bCs w:val="1"/>
                <w:i w:val="1"/>
                <w:iCs w:val="1"/>
                <w:color w:val="auto"/>
              </w:rPr>
              <w:t>p</w:t>
            </w:r>
            <w:r>
              <w:rPr>
                <w:rFonts w:ascii="Arial" w:cs="Arial" w:eastAsia="Arial" w:hAnsi="Arial"/>
                <w:sz w:val="18"/>
                <w:szCs w:val="18"/>
                <w:b w:val="1"/>
                <w:bCs w:val="1"/>
                <w:color w:val="auto"/>
              </w:rPr>
              <w:t xml:space="preserve"> Values)</w:t>
            </w:r>
          </w:p>
        </w:tc>
        <w:tc>
          <w:tcPr>
            <w:tcW w:w="860" w:type="dxa"/>
            <w:vAlign w:val="bottom"/>
          </w:tcPr>
          <w:p>
            <w:pPr>
              <w:spacing w:after="0"/>
              <w:rPr>
                <w:sz w:val="18"/>
                <w:szCs w:val="18"/>
                <w:color w:val="auto"/>
              </w:rPr>
            </w:pPr>
          </w:p>
        </w:tc>
      </w:tr>
      <w:tr>
        <w:trPr>
          <w:trHeight w:val="67"/>
        </w:trPr>
        <w:tc>
          <w:tcPr>
            <w:tcW w:w="20" w:type="dxa"/>
            <w:vAlign w:val="bottom"/>
          </w:tcPr>
          <w:p>
            <w:pPr>
              <w:spacing w:after="0"/>
              <w:rPr>
                <w:sz w:val="5"/>
                <w:szCs w:val="5"/>
                <w:color w:val="auto"/>
              </w:rPr>
            </w:pPr>
          </w:p>
        </w:tc>
        <w:tc>
          <w:tcPr>
            <w:tcW w:w="2300" w:type="dxa"/>
            <w:vAlign w:val="bottom"/>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r>
      <w:tr>
        <w:trPr>
          <w:trHeight w:val="244"/>
        </w:trPr>
        <w:tc>
          <w:tcPr>
            <w:tcW w:w="20" w:type="dxa"/>
            <w:vAlign w:val="bottom"/>
          </w:tcPr>
          <w:p>
            <w:pPr>
              <w:spacing w:after="0"/>
              <w:rPr>
                <w:sz w:val="21"/>
                <w:szCs w:val="21"/>
                <w:color w:val="auto"/>
              </w:rPr>
            </w:pPr>
          </w:p>
        </w:tc>
        <w:tc>
          <w:tcPr>
            <w:tcW w:w="2300" w:type="dxa"/>
            <w:vAlign w:val="bottom"/>
          </w:tcPr>
          <w:p>
            <w:pPr>
              <w:spacing w:after="0"/>
              <w:rPr>
                <w:sz w:val="21"/>
                <w:szCs w:val="21"/>
                <w:color w:val="auto"/>
              </w:rPr>
            </w:pP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rPr>
              <w:t>T0</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rPr>
              <w:t>T1</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rPr>
              <w:t>T2</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rPr>
              <w:t>T3</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T0</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4"/>
              </w:rPr>
              <w:t>T1</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4"/>
              </w:rPr>
              <w:t>T2</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w w:val="94"/>
              </w:rPr>
              <w:t>T3</w:t>
            </w:r>
          </w:p>
        </w:tc>
      </w:tr>
      <w:tr>
        <w:trPr>
          <w:trHeight w:val="127"/>
        </w:trPr>
        <w:tc>
          <w:tcPr>
            <w:tcW w:w="20" w:type="dxa"/>
            <w:vAlign w:val="bottom"/>
          </w:tcPr>
          <w:p>
            <w:pPr>
              <w:spacing w:after="0"/>
              <w:rPr>
                <w:sz w:val="11"/>
                <w:szCs w:val="11"/>
                <w:color w:val="auto"/>
              </w:rPr>
            </w:pPr>
          </w:p>
        </w:tc>
        <w:tc>
          <w:tcPr>
            <w:tcW w:w="23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r>
      <w:tr>
        <w:trPr>
          <w:trHeight w:val="251"/>
        </w:trPr>
        <w:tc>
          <w:tcPr>
            <w:tcW w:w="20" w:type="dxa"/>
            <w:vAlign w:val="bottom"/>
          </w:tcPr>
          <w:p>
            <w:pPr>
              <w:spacing w:after="0"/>
              <w:rPr>
                <w:sz w:val="21"/>
                <w:szCs w:val="21"/>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Epworth Sleepiness</w:t>
            </w:r>
          </w:p>
        </w:tc>
        <w:tc>
          <w:tcPr>
            <w:tcW w:w="880" w:type="dxa"/>
            <w:vAlign w:val="bottom"/>
          </w:tcPr>
          <w:p>
            <w:pPr>
              <w:jc w:val="center"/>
              <w:spacing w:after="0"/>
              <w:rPr>
                <w:sz w:val="20"/>
                <w:szCs w:val="20"/>
                <w:color w:val="auto"/>
              </w:rPr>
            </w:pPr>
            <w:r>
              <w:rPr>
                <w:rFonts w:ascii="Arial" w:cs="Arial" w:eastAsia="Arial" w:hAnsi="Arial"/>
                <w:sz w:val="18"/>
                <w:szCs w:val="18"/>
                <w:color w:val="auto"/>
              </w:rPr>
              <w:t>= 0.481</w:t>
            </w:r>
          </w:p>
        </w:tc>
        <w:tc>
          <w:tcPr>
            <w:tcW w:w="880" w:type="dxa"/>
            <w:vAlign w:val="bottom"/>
          </w:tcPr>
          <w:p>
            <w:pPr>
              <w:jc w:val="center"/>
              <w:spacing w:after="0"/>
              <w:rPr>
                <w:sz w:val="20"/>
                <w:szCs w:val="20"/>
                <w:color w:val="auto"/>
              </w:rPr>
            </w:pPr>
            <w:r>
              <w:rPr>
                <w:rFonts w:ascii="Arial" w:cs="Arial" w:eastAsia="Arial" w:hAnsi="Arial"/>
                <w:sz w:val="18"/>
                <w:szCs w:val="18"/>
                <w:color w:val="auto"/>
              </w:rPr>
              <w:t>= 0.331</w:t>
            </w:r>
          </w:p>
        </w:tc>
        <w:tc>
          <w:tcPr>
            <w:tcW w:w="900" w:type="dxa"/>
            <w:vAlign w:val="bottom"/>
          </w:tcPr>
          <w:p>
            <w:pPr>
              <w:jc w:val="center"/>
              <w:spacing w:after="0"/>
              <w:rPr>
                <w:sz w:val="20"/>
                <w:szCs w:val="20"/>
                <w:color w:val="auto"/>
              </w:rPr>
            </w:pPr>
            <w:r>
              <w:rPr>
                <w:rFonts w:ascii="Arial" w:cs="Arial" w:eastAsia="Arial" w:hAnsi="Arial"/>
                <w:sz w:val="18"/>
                <w:szCs w:val="18"/>
                <w:color w:val="auto"/>
              </w:rPr>
              <w:t>= 0.263</w:t>
            </w:r>
          </w:p>
        </w:tc>
        <w:tc>
          <w:tcPr>
            <w:tcW w:w="880" w:type="dxa"/>
            <w:vAlign w:val="bottom"/>
          </w:tcPr>
          <w:p>
            <w:pPr>
              <w:jc w:val="center"/>
              <w:spacing w:after="0"/>
              <w:rPr>
                <w:sz w:val="20"/>
                <w:szCs w:val="20"/>
                <w:color w:val="auto"/>
              </w:rPr>
            </w:pPr>
            <w:r>
              <w:rPr>
                <w:rFonts w:ascii="Arial" w:cs="Arial" w:eastAsia="Arial" w:hAnsi="Arial"/>
                <w:sz w:val="18"/>
                <w:szCs w:val="18"/>
                <w:color w:val="auto"/>
              </w:rPr>
              <w:t>= 0.517</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0.643</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0.305</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0.680</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0.892</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Hamilton</w:t>
            </w:r>
          </w:p>
        </w:tc>
        <w:tc>
          <w:tcPr>
            <w:tcW w:w="880" w:type="dxa"/>
            <w:vAlign w:val="bottom"/>
          </w:tcPr>
          <w:p>
            <w:pPr>
              <w:jc w:val="center"/>
              <w:spacing w:after="0"/>
              <w:rPr>
                <w:sz w:val="20"/>
                <w:szCs w:val="20"/>
                <w:color w:val="auto"/>
              </w:rPr>
            </w:pPr>
            <w:r>
              <w:rPr>
                <w:rFonts w:ascii="Arial" w:cs="Arial" w:eastAsia="Arial" w:hAnsi="Arial"/>
                <w:sz w:val="18"/>
                <w:szCs w:val="18"/>
                <w:color w:val="auto"/>
              </w:rPr>
              <w:t>= 0.692</w:t>
            </w:r>
          </w:p>
        </w:tc>
        <w:tc>
          <w:tcPr>
            <w:tcW w:w="880" w:type="dxa"/>
            <w:vAlign w:val="bottom"/>
          </w:tcPr>
          <w:p>
            <w:pPr>
              <w:jc w:val="center"/>
              <w:spacing w:after="0"/>
              <w:rPr>
                <w:sz w:val="20"/>
                <w:szCs w:val="20"/>
                <w:color w:val="auto"/>
              </w:rPr>
            </w:pPr>
            <w:r>
              <w:rPr>
                <w:rFonts w:ascii="Arial" w:cs="Arial" w:eastAsia="Arial" w:hAnsi="Arial"/>
                <w:sz w:val="18"/>
                <w:szCs w:val="18"/>
                <w:color w:val="auto"/>
              </w:rPr>
              <w:t>= 0.251</w:t>
            </w:r>
          </w:p>
        </w:tc>
        <w:tc>
          <w:tcPr>
            <w:tcW w:w="900" w:type="dxa"/>
            <w:vAlign w:val="bottom"/>
          </w:tcPr>
          <w:p>
            <w:pPr>
              <w:jc w:val="center"/>
              <w:spacing w:after="0"/>
              <w:rPr>
                <w:sz w:val="20"/>
                <w:szCs w:val="20"/>
                <w:color w:val="auto"/>
              </w:rPr>
            </w:pPr>
            <w:r>
              <w:rPr>
                <w:rFonts w:ascii="Arial" w:cs="Arial" w:eastAsia="Arial" w:hAnsi="Arial"/>
                <w:sz w:val="18"/>
                <w:szCs w:val="18"/>
                <w:color w:val="auto"/>
              </w:rPr>
              <w:t>= 0.198</w:t>
            </w:r>
          </w:p>
        </w:tc>
        <w:tc>
          <w:tcPr>
            <w:tcW w:w="880" w:type="dxa"/>
            <w:vAlign w:val="bottom"/>
          </w:tcPr>
          <w:p>
            <w:pPr>
              <w:jc w:val="center"/>
              <w:spacing w:after="0"/>
              <w:rPr>
                <w:sz w:val="20"/>
                <w:szCs w:val="20"/>
                <w:color w:val="auto"/>
              </w:rPr>
            </w:pPr>
            <w:r>
              <w:rPr>
                <w:rFonts w:ascii="Arial" w:cs="Arial" w:eastAsia="Arial" w:hAnsi="Arial"/>
                <w:sz w:val="18"/>
                <w:szCs w:val="18"/>
                <w:color w:val="auto"/>
              </w:rPr>
              <w:t>= 0.101</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0.078</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0.837</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0.630</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&lt; 0.01</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Schwab and England</w:t>
            </w:r>
          </w:p>
        </w:tc>
        <w:tc>
          <w:tcPr>
            <w:tcW w:w="880" w:type="dxa"/>
            <w:vAlign w:val="bottom"/>
          </w:tcPr>
          <w:p>
            <w:pPr>
              <w:jc w:val="center"/>
              <w:spacing w:after="0"/>
              <w:rPr>
                <w:sz w:val="20"/>
                <w:szCs w:val="20"/>
                <w:color w:val="auto"/>
              </w:rPr>
            </w:pPr>
            <w:r>
              <w:rPr>
                <w:rFonts w:ascii="Arial" w:cs="Arial" w:eastAsia="Arial" w:hAnsi="Arial"/>
                <w:sz w:val="18"/>
                <w:szCs w:val="18"/>
                <w:color w:val="auto"/>
              </w:rPr>
              <w:t>= 0.287</w:t>
            </w:r>
          </w:p>
        </w:tc>
        <w:tc>
          <w:tcPr>
            <w:tcW w:w="880" w:type="dxa"/>
            <w:vAlign w:val="bottom"/>
          </w:tcPr>
          <w:p>
            <w:pPr>
              <w:jc w:val="center"/>
              <w:spacing w:after="0"/>
              <w:rPr>
                <w:sz w:val="20"/>
                <w:szCs w:val="20"/>
                <w:color w:val="auto"/>
              </w:rPr>
            </w:pPr>
            <w:r>
              <w:rPr>
                <w:rFonts w:ascii="Arial" w:cs="Arial" w:eastAsia="Arial" w:hAnsi="Arial"/>
                <w:sz w:val="18"/>
                <w:szCs w:val="18"/>
                <w:color w:val="auto"/>
              </w:rPr>
              <w:t>= 0.191</w:t>
            </w:r>
          </w:p>
        </w:tc>
        <w:tc>
          <w:tcPr>
            <w:tcW w:w="900" w:type="dxa"/>
            <w:vAlign w:val="bottom"/>
          </w:tcPr>
          <w:p>
            <w:pPr>
              <w:jc w:val="center"/>
              <w:spacing w:after="0"/>
              <w:rPr>
                <w:sz w:val="20"/>
                <w:szCs w:val="20"/>
                <w:color w:val="auto"/>
              </w:rPr>
            </w:pPr>
            <w:r>
              <w:rPr>
                <w:rFonts w:ascii="Arial" w:cs="Arial" w:eastAsia="Arial" w:hAnsi="Arial"/>
                <w:sz w:val="18"/>
                <w:szCs w:val="18"/>
                <w:color w:val="auto"/>
              </w:rPr>
              <w:t>= 0.389</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w w:val="98"/>
              </w:rPr>
              <w:t>&lt; 0.05</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0.321</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8"/>
              </w:rPr>
              <w:t>&lt; 0.05</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0.124</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&lt; 0.05</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UPDRS1</w:t>
            </w:r>
          </w:p>
        </w:tc>
        <w:tc>
          <w:tcPr>
            <w:tcW w:w="880" w:type="dxa"/>
            <w:vAlign w:val="bottom"/>
          </w:tcPr>
          <w:p>
            <w:pPr>
              <w:jc w:val="center"/>
              <w:spacing w:after="0"/>
              <w:rPr>
                <w:sz w:val="20"/>
                <w:szCs w:val="20"/>
                <w:color w:val="auto"/>
              </w:rPr>
            </w:pPr>
            <w:r>
              <w:rPr>
                <w:rFonts w:ascii="Arial" w:cs="Arial" w:eastAsia="Arial" w:hAnsi="Arial"/>
                <w:sz w:val="18"/>
                <w:szCs w:val="18"/>
                <w:color w:val="auto"/>
              </w:rPr>
              <w:t>= 0.247</w:t>
            </w:r>
          </w:p>
        </w:tc>
        <w:tc>
          <w:tcPr>
            <w:tcW w:w="880" w:type="dxa"/>
            <w:vAlign w:val="bottom"/>
          </w:tcPr>
          <w:p>
            <w:pPr>
              <w:jc w:val="center"/>
              <w:spacing w:after="0"/>
              <w:rPr>
                <w:sz w:val="20"/>
                <w:szCs w:val="20"/>
                <w:color w:val="auto"/>
              </w:rPr>
            </w:pPr>
            <w:r>
              <w:rPr>
                <w:rFonts w:ascii="Arial" w:cs="Arial" w:eastAsia="Arial" w:hAnsi="Arial"/>
                <w:sz w:val="18"/>
                <w:szCs w:val="18"/>
                <w:color w:val="auto"/>
              </w:rPr>
              <w:t>= 0.295</w:t>
            </w:r>
          </w:p>
        </w:tc>
        <w:tc>
          <w:tcPr>
            <w:tcW w:w="900" w:type="dxa"/>
            <w:vAlign w:val="bottom"/>
          </w:tcPr>
          <w:p>
            <w:pPr>
              <w:jc w:val="center"/>
              <w:spacing w:after="0"/>
              <w:rPr>
                <w:sz w:val="20"/>
                <w:szCs w:val="20"/>
                <w:color w:val="auto"/>
              </w:rPr>
            </w:pPr>
            <w:r>
              <w:rPr>
                <w:rFonts w:ascii="Arial" w:cs="Arial" w:eastAsia="Arial" w:hAnsi="Arial"/>
                <w:sz w:val="18"/>
                <w:szCs w:val="18"/>
                <w:color w:val="auto"/>
              </w:rPr>
              <w:t>= 0.636</w:t>
            </w:r>
          </w:p>
        </w:tc>
        <w:tc>
          <w:tcPr>
            <w:tcW w:w="880" w:type="dxa"/>
            <w:vAlign w:val="bottom"/>
          </w:tcPr>
          <w:p>
            <w:pPr>
              <w:jc w:val="center"/>
              <w:spacing w:after="0"/>
              <w:rPr>
                <w:sz w:val="20"/>
                <w:szCs w:val="20"/>
                <w:color w:val="auto"/>
              </w:rPr>
            </w:pPr>
            <w:r>
              <w:rPr>
                <w:rFonts w:ascii="Arial" w:cs="Arial" w:eastAsia="Arial" w:hAnsi="Arial"/>
                <w:sz w:val="18"/>
                <w:szCs w:val="18"/>
                <w:color w:val="auto"/>
              </w:rPr>
              <w:t>= 0.576</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0.140</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0.496</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0.392</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0.258</w:t>
            </w:r>
          </w:p>
        </w:tc>
      </w:tr>
      <w:tr>
        <w:trPr>
          <w:trHeight w:val="269"/>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UPDRS2</w:t>
            </w:r>
          </w:p>
        </w:tc>
        <w:tc>
          <w:tcPr>
            <w:tcW w:w="880" w:type="dxa"/>
            <w:vAlign w:val="bottom"/>
          </w:tcPr>
          <w:p>
            <w:pPr>
              <w:jc w:val="center"/>
              <w:spacing w:after="0"/>
              <w:rPr>
                <w:sz w:val="20"/>
                <w:szCs w:val="20"/>
                <w:color w:val="auto"/>
              </w:rPr>
            </w:pPr>
            <w:r>
              <w:rPr>
                <w:rFonts w:ascii="Arial" w:cs="Arial" w:eastAsia="Arial" w:hAnsi="Arial"/>
                <w:sz w:val="18"/>
                <w:szCs w:val="18"/>
                <w:color w:val="auto"/>
              </w:rPr>
              <w:t>= 0.299</w:t>
            </w:r>
          </w:p>
        </w:tc>
        <w:tc>
          <w:tcPr>
            <w:tcW w:w="880" w:type="dxa"/>
            <w:vAlign w:val="bottom"/>
          </w:tcPr>
          <w:p>
            <w:pPr>
              <w:jc w:val="center"/>
              <w:spacing w:after="0"/>
              <w:rPr>
                <w:sz w:val="20"/>
                <w:szCs w:val="20"/>
                <w:color w:val="auto"/>
              </w:rPr>
            </w:pPr>
            <w:r>
              <w:rPr>
                <w:rFonts w:ascii="Arial" w:cs="Arial" w:eastAsia="Arial" w:hAnsi="Arial"/>
                <w:sz w:val="18"/>
                <w:szCs w:val="18"/>
                <w:color w:val="auto"/>
              </w:rPr>
              <w:t>= 0.481</w:t>
            </w:r>
          </w:p>
        </w:tc>
        <w:tc>
          <w:tcPr>
            <w:tcW w:w="900" w:type="dxa"/>
            <w:vAlign w:val="bottom"/>
          </w:tcPr>
          <w:p>
            <w:pPr>
              <w:jc w:val="center"/>
              <w:spacing w:after="0"/>
              <w:rPr>
                <w:sz w:val="20"/>
                <w:szCs w:val="20"/>
                <w:color w:val="auto"/>
              </w:rPr>
            </w:pPr>
            <w:r>
              <w:rPr>
                <w:rFonts w:ascii="Arial" w:cs="Arial" w:eastAsia="Arial" w:hAnsi="Arial"/>
                <w:sz w:val="18"/>
                <w:szCs w:val="18"/>
                <w:color w:val="auto"/>
              </w:rPr>
              <w:t>= 0.554</w:t>
            </w:r>
          </w:p>
        </w:tc>
        <w:tc>
          <w:tcPr>
            <w:tcW w:w="880" w:type="dxa"/>
            <w:vAlign w:val="bottom"/>
          </w:tcPr>
          <w:p>
            <w:pPr>
              <w:jc w:val="center"/>
              <w:spacing w:after="0"/>
              <w:rPr>
                <w:sz w:val="20"/>
                <w:szCs w:val="20"/>
                <w:color w:val="auto"/>
              </w:rPr>
            </w:pPr>
            <w:r>
              <w:rPr>
                <w:rFonts w:ascii="Arial" w:cs="Arial" w:eastAsia="Arial" w:hAnsi="Arial"/>
                <w:sz w:val="18"/>
                <w:szCs w:val="18"/>
                <w:color w:val="auto"/>
              </w:rPr>
              <w:t>= 0.887</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0.618</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0.728</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0.769</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0.882</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UPDRS3</w:t>
            </w:r>
          </w:p>
        </w:tc>
        <w:tc>
          <w:tcPr>
            <w:tcW w:w="880" w:type="dxa"/>
            <w:vAlign w:val="bottom"/>
          </w:tcPr>
          <w:p>
            <w:pPr>
              <w:jc w:val="center"/>
              <w:spacing w:after="0"/>
              <w:rPr>
                <w:sz w:val="20"/>
                <w:szCs w:val="20"/>
                <w:color w:val="auto"/>
              </w:rPr>
            </w:pPr>
            <w:r>
              <w:rPr>
                <w:rFonts w:ascii="Arial" w:cs="Arial" w:eastAsia="Arial" w:hAnsi="Arial"/>
                <w:sz w:val="18"/>
                <w:szCs w:val="18"/>
                <w:color w:val="auto"/>
              </w:rPr>
              <w:t>= 0.737</w:t>
            </w:r>
          </w:p>
        </w:tc>
        <w:tc>
          <w:tcPr>
            <w:tcW w:w="880" w:type="dxa"/>
            <w:vAlign w:val="bottom"/>
          </w:tcPr>
          <w:p>
            <w:pPr>
              <w:jc w:val="center"/>
              <w:spacing w:after="0"/>
              <w:rPr>
                <w:sz w:val="20"/>
                <w:szCs w:val="20"/>
                <w:color w:val="auto"/>
              </w:rPr>
            </w:pPr>
            <w:r>
              <w:rPr>
                <w:rFonts w:ascii="Arial" w:cs="Arial" w:eastAsia="Arial" w:hAnsi="Arial"/>
                <w:sz w:val="18"/>
                <w:szCs w:val="18"/>
                <w:color w:val="auto"/>
              </w:rPr>
              <w:t>= 0.759</w:t>
            </w:r>
          </w:p>
        </w:tc>
        <w:tc>
          <w:tcPr>
            <w:tcW w:w="900" w:type="dxa"/>
            <w:vAlign w:val="bottom"/>
          </w:tcPr>
          <w:p>
            <w:pPr>
              <w:jc w:val="center"/>
              <w:spacing w:after="0"/>
              <w:rPr>
                <w:sz w:val="20"/>
                <w:szCs w:val="20"/>
                <w:color w:val="auto"/>
              </w:rPr>
            </w:pPr>
            <w:r>
              <w:rPr>
                <w:rFonts w:ascii="Arial" w:cs="Arial" w:eastAsia="Arial" w:hAnsi="Arial"/>
                <w:sz w:val="18"/>
                <w:szCs w:val="18"/>
                <w:color w:val="auto"/>
              </w:rPr>
              <w:t>= 0.574</w:t>
            </w:r>
          </w:p>
        </w:tc>
        <w:tc>
          <w:tcPr>
            <w:tcW w:w="880" w:type="dxa"/>
            <w:vAlign w:val="bottom"/>
          </w:tcPr>
          <w:p>
            <w:pPr>
              <w:jc w:val="center"/>
              <w:spacing w:after="0"/>
              <w:rPr>
                <w:sz w:val="20"/>
                <w:szCs w:val="20"/>
                <w:color w:val="auto"/>
              </w:rPr>
            </w:pPr>
            <w:r>
              <w:rPr>
                <w:rFonts w:ascii="Arial" w:cs="Arial" w:eastAsia="Arial" w:hAnsi="Arial"/>
                <w:sz w:val="18"/>
                <w:szCs w:val="18"/>
                <w:color w:val="auto"/>
              </w:rPr>
              <w:t>= 0.505</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0.161</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8"/>
              </w:rPr>
              <w:t>&lt; 0.05</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0.099</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&lt; 0.05</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UPDRS4</w:t>
            </w:r>
          </w:p>
        </w:tc>
        <w:tc>
          <w:tcPr>
            <w:tcW w:w="880" w:type="dxa"/>
            <w:vAlign w:val="bottom"/>
          </w:tcPr>
          <w:p>
            <w:pPr>
              <w:jc w:val="center"/>
              <w:spacing w:after="0"/>
              <w:rPr>
                <w:sz w:val="20"/>
                <w:szCs w:val="20"/>
                <w:color w:val="auto"/>
              </w:rPr>
            </w:pPr>
            <w:r>
              <w:rPr>
                <w:rFonts w:ascii="Arial" w:cs="Arial" w:eastAsia="Arial" w:hAnsi="Arial"/>
                <w:sz w:val="18"/>
                <w:szCs w:val="18"/>
                <w:color w:val="auto"/>
              </w:rPr>
              <w:t>= 0.683</w:t>
            </w:r>
          </w:p>
        </w:tc>
        <w:tc>
          <w:tcPr>
            <w:tcW w:w="880" w:type="dxa"/>
            <w:vAlign w:val="bottom"/>
          </w:tcPr>
          <w:p>
            <w:pPr>
              <w:jc w:val="center"/>
              <w:spacing w:after="0"/>
              <w:rPr>
                <w:sz w:val="20"/>
                <w:szCs w:val="20"/>
                <w:color w:val="auto"/>
              </w:rPr>
            </w:pPr>
            <w:r>
              <w:rPr>
                <w:rFonts w:ascii="Arial" w:cs="Arial" w:eastAsia="Arial" w:hAnsi="Arial"/>
                <w:sz w:val="18"/>
                <w:szCs w:val="18"/>
                <w:color w:val="auto"/>
              </w:rPr>
              <w:t>= 0.252</w:t>
            </w:r>
          </w:p>
        </w:tc>
        <w:tc>
          <w:tcPr>
            <w:tcW w:w="900" w:type="dxa"/>
            <w:vAlign w:val="bottom"/>
          </w:tcPr>
          <w:p>
            <w:pPr>
              <w:jc w:val="center"/>
              <w:spacing w:after="0"/>
              <w:rPr>
                <w:sz w:val="20"/>
                <w:szCs w:val="20"/>
                <w:color w:val="auto"/>
              </w:rPr>
            </w:pPr>
            <w:r>
              <w:rPr>
                <w:rFonts w:ascii="Arial" w:cs="Arial" w:eastAsia="Arial" w:hAnsi="Arial"/>
                <w:sz w:val="18"/>
                <w:szCs w:val="18"/>
                <w:color w:val="auto"/>
              </w:rPr>
              <w:t>= 0.073</w:t>
            </w:r>
          </w:p>
        </w:tc>
        <w:tc>
          <w:tcPr>
            <w:tcW w:w="880" w:type="dxa"/>
            <w:vAlign w:val="bottom"/>
          </w:tcPr>
          <w:p>
            <w:pPr>
              <w:jc w:val="center"/>
              <w:spacing w:after="0"/>
              <w:rPr>
                <w:sz w:val="20"/>
                <w:szCs w:val="20"/>
                <w:color w:val="auto"/>
              </w:rPr>
            </w:pPr>
            <w:r>
              <w:rPr>
                <w:rFonts w:ascii="Arial" w:cs="Arial" w:eastAsia="Arial" w:hAnsi="Arial"/>
                <w:sz w:val="18"/>
                <w:szCs w:val="18"/>
                <w:color w:val="auto"/>
              </w:rPr>
              <w:t>= 0.084</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0.321</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0.417</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0.750</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0.569</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Mobility**</w:t>
            </w:r>
          </w:p>
        </w:tc>
        <w:tc>
          <w:tcPr>
            <w:tcW w:w="880" w:type="dxa"/>
            <w:vAlign w:val="bottom"/>
          </w:tcPr>
          <w:p>
            <w:pPr>
              <w:jc w:val="center"/>
              <w:spacing w:after="0"/>
              <w:rPr>
                <w:sz w:val="20"/>
                <w:szCs w:val="20"/>
                <w:color w:val="auto"/>
              </w:rPr>
            </w:pPr>
            <w:r>
              <w:rPr>
                <w:rFonts w:ascii="Arial" w:cs="Arial" w:eastAsia="Arial" w:hAnsi="Arial"/>
                <w:sz w:val="18"/>
                <w:szCs w:val="18"/>
                <w:color w:val="auto"/>
              </w:rPr>
              <w:t>= 0.144</w:t>
            </w:r>
          </w:p>
        </w:tc>
        <w:tc>
          <w:tcPr>
            <w:tcW w:w="880" w:type="dxa"/>
            <w:vAlign w:val="bottom"/>
          </w:tcPr>
          <w:p>
            <w:pPr>
              <w:jc w:val="center"/>
              <w:spacing w:after="0"/>
              <w:rPr>
                <w:sz w:val="20"/>
                <w:szCs w:val="20"/>
                <w:color w:val="auto"/>
              </w:rPr>
            </w:pPr>
            <w:r>
              <w:rPr>
                <w:rFonts w:ascii="Arial" w:cs="Arial" w:eastAsia="Arial" w:hAnsi="Arial"/>
                <w:sz w:val="18"/>
                <w:szCs w:val="18"/>
                <w:color w:val="auto"/>
              </w:rPr>
              <w:t>= 0.126</w:t>
            </w:r>
          </w:p>
        </w:tc>
        <w:tc>
          <w:tcPr>
            <w:tcW w:w="900" w:type="dxa"/>
            <w:vAlign w:val="bottom"/>
          </w:tcPr>
          <w:p>
            <w:pPr>
              <w:jc w:val="center"/>
              <w:spacing w:after="0"/>
              <w:rPr>
                <w:sz w:val="20"/>
                <w:szCs w:val="20"/>
                <w:color w:val="auto"/>
              </w:rPr>
            </w:pPr>
            <w:r>
              <w:rPr>
                <w:rFonts w:ascii="Arial" w:cs="Arial" w:eastAsia="Arial" w:hAnsi="Arial"/>
                <w:sz w:val="18"/>
                <w:szCs w:val="18"/>
                <w:color w:val="auto"/>
              </w:rPr>
              <w:t>= 0.307</w:t>
            </w:r>
          </w:p>
        </w:tc>
        <w:tc>
          <w:tcPr>
            <w:tcW w:w="880" w:type="dxa"/>
            <w:vAlign w:val="bottom"/>
          </w:tcPr>
          <w:p>
            <w:pPr>
              <w:jc w:val="center"/>
              <w:spacing w:after="0"/>
              <w:rPr>
                <w:sz w:val="20"/>
                <w:szCs w:val="20"/>
                <w:color w:val="auto"/>
              </w:rPr>
            </w:pPr>
            <w:r>
              <w:rPr>
                <w:rFonts w:ascii="Arial" w:cs="Arial" w:eastAsia="Arial" w:hAnsi="Arial"/>
                <w:sz w:val="18"/>
                <w:szCs w:val="18"/>
                <w:color w:val="auto"/>
              </w:rPr>
              <w:t>= 0.257</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0.866</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0.252</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0.999</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0.197</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Activities of daily living**</w:t>
            </w:r>
          </w:p>
        </w:tc>
        <w:tc>
          <w:tcPr>
            <w:tcW w:w="880" w:type="dxa"/>
            <w:vAlign w:val="bottom"/>
          </w:tcPr>
          <w:p>
            <w:pPr>
              <w:jc w:val="center"/>
              <w:spacing w:after="0"/>
              <w:rPr>
                <w:sz w:val="20"/>
                <w:szCs w:val="20"/>
                <w:color w:val="auto"/>
              </w:rPr>
            </w:pPr>
            <w:r>
              <w:rPr>
                <w:rFonts w:ascii="Arial" w:cs="Arial" w:eastAsia="Arial" w:hAnsi="Arial"/>
                <w:sz w:val="18"/>
                <w:szCs w:val="18"/>
                <w:color w:val="auto"/>
              </w:rPr>
              <w:t>= 0.883</w:t>
            </w:r>
          </w:p>
        </w:tc>
        <w:tc>
          <w:tcPr>
            <w:tcW w:w="880" w:type="dxa"/>
            <w:vAlign w:val="bottom"/>
          </w:tcPr>
          <w:p>
            <w:pPr>
              <w:jc w:val="center"/>
              <w:spacing w:after="0"/>
              <w:rPr>
                <w:sz w:val="20"/>
                <w:szCs w:val="20"/>
                <w:color w:val="auto"/>
              </w:rPr>
            </w:pPr>
            <w:r>
              <w:rPr>
                <w:rFonts w:ascii="Arial" w:cs="Arial" w:eastAsia="Arial" w:hAnsi="Arial"/>
                <w:sz w:val="18"/>
                <w:szCs w:val="18"/>
                <w:color w:val="auto"/>
              </w:rPr>
              <w:t>= 0.601</w:t>
            </w:r>
          </w:p>
        </w:tc>
        <w:tc>
          <w:tcPr>
            <w:tcW w:w="900" w:type="dxa"/>
            <w:vAlign w:val="bottom"/>
          </w:tcPr>
          <w:p>
            <w:pPr>
              <w:jc w:val="center"/>
              <w:spacing w:after="0"/>
              <w:rPr>
                <w:sz w:val="20"/>
                <w:szCs w:val="20"/>
                <w:color w:val="auto"/>
              </w:rPr>
            </w:pPr>
            <w:r>
              <w:rPr>
                <w:rFonts w:ascii="Arial" w:cs="Arial" w:eastAsia="Arial" w:hAnsi="Arial"/>
                <w:sz w:val="18"/>
                <w:szCs w:val="18"/>
                <w:color w:val="auto"/>
              </w:rPr>
              <w:t>= 0.101</w:t>
            </w:r>
          </w:p>
        </w:tc>
        <w:tc>
          <w:tcPr>
            <w:tcW w:w="880" w:type="dxa"/>
            <w:vAlign w:val="bottom"/>
          </w:tcPr>
          <w:p>
            <w:pPr>
              <w:jc w:val="center"/>
              <w:spacing w:after="0"/>
              <w:rPr>
                <w:sz w:val="20"/>
                <w:szCs w:val="20"/>
                <w:color w:val="auto"/>
              </w:rPr>
            </w:pPr>
            <w:r>
              <w:rPr>
                <w:rFonts w:ascii="Arial" w:cs="Arial" w:eastAsia="Arial" w:hAnsi="Arial"/>
                <w:sz w:val="18"/>
                <w:szCs w:val="18"/>
                <w:color w:val="auto"/>
              </w:rPr>
              <w:t>= 0.238</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0.071</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0.183</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0.241</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0.458</w:t>
            </w:r>
          </w:p>
        </w:tc>
      </w:tr>
      <w:tr>
        <w:trPr>
          <w:trHeight w:val="269"/>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Emotional well-being**</w:t>
            </w:r>
          </w:p>
        </w:tc>
        <w:tc>
          <w:tcPr>
            <w:tcW w:w="880" w:type="dxa"/>
            <w:vAlign w:val="bottom"/>
          </w:tcPr>
          <w:p>
            <w:pPr>
              <w:jc w:val="center"/>
              <w:spacing w:after="0"/>
              <w:rPr>
                <w:sz w:val="20"/>
                <w:szCs w:val="20"/>
                <w:color w:val="auto"/>
              </w:rPr>
            </w:pPr>
            <w:r>
              <w:rPr>
                <w:rFonts w:ascii="Arial" w:cs="Arial" w:eastAsia="Arial" w:hAnsi="Arial"/>
                <w:sz w:val="18"/>
                <w:szCs w:val="18"/>
                <w:color w:val="auto"/>
              </w:rPr>
              <w:t>= 0.137</w:t>
            </w:r>
          </w:p>
        </w:tc>
        <w:tc>
          <w:tcPr>
            <w:tcW w:w="880" w:type="dxa"/>
            <w:vAlign w:val="bottom"/>
          </w:tcPr>
          <w:p>
            <w:pPr>
              <w:jc w:val="center"/>
              <w:spacing w:after="0"/>
              <w:rPr>
                <w:sz w:val="20"/>
                <w:szCs w:val="20"/>
                <w:color w:val="auto"/>
              </w:rPr>
            </w:pPr>
            <w:r>
              <w:rPr>
                <w:rFonts w:ascii="Arial" w:cs="Arial" w:eastAsia="Arial" w:hAnsi="Arial"/>
                <w:sz w:val="18"/>
                <w:szCs w:val="18"/>
                <w:color w:val="auto"/>
              </w:rPr>
              <w:t>= 0.198</w:t>
            </w:r>
          </w:p>
        </w:tc>
        <w:tc>
          <w:tcPr>
            <w:tcW w:w="900" w:type="dxa"/>
            <w:vAlign w:val="bottom"/>
          </w:tcPr>
          <w:p>
            <w:pPr>
              <w:jc w:val="center"/>
              <w:spacing w:after="0"/>
              <w:rPr>
                <w:sz w:val="20"/>
                <w:szCs w:val="20"/>
                <w:color w:val="auto"/>
              </w:rPr>
            </w:pPr>
            <w:r>
              <w:rPr>
                <w:rFonts w:ascii="Arial" w:cs="Arial" w:eastAsia="Arial" w:hAnsi="Arial"/>
                <w:sz w:val="18"/>
                <w:szCs w:val="18"/>
                <w:color w:val="auto"/>
              </w:rPr>
              <w:t>= 0.519</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w w:val="98"/>
              </w:rPr>
              <w:t>&lt; 0.01</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0.447</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0.259</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0.415</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0.092</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Stigma**</w:t>
            </w:r>
          </w:p>
        </w:tc>
        <w:tc>
          <w:tcPr>
            <w:tcW w:w="880" w:type="dxa"/>
            <w:vAlign w:val="bottom"/>
          </w:tcPr>
          <w:p>
            <w:pPr>
              <w:jc w:val="center"/>
              <w:spacing w:after="0"/>
              <w:rPr>
                <w:sz w:val="20"/>
                <w:szCs w:val="20"/>
                <w:color w:val="auto"/>
              </w:rPr>
            </w:pPr>
            <w:r>
              <w:rPr>
                <w:rFonts w:ascii="Arial" w:cs="Arial" w:eastAsia="Arial" w:hAnsi="Arial"/>
                <w:sz w:val="18"/>
                <w:szCs w:val="18"/>
                <w:color w:val="auto"/>
              </w:rPr>
              <w:t>= 0.186</w:t>
            </w:r>
          </w:p>
        </w:tc>
        <w:tc>
          <w:tcPr>
            <w:tcW w:w="880" w:type="dxa"/>
            <w:vAlign w:val="bottom"/>
          </w:tcPr>
          <w:p>
            <w:pPr>
              <w:jc w:val="center"/>
              <w:spacing w:after="0"/>
              <w:rPr>
                <w:sz w:val="20"/>
                <w:szCs w:val="20"/>
                <w:color w:val="auto"/>
              </w:rPr>
            </w:pPr>
            <w:r>
              <w:rPr>
                <w:rFonts w:ascii="Arial" w:cs="Arial" w:eastAsia="Arial" w:hAnsi="Arial"/>
                <w:sz w:val="18"/>
                <w:szCs w:val="18"/>
                <w:color w:val="auto"/>
              </w:rPr>
              <w:t>= 0.528</w:t>
            </w:r>
          </w:p>
        </w:tc>
        <w:tc>
          <w:tcPr>
            <w:tcW w:w="900" w:type="dxa"/>
            <w:vAlign w:val="bottom"/>
          </w:tcPr>
          <w:p>
            <w:pPr>
              <w:jc w:val="center"/>
              <w:spacing w:after="0"/>
              <w:rPr>
                <w:sz w:val="20"/>
                <w:szCs w:val="20"/>
                <w:color w:val="auto"/>
              </w:rPr>
            </w:pPr>
            <w:r>
              <w:rPr>
                <w:rFonts w:ascii="Arial" w:cs="Arial" w:eastAsia="Arial" w:hAnsi="Arial"/>
                <w:sz w:val="18"/>
                <w:szCs w:val="18"/>
                <w:color w:val="auto"/>
              </w:rPr>
              <w:t>= 0.457</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w w:val="98"/>
              </w:rPr>
              <w:t>&lt; 0.05</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0.767</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0.321</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0.344</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0.550</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Social support**</w:t>
            </w:r>
          </w:p>
        </w:tc>
        <w:tc>
          <w:tcPr>
            <w:tcW w:w="880" w:type="dxa"/>
            <w:vAlign w:val="bottom"/>
          </w:tcPr>
          <w:p>
            <w:pPr>
              <w:jc w:val="center"/>
              <w:spacing w:after="0"/>
              <w:rPr>
                <w:sz w:val="20"/>
                <w:szCs w:val="20"/>
                <w:color w:val="auto"/>
              </w:rPr>
            </w:pPr>
            <w:r>
              <w:rPr>
                <w:rFonts w:ascii="Arial" w:cs="Arial" w:eastAsia="Arial" w:hAnsi="Arial"/>
                <w:sz w:val="18"/>
                <w:szCs w:val="18"/>
                <w:color w:val="auto"/>
              </w:rPr>
              <w:t>= 0.245</w:t>
            </w:r>
          </w:p>
        </w:tc>
        <w:tc>
          <w:tcPr>
            <w:tcW w:w="880" w:type="dxa"/>
            <w:vAlign w:val="bottom"/>
          </w:tcPr>
          <w:p>
            <w:pPr>
              <w:jc w:val="center"/>
              <w:spacing w:after="0"/>
              <w:rPr>
                <w:sz w:val="20"/>
                <w:szCs w:val="20"/>
                <w:color w:val="auto"/>
              </w:rPr>
            </w:pPr>
            <w:r>
              <w:rPr>
                <w:rFonts w:ascii="Arial" w:cs="Arial" w:eastAsia="Arial" w:hAnsi="Arial"/>
                <w:sz w:val="18"/>
                <w:szCs w:val="18"/>
                <w:color w:val="auto"/>
              </w:rPr>
              <w:t>= 0.158</w:t>
            </w:r>
          </w:p>
        </w:tc>
        <w:tc>
          <w:tcPr>
            <w:tcW w:w="900" w:type="dxa"/>
            <w:vAlign w:val="bottom"/>
          </w:tcPr>
          <w:p>
            <w:pPr>
              <w:jc w:val="center"/>
              <w:spacing w:after="0"/>
              <w:rPr>
                <w:sz w:val="20"/>
                <w:szCs w:val="20"/>
                <w:color w:val="auto"/>
              </w:rPr>
            </w:pPr>
            <w:r>
              <w:rPr>
                <w:rFonts w:ascii="Arial" w:cs="Arial" w:eastAsia="Arial" w:hAnsi="Arial"/>
                <w:sz w:val="18"/>
                <w:szCs w:val="18"/>
                <w:color w:val="auto"/>
              </w:rPr>
              <w:t>= 0.191</w:t>
            </w:r>
          </w:p>
        </w:tc>
        <w:tc>
          <w:tcPr>
            <w:tcW w:w="880" w:type="dxa"/>
            <w:vAlign w:val="bottom"/>
          </w:tcPr>
          <w:p>
            <w:pPr>
              <w:jc w:val="center"/>
              <w:spacing w:after="0"/>
              <w:rPr>
                <w:sz w:val="20"/>
                <w:szCs w:val="20"/>
                <w:color w:val="auto"/>
              </w:rPr>
            </w:pPr>
            <w:r>
              <w:rPr>
                <w:rFonts w:ascii="Arial" w:cs="Arial" w:eastAsia="Arial" w:hAnsi="Arial"/>
                <w:sz w:val="18"/>
                <w:szCs w:val="18"/>
                <w:color w:val="auto"/>
              </w:rPr>
              <w:t>= 0.272</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w w:val="98"/>
              </w:rPr>
              <w:t>&lt; 0.05</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0.717</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rPr>
              <w:t>&lt; 0.05</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0.108</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Cognition**</w:t>
            </w:r>
          </w:p>
        </w:tc>
        <w:tc>
          <w:tcPr>
            <w:tcW w:w="880" w:type="dxa"/>
            <w:vAlign w:val="bottom"/>
          </w:tcPr>
          <w:p>
            <w:pPr>
              <w:jc w:val="center"/>
              <w:spacing w:after="0"/>
              <w:rPr>
                <w:sz w:val="20"/>
                <w:szCs w:val="20"/>
                <w:color w:val="auto"/>
              </w:rPr>
            </w:pPr>
            <w:r>
              <w:rPr>
                <w:rFonts w:ascii="Arial" w:cs="Arial" w:eastAsia="Arial" w:hAnsi="Arial"/>
                <w:sz w:val="18"/>
                <w:szCs w:val="18"/>
                <w:color w:val="auto"/>
              </w:rPr>
              <w:t>= 0.627</w:t>
            </w:r>
          </w:p>
        </w:tc>
        <w:tc>
          <w:tcPr>
            <w:tcW w:w="880" w:type="dxa"/>
            <w:vAlign w:val="bottom"/>
          </w:tcPr>
          <w:p>
            <w:pPr>
              <w:jc w:val="center"/>
              <w:spacing w:after="0"/>
              <w:rPr>
                <w:sz w:val="20"/>
                <w:szCs w:val="20"/>
                <w:color w:val="auto"/>
              </w:rPr>
            </w:pPr>
            <w:r>
              <w:rPr>
                <w:rFonts w:ascii="Arial" w:cs="Arial" w:eastAsia="Arial" w:hAnsi="Arial"/>
                <w:sz w:val="18"/>
                <w:szCs w:val="18"/>
                <w:color w:val="auto"/>
              </w:rPr>
              <w:t>= 0.073</w:t>
            </w:r>
          </w:p>
        </w:tc>
        <w:tc>
          <w:tcPr>
            <w:tcW w:w="900" w:type="dxa"/>
            <w:vAlign w:val="bottom"/>
          </w:tcPr>
          <w:p>
            <w:pPr>
              <w:jc w:val="center"/>
              <w:spacing w:after="0"/>
              <w:rPr>
                <w:sz w:val="20"/>
                <w:szCs w:val="20"/>
                <w:color w:val="auto"/>
              </w:rPr>
            </w:pPr>
            <w:r>
              <w:rPr>
                <w:rFonts w:ascii="Arial" w:cs="Arial" w:eastAsia="Arial" w:hAnsi="Arial"/>
                <w:sz w:val="18"/>
                <w:szCs w:val="18"/>
                <w:color w:val="auto"/>
              </w:rPr>
              <w:t>= 0.516</w:t>
            </w:r>
          </w:p>
        </w:tc>
        <w:tc>
          <w:tcPr>
            <w:tcW w:w="880" w:type="dxa"/>
            <w:vAlign w:val="bottom"/>
          </w:tcPr>
          <w:p>
            <w:pPr>
              <w:jc w:val="center"/>
              <w:spacing w:after="0"/>
              <w:rPr>
                <w:sz w:val="20"/>
                <w:szCs w:val="20"/>
                <w:color w:val="auto"/>
              </w:rPr>
            </w:pPr>
            <w:r>
              <w:rPr>
                <w:rFonts w:ascii="Arial" w:cs="Arial" w:eastAsia="Arial" w:hAnsi="Arial"/>
                <w:sz w:val="18"/>
                <w:szCs w:val="18"/>
                <w:color w:val="auto"/>
              </w:rPr>
              <w:t>= 0.113</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0.106</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0.555</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0.072</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&lt; 0.05</w:t>
            </w:r>
          </w:p>
        </w:tc>
      </w:tr>
      <w:tr>
        <w:trPr>
          <w:trHeight w:val="269"/>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Communication**</w:t>
            </w:r>
          </w:p>
        </w:tc>
        <w:tc>
          <w:tcPr>
            <w:tcW w:w="880" w:type="dxa"/>
            <w:vAlign w:val="bottom"/>
          </w:tcPr>
          <w:p>
            <w:pPr>
              <w:jc w:val="center"/>
              <w:spacing w:after="0"/>
              <w:rPr>
                <w:sz w:val="20"/>
                <w:szCs w:val="20"/>
                <w:color w:val="auto"/>
              </w:rPr>
            </w:pPr>
            <w:r>
              <w:rPr>
                <w:rFonts w:ascii="Arial" w:cs="Arial" w:eastAsia="Arial" w:hAnsi="Arial"/>
                <w:sz w:val="18"/>
                <w:szCs w:val="18"/>
                <w:color w:val="auto"/>
              </w:rPr>
              <w:t>= 0.295</w:t>
            </w:r>
          </w:p>
        </w:tc>
        <w:tc>
          <w:tcPr>
            <w:tcW w:w="880" w:type="dxa"/>
            <w:vAlign w:val="bottom"/>
          </w:tcPr>
          <w:p>
            <w:pPr>
              <w:jc w:val="center"/>
              <w:spacing w:after="0"/>
              <w:rPr>
                <w:sz w:val="20"/>
                <w:szCs w:val="20"/>
                <w:color w:val="auto"/>
              </w:rPr>
            </w:pPr>
            <w:r>
              <w:rPr>
                <w:rFonts w:ascii="Arial" w:cs="Arial" w:eastAsia="Arial" w:hAnsi="Arial"/>
                <w:sz w:val="18"/>
                <w:szCs w:val="18"/>
                <w:color w:val="auto"/>
              </w:rPr>
              <w:t>= 0.198</w:t>
            </w:r>
          </w:p>
        </w:tc>
        <w:tc>
          <w:tcPr>
            <w:tcW w:w="900" w:type="dxa"/>
            <w:vAlign w:val="bottom"/>
          </w:tcPr>
          <w:p>
            <w:pPr>
              <w:jc w:val="center"/>
              <w:spacing w:after="0"/>
              <w:rPr>
                <w:sz w:val="20"/>
                <w:szCs w:val="20"/>
                <w:color w:val="auto"/>
              </w:rPr>
            </w:pPr>
            <w:r>
              <w:rPr>
                <w:rFonts w:ascii="Arial" w:cs="Arial" w:eastAsia="Arial" w:hAnsi="Arial"/>
                <w:sz w:val="18"/>
                <w:szCs w:val="18"/>
                <w:color w:val="auto"/>
              </w:rPr>
              <w:t>= 0.138</w:t>
            </w:r>
          </w:p>
        </w:tc>
        <w:tc>
          <w:tcPr>
            <w:tcW w:w="880" w:type="dxa"/>
            <w:vAlign w:val="bottom"/>
          </w:tcPr>
          <w:p>
            <w:pPr>
              <w:jc w:val="center"/>
              <w:spacing w:after="0"/>
              <w:rPr>
                <w:sz w:val="20"/>
                <w:szCs w:val="20"/>
                <w:color w:val="auto"/>
              </w:rPr>
            </w:pPr>
            <w:r>
              <w:rPr>
                <w:rFonts w:ascii="Arial" w:cs="Arial" w:eastAsia="Arial" w:hAnsi="Arial"/>
                <w:sz w:val="18"/>
                <w:szCs w:val="18"/>
                <w:color w:val="auto"/>
              </w:rPr>
              <w:t>= 0.532</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0.053</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0.140</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0.156</w:t>
            </w:r>
          </w:p>
        </w:tc>
        <w:tc>
          <w:tcPr>
            <w:tcW w:w="860" w:type="dxa"/>
            <w:vAlign w:val="bottom"/>
          </w:tcPr>
          <w:p>
            <w:pPr>
              <w:jc w:val="center"/>
              <w:spacing w:after="0"/>
              <w:rPr>
                <w:sz w:val="20"/>
                <w:szCs w:val="20"/>
                <w:color w:val="auto"/>
              </w:rPr>
            </w:pPr>
            <w:r>
              <w:rPr>
                <w:rFonts w:ascii="Arial" w:cs="Arial" w:eastAsia="Arial" w:hAnsi="Arial"/>
                <w:sz w:val="18"/>
                <w:szCs w:val="18"/>
                <w:b w:val="1"/>
                <w:bCs w:val="1"/>
                <w:color w:val="auto"/>
              </w:rPr>
              <w:t>&lt; 0.05</w:t>
            </w:r>
          </w:p>
        </w:tc>
      </w:tr>
      <w:tr>
        <w:trPr>
          <w:trHeight w:val="266"/>
        </w:trPr>
        <w:tc>
          <w:tcPr>
            <w:tcW w:w="20" w:type="dxa"/>
            <w:vAlign w:val="bottom"/>
          </w:tcPr>
          <w:p>
            <w:pPr>
              <w:spacing w:after="0"/>
              <w:rPr>
                <w:sz w:val="23"/>
                <w:szCs w:val="23"/>
                <w:color w:val="auto"/>
              </w:rPr>
            </w:pPr>
          </w:p>
        </w:tc>
        <w:tc>
          <w:tcPr>
            <w:tcW w:w="2300" w:type="dxa"/>
            <w:vAlign w:val="bottom"/>
          </w:tcPr>
          <w:p>
            <w:pPr>
              <w:ind w:left="100"/>
              <w:spacing w:after="0"/>
              <w:rPr>
                <w:sz w:val="20"/>
                <w:szCs w:val="20"/>
                <w:color w:val="auto"/>
              </w:rPr>
            </w:pPr>
            <w:r>
              <w:rPr>
                <w:rFonts w:ascii="Arial" w:cs="Arial" w:eastAsia="Arial" w:hAnsi="Arial"/>
                <w:sz w:val="18"/>
                <w:szCs w:val="18"/>
                <w:color w:val="auto"/>
              </w:rPr>
              <w:t>Bodily discomfort**</w:t>
            </w:r>
          </w:p>
        </w:tc>
        <w:tc>
          <w:tcPr>
            <w:tcW w:w="880" w:type="dxa"/>
            <w:vAlign w:val="bottom"/>
          </w:tcPr>
          <w:p>
            <w:pPr>
              <w:jc w:val="center"/>
              <w:spacing w:after="0"/>
              <w:rPr>
                <w:sz w:val="20"/>
                <w:szCs w:val="20"/>
                <w:color w:val="auto"/>
              </w:rPr>
            </w:pPr>
            <w:r>
              <w:rPr>
                <w:rFonts w:ascii="Arial" w:cs="Arial" w:eastAsia="Arial" w:hAnsi="Arial"/>
                <w:sz w:val="18"/>
                <w:szCs w:val="18"/>
                <w:color w:val="auto"/>
              </w:rPr>
              <w:t>= 0.099</w:t>
            </w:r>
          </w:p>
        </w:tc>
        <w:tc>
          <w:tcPr>
            <w:tcW w:w="880" w:type="dxa"/>
            <w:vAlign w:val="bottom"/>
          </w:tcPr>
          <w:p>
            <w:pPr>
              <w:jc w:val="center"/>
              <w:spacing w:after="0"/>
              <w:rPr>
                <w:sz w:val="20"/>
                <w:szCs w:val="20"/>
                <w:color w:val="auto"/>
              </w:rPr>
            </w:pPr>
            <w:r>
              <w:rPr>
                <w:rFonts w:ascii="Arial" w:cs="Arial" w:eastAsia="Arial" w:hAnsi="Arial"/>
                <w:sz w:val="18"/>
                <w:szCs w:val="18"/>
                <w:color w:val="auto"/>
              </w:rPr>
              <w:t>= 0.092</w:t>
            </w:r>
          </w:p>
        </w:tc>
        <w:tc>
          <w:tcPr>
            <w:tcW w:w="900" w:type="dxa"/>
            <w:vAlign w:val="bottom"/>
          </w:tcPr>
          <w:p>
            <w:pPr>
              <w:jc w:val="center"/>
              <w:spacing w:after="0"/>
              <w:rPr>
                <w:sz w:val="20"/>
                <w:szCs w:val="20"/>
                <w:color w:val="auto"/>
              </w:rPr>
            </w:pPr>
            <w:r>
              <w:rPr>
                <w:rFonts w:ascii="Arial" w:cs="Arial" w:eastAsia="Arial" w:hAnsi="Arial"/>
                <w:sz w:val="18"/>
                <w:szCs w:val="18"/>
                <w:color w:val="auto"/>
              </w:rPr>
              <w:t>= 0.344</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w w:val="98"/>
              </w:rPr>
              <w:t>&lt; 0.01</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0.241</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0.272</w:t>
            </w:r>
          </w:p>
        </w:tc>
        <w:tc>
          <w:tcPr>
            <w:tcW w:w="900" w:type="dxa"/>
            <w:vAlign w:val="bottom"/>
          </w:tcPr>
          <w:p>
            <w:pPr>
              <w:jc w:val="center"/>
              <w:spacing w:after="0"/>
              <w:rPr>
                <w:sz w:val="20"/>
                <w:szCs w:val="20"/>
                <w:color w:val="auto"/>
              </w:rPr>
            </w:pPr>
            <w:r>
              <w:rPr>
                <w:rFonts w:ascii="Arial" w:cs="Arial" w:eastAsia="Arial" w:hAnsi="Arial"/>
                <w:sz w:val="18"/>
                <w:szCs w:val="18"/>
                <w:color w:val="auto"/>
                <w:w w:val="99"/>
              </w:rPr>
              <w:t>= 0.062</w:t>
            </w:r>
          </w:p>
        </w:tc>
        <w:tc>
          <w:tcPr>
            <w:tcW w:w="860" w:type="dxa"/>
            <w:vAlign w:val="bottom"/>
          </w:tcPr>
          <w:p>
            <w:pPr>
              <w:jc w:val="center"/>
              <w:spacing w:after="0"/>
              <w:rPr>
                <w:sz w:val="20"/>
                <w:szCs w:val="20"/>
                <w:color w:val="auto"/>
              </w:rPr>
            </w:pPr>
            <w:r>
              <w:rPr>
                <w:rFonts w:ascii="Arial" w:cs="Arial" w:eastAsia="Arial" w:hAnsi="Arial"/>
                <w:sz w:val="18"/>
                <w:szCs w:val="18"/>
                <w:color w:val="auto"/>
                <w:w w:val="99"/>
              </w:rPr>
              <w:t>= 0.191</w:t>
            </w:r>
          </w:p>
        </w:tc>
      </w:tr>
      <w:tr>
        <w:trPr>
          <w:trHeight w:val="62"/>
        </w:trPr>
        <w:tc>
          <w:tcPr>
            <w:tcW w:w="20" w:type="dxa"/>
            <w:vAlign w:val="bottom"/>
            <w:tcBorders>
              <w:bottom w:val="single" w:sz="8" w:color="auto"/>
            </w:tcBorders>
          </w:tcPr>
          <w:p>
            <w:pPr>
              <w:spacing w:after="0"/>
              <w:rPr>
                <w:sz w:val="5"/>
                <w:szCs w:val="5"/>
                <w:color w:val="auto"/>
              </w:rPr>
            </w:pPr>
          </w:p>
        </w:tc>
        <w:tc>
          <w:tcPr>
            <w:tcW w:w="23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r>
    </w:tbl>
    <w:p>
      <w:pPr>
        <w:spacing w:after="0" w:line="127" w:lineRule="exact"/>
        <w:rPr>
          <w:sz w:val="20"/>
          <w:szCs w:val="20"/>
          <w:color w:val="auto"/>
        </w:rPr>
      </w:pPr>
    </w:p>
    <w:p>
      <w:pPr>
        <w:jc w:val="both"/>
        <w:ind w:left="440" w:right="60" w:hanging="360"/>
        <w:spacing w:after="0" w:line="236" w:lineRule="auto"/>
        <w:tabs>
          <w:tab w:leader="none" w:pos="440" w:val="left"/>
        </w:tabs>
        <w:numPr>
          <w:ilvl w:val="0"/>
          <w:numId w:val="4"/>
        </w:numPr>
        <w:rPr>
          <w:rFonts w:ascii="Arial" w:cs="Arial" w:eastAsia="Arial" w:hAnsi="Arial"/>
          <w:sz w:val="18"/>
          <w:szCs w:val="18"/>
          <w:color w:val="auto"/>
        </w:rPr>
      </w:pPr>
      <w:r>
        <w:rPr>
          <w:rFonts w:ascii="Arial" w:cs="Arial" w:eastAsia="Arial" w:hAnsi="Arial"/>
          <w:sz w:val="18"/>
          <w:szCs w:val="18"/>
          <w:color w:val="auto"/>
        </w:rPr>
        <w:t xml:space="preserve">The Shapiro-Wilk test tests the null hypothesis that a given sample came from a normally distributed population. Thus, </w:t>
      </w:r>
      <w:r>
        <w:rPr>
          <w:rFonts w:ascii="Arial" w:cs="Arial" w:eastAsia="Arial" w:hAnsi="Arial"/>
          <w:sz w:val="18"/>
          <w:szCs w:val="18"/>
          <w:i w:val="1"/>
          <w:iCs w:val="1"/>
          <w:color w:val="auto"/>
        </w:rPr>
        <w:t>p</w:t>
      </w:r>
      <w:r>
        <w:rPr>
          <w:rFonts w:ascii="Arial" w:cs="Arial" w:eastAsia="Arial" w:hAnsi="Arial"/>
          <w:sz w:val="18"/>
          <w:szCs w:val="18"/>
          <w:color w:val="auto"/>
        </w:rPr>
        <w:t xml:space="preserve"> values less than 0.05 indicate that the data are not from a normally distributed population and are indicated in bold.</w:t>
      </w:r>
    </w:p>
    <w:p>
      <w:pPr>
        <w:spacing w:after="0" w:line="121" w:lineRule="exact"/>
        <w:rPr>
          <w:rFonts w:ascii="Arial" w:cs="Arial" w:eastAsia="Arial" w:hAnsi="Arial"/>
          <w:sz w:val="18"/>
          <w:szCs w:val="18"/>
          <w:color w:val="auto"/>
        </w:rPr>
      </w:pPr>
    </w:p>
    <w:p>
      <w:pPr>
        <w:ind w:left="440" w:hanging="360"/>
        <w:spacing w:after="0"/>
        <w:tabs>
          <w:tab w:leader="none" w:pos="440" w:val="left"/>
        </w:tabs>
        <w:numPr>
          <w:ilvl w:val="0"/>
          <w:numId w:val="5"/>
        </w:numPr>
        <w:rPr>
          <w:rFonts w:ascii="Arial" w:cs="Arial" w:eastAsia="Arial" w:hAnsi="Arial"/>
          <w:sz w:val="18"/>
          <w:szCs w:val="18"/>
          <w:color w:val="auto"/>
        </w:rPr>
      </w:pPr>
      <w:r>
        <w:rPr>
          <w:rFonts w:ascii="Arial" w:cs="Arial" w:eastAsia="Arial" w:hAnsi="Arial"/>
          <w:sz w:val="18"/>
          <w:szCs w:val="18"/>
          <w:color w:val="auto"/>
        </w:rPr>
        <w:t>PDQ39 subscales.</w:t>
      </w:r>
    </w:p>
    <w:p>
      <w:pPr>
        <w:spacing w:after="0" w:line="200" w:lineRule="exact"/>
        <w:rPr>
          <w:sz w:val="20"/>
          <w:szCs w:val="20"/>
          <w:color w:val="auto"/>
        </w:rPr>
      </w:pPr>
    </w:p>
    <w:p>
      <w:pPr>
        <w:spacing w:after="0" w:line="286" w:lineRule="exact"/>
        <w:rPr>
          <w:sz w:val="20"/>
          <w:szCs w:val="20"/>
          <w:color w:val="auto"/>
        </w:rPr>
      </w:pPr>
    </w:p>
    <w:p>
      <w:pPr>
        <w:jc w:val="both"/>
        <w:ind w:left="80" w:right="60" w:firstLine="360"/>
        <w:spacing w:after="0" w:line="236" w:lineRule="auto"/>
        <w:rPr>
          <w:sz w:val="20"/>
          <w:szCs w:val="20"/>
          <w:color w:val="auto"/>
        </w:rPr>
      </w:pPr>
      <w:r>
        <w:rPr>
          <w:rFonts w:ascii="Times New Roman" w:cs="Times New Roman" w:eastAsia="Times New Roman" w:hAnsi="Times New Roman"/>
          <w:sz w:val="22"/>
          <w:szCs w:val="22"/>
          <w:color w:val="auto"/>
        </w:rPr>
        <w:t>The effect of theatrical training is illustrated in Tables 5 and 6, Figs. 1 and 2. To assess differences for the score of each clinical scale, we employed a doubly multivariate repeated-measures design with time (T0, T1, T2, T3) and group (control, theater) as factors. Results are summarized in Table 6.</w:t>
      </w:r>
    </w:p>
    <w:p>
      <w:pPr>
        <w:spacing w:after="0" w:line="12" w:lineRule="exact"/>
        <w:rPr>
          <w:sz w:val="20"/>
          <w:szCs w:val="20"/>
          <w:color w:val="auto"/>
        </w:rPr>
      </w:pPr>
    </w:p>
    <w:p>
      <w:pPr>
        <w:jc w:val="both"/>
        <w:ind w:left="80" w:right="60" w:firstLine="360"/>
        <w:spacing w:after="0" w:line="235" w:lineRule="auto"/>
        <w:rPr>
          <w:rFonts w:ascii="Times New Roman" w:cs="Times New Roman" w:eastAsia="Times New Roman" w:hAnsi="Times New Roman"/>
          <w:sz w:val="22"/>
          <w:szCs w:val="22"/>
          <w:color w:val="auto"/>
        </w:rPr>
      </w:pPr>
      <w:hyperlink r:id="rId15">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u w:val="single" w:color="auto"/>
            <w:color w:val="0000FF"/>
          </w:rPr>
          <w:t>MOVIE S3</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This movie shows a PD patient performing a singing exercise at time T0 [at the beginning of theatrical workshop] and at time T1 [after 1 year of theater training]. Clearly, at T0, the</w:t>
      </w: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9000"/>
        <w:spacing w:after="0"/>
        <w:rPr>
          <w:sz w:val="20"/>
          <w:szCs w:val="20"/>
          <w:color w:val="auto"/>
        </w:rPr>
      </w:pPr>
      <w:r>
        <w:rPr>
          <w:rFonts w:ascii="Arial" w:cs="Arial" w:eastAsia="Arial" w:hAnsi="Arial"/>
          <w:sz w:val="20"/>
          <w:szCs w:val="20"/>
          <w:b w:val="1"/>
          <w:bCs w:val="1"/>
          <w:color w:val="auto"/>
        </w:rPr>
        <w:t>2307</w:t>
      </w:r>
    </w:p>
    <w:p>
      <w:pPr>
        <w:sectPr>
          <w:pgSz w:w="12240" w:h="15840" w:orient="portrait"/>
          <w:cols w:equalWidth="0" w:num="1">
            <w:col w:w="9500"/>
          </w:cols>
          <w:pgMar w:left="1360" w:top="426" w:right="1380" w:bottom="195" w:gutter="0" w:footer="0" w:header="0"/>
        </w:sectPr>
      </w:pPr>
    </w:p>
    <w:bookmarkStart w:id="7" w:name="page8"/>
    <w:bookmarkEnd w:id="7"/>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2"/>
          <w:szCs w:val="22"/>
          <w:color w:val="auto"/>
        </w:rPr>
        <w:t>patient is impaired, while at T1, he is able to perform the exercise without effort. In both instances, the patient was in “ON” therapy.)</w:t>
      </w:r>
    </w:p>
    <w:p>
      <w:pPr>
        <w:spacing w:after="0" w:line="13" w:lineRule="exact"/>
        <w:rPr>
          <w:sz w:val="20"/>
          <w:szCs w:val="20"/>
          <w:color w:val="auto"/>
        </w:rPr>
      </w:pPr>
    </w:p>
    <w:p>
      <w:pPr>
        <w:jc w:val="both"/>
        <w:ind w:firstLine="360"/>
        <w:spacing w:after="0" w:line="238" w:lineRule="auto"/>
        <w:rPr>
          <w:rFonts w:ascii="Times New Roman" w:cs="Times New Roman" w:eastAsia="Times New Roman" w:hAnsi="Times New Roman"/>
          <w:sz w:val="22"/>
          <w:szCs w:val="22"/>
          <w:color w:val="auto"/>
        </w:rPr>
      </w:pPr>
      <w:hyperlink r:id="rId16">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u w:val="single" w:color="auto"/>
            <w:color w:val="0000FF"/>
          </w:rPr>
          <w:t>MOVIE S4</w:t>
        </w:r>
        <w:r>
          <w:rPr>
            <w:rFonts w:ascii="Times New Roman" w:cs="Times New Roman" w:eastAsia="Times New Roman" w:hAnsi="Times New Roman"/>
            <w:sz w:val="22"/>
            <w:szCs w:val="22"/>
            <w:color w:val="auto"/>
          </w:rPr>
          <w:t xml:space="preserve">: </w:t>
        </w:r>
      </w:hyperlink>
      <w:r>
        <w:rPr>
          <w:rFonts w:ascii="Times New Roman" w:cs="Times New Roman" w:eastAsia="Times New Roman" w:hAnsi="Times New Roman"/>
          <w:sz w:val="22"/>
          <w:szCs w:val="22"/>
          <w:color w:val="auto"/>
        </w:rPr>
        <w:t>This movie shows two sketches played by a PD patient at T1 [after 1 year of theatrical training] and at T3 [after 3 years of theatrical training]. In the first sketch, the patient [who is in front of the camera, wearing a black T-shirt] is acting the part of a man who is altercating with two other people [another PD patient and an actress]. In the second sketch, the same patient [wearing a black shirt] performs some karate moves, leading the group choreography. It is worth noticing: [1] the much greater mobility and body control; [2] the increased expressivity; [3] the remarkable weight loss of the patient in the second sketch with respect to the first one. In both instances, the patient was in “ON” therapy.)</w:t>
      </w:r>
    </w:p>
    <w:p>
      <w:pPr>
        <w:spacing w:after="0" w:line="200" w:lineRule="exact"/>
        <w:rPr>
          <w:sz w:val="20"/>
          <w:szCs w:val="20"/>
          <w:color w:val="auto"/>
        </w:rPr>
      </w:pPr>
    </w:p>
    <w:p>
      <w:pPr>
        <w:spacing w:after="0" w:line="284"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TABLE 5</w:t>
      </w:r>
    </w:p>
    <w:p>
      <w:pPr>
        <w:spacing w:after="0" w:line="8" w:lineRule="exact"/>
        <w:rPr>
          <w:sz w:val="20"/>
          <w:szCs w:val="20"/>
          <w:color w:val="auto"/>
        </w:rPr>
      </w:pPr>
    </w:p>
    <w:p>
      <w:pPr>
        <w:jc w:val="center"/>
        <w:spacing w:after="0" w:line="254" w:lineRule="auto"/>
        <w:rPr>
          <w:sz w:val="20"/>
          <w:szCs w:val="20"/>
          <w:color w:val="auto"/>
        </w:rPr>
      </w:pPr>
      <w:r>
        <w:rPr>
          <w:rFonts w:ascii="Arial" w:cs="Arial" w:eastAsia="Arial" w:hAnsi="Arial"/>
          <w:sz w:val="19"/>
          <w:szCs w:val="19"/>
          <w:b w:val="1"/>
          <w:bCs w:val="1"/>
          <w:color w:val="auto"/>
        </w:rPr>
        <w:t>Mean Scores and Standard Error Mean Obtained by the Two Groups of PD Patients (Control Group and Theater Group) in the Five Clinical Scales (and Subscales) at the Four Time Points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114300</wp:posOffset>
                </wp:positionH>
                <wp:positionV relativeFrom="paragraph">
                  <wp:posOffset>151130</wp:posOffset>
                </wp:positionV>
                <wp:extent cx="571563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5635"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pt,11.9pt" to="459.05pt,11.9pt" o:allowincell="f" strokecolor="#000000" strokeweight="0.2399pt"/>
            </w:pict>
          </mc:Fallback>
        </mc:AlternateContent>
      </w:r>
    </w:p>
    <w:p>
      <w:pPr>
        <w:spacing w:after="0" w:line="333" w:lineRule="exact"/>
        <w:rPr>
          <w:sz w:val="20"/>
          <w:szCs w:val="20"/>
          <w:color w:val="auto"/>
        </w:rPr>
      </w:pPr>
    </w:p>
    <w:tbl>
      <w:tblPr>
        <w:tblLayout w:type="fixed"/>
        <w:tblInd w:w="160" w:type="dxa"/>
        <w:tblCellMar>
          <w:top w:w="0" w:type="dxa"/>
          <w:left w:w="0" w:type="dxa"/>
          <w:bottom w:w="0" w:type="dxa"/>
          <w:right w:w="0" w:type="dxa"/>
        </w:tblCellMar>
      </w:tblPr>
      <w:tr>
        <w:trPr>
          <w:trHeight w:val="207"/>
        </w:trPr>
        <w:tc>
          <w:tcPr>
            <w:tcW w:w="20" w:type="dxa"/>
            <w:vAlign w:val="bottom"/>
          </w:tcPr>
          <w:p>
            <w:pPr>
              <w:spacing w:after="0"/>
              <w:rPr>
                <w:sz w:val="17"/>
                <w:szCs w:val="17"/>
                <w:color w:val="auto"/>
              </w:rPr>
            </w:pPr>
          </w:p>
        </w:tc>
        <w:tc>
          <w:tcPr>
            <w:tcW w:w="186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1780" w:type="dxa"/>
            <w:vAlign w:val="bottom"/>
            <w:gridSpan w:val="2"/>
          </w:tcPr>
          <w:p>
            <w:pPr>
              <w:ind w:left="560"/>
              <w:spacing w:after="0"/>
              <w:rPr>
                <w:sz w:val="20"/>
                <w:szCs w:val="20"/>
                <w:color w:val="auto"/>
              </w:rPr>
            </w:pPr>
            <w:r>
              <w:rPr>
                <w:rFonts w:ascii="Arial" w:cs="Arial" w:eastAsia="Arial" w:hAnsi="Arial"/>
                <w:sz w:val="18"/>
                <w:szCs w:val="18"/>
                <w:b w:val="1"/>
                <w:bCs w:val="1"/>
                <w:color w:val="auto"/>
              </w:rPr>
              <w:t>Control</w:t>
            </w:r>
          </w:p>
        </w:tc>
        <w:tc>
          <w:tcPr>
            <w:tcW w:w="90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780" w:type="dxa"/>
            <w:vAlign w:val="bottom"/>
            <w:gridSpan w:val="2"/>
          </w:tcPr>
          <w:p>
            <w:pPr>
              <w:ind w:left="560"/>
              <w:spacing w:after="0"/>
              <w:rPr>
                <w:sz w:val="20"/>
                <w:szCs w:val="20"/>
                <w:color w:val="auto"/>
              </w:rPr>
            </w:pPr>
            <w:r>
              <w:rPr>
                <w:rFonts w:ascii="Arial" w:cs="Arial" w:eastAsia="Arial" w:hAnsi="Arial"/>
                <w:sz w:val="18"/>
                <w:szCs w:val="18"/>
                <w:b w:val="1"/>
                <w:bCs w:val="1"/>
                <w:color w:val="auto"/>
              </w:rPr>
              <w:t>Theater</w:t>
            </w:r>
          </w:p>
        </w:tc>
        <w:tc>
          <w:tcPr>
            <w:tcW w:w="900" w:type="dxa"/>
            <w:vAlign w:val="bottom"/>
          </w:tcPr>
          <w:p>
            <w:pPr>
              <w:spacing w:after="0"/>
              <w:rPr>
                <w:sz w:val="17"/>
                <w:szCs w:val="17"/>
                <w:color w:val="auto"/>
              </w:rPr>
            </w:pPr>
          </w:p>
        </w:tc>
      </w:tr>
      <w:tr>
        <w:trPr>
          <w:trHeight w:val="67"/>
        </w:trPr>
        <w:tc>
          <w:tcPr>
            <w:tcW w:w="20" w:type="dxa"/>
            <w:vAlign w:val="bottom"/>
          </w:tcPr>
          <w:p>
            <w:pPr>
              <w:spacing w:after="0"/>
              <w:rPr>
                <w:sz w:val="5"/>
                <w:szCs w:val="5"/>
                <w:color w:val="auto"/>
              </w:rPr>
            </w:pPr>
          </w:p>
        </w:tc>
        <w:tc>
          <w:tcPr>
            <w:tcW w:w="1860" w:type="dxa"/>
            <w:vAlign w:val="bottom"/>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r>
      <w:tr>
        <w:trPr>
          <w:trHeight w:val="246"/>
        </w:trPr>
        <w:tc>
          <w:tcPr>
            <w:tcW w:w="20" w:type="dxa"/>
            <w:vAlign w:val="bottom"/>
          </w:tcPr>
          <w:p>
            <w:pPr>
              <w:spacing w:after="0"/>
              <w:rPr>
                <w:sz w:val="21"/>
                <w:szCs w:val="21"/>
                <w:color w:val="auto"/>
              </w:rPr>
            </w:pPr>
          </w:p>
        </w:tc>
        <w:tc>
          <w:tcPr>
            <w:tcW w:w="1860" w:type="dxa"/>
            <w:vAlign w:val="bottom"/>
          </w:tcPr>
          <w:p>
            <w:pPr>
              <w:spacing w:after="0"/>
              <w:rPr>
                <w:sz w:val="21"/>
                <w:szCs w:val="21"/>
                <w:color w:val="auto"/>
              </w:rPr>
            </w:pP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4"/>
              </w:rPr>
              <w:t>T0</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rPr>
              <w:t>T1</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rPr>
              <w:t>T2</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4"/>
              </w:rPr>
              <w:t>T3</w:t>
            </w:r>
          </w:p>
        </w:tc>
        <w:tc>
          <w:tcPr>
            <w:tcW w:w="320" w:type="dxa"/>
            <w:vAlign w:val="bottom"/>
          </w:tcPr>
          <w:p>
            <w:pPr>
              <w:spacing w:after="0"/>
              <w:rPr>
                <w:sz w:val="21"/>
                <w:szCs w:val="21"/>
                <w:color w:val="auto"/>
              </w:rPr>
            </w:pPr>
          </w:p>
        </w:tc>
        <w:tc>
          <w:tcPr>
            <w:tcW w:w="560" w:type="dxa"/>
            <w:vAlign w:val="bottom"/>
          </w:tcPr>
          <w:p>
            <w:pPr>
              <w:jc w:val="center"/>
              <w:ind w:right="249"/>
              <w:spacing w:after="0"/>
              <w:rPr>
                <w:sz w:val="20"/>
                <w:szCs w:val="20"/>
                <w:color w:val="auto"/>
              </w:rPr>
            </w:pPr>
            <w:r>
              <w:rPr>
                <w:rFonts w:ascii="Arial" w:cs="Arial" w:eastAsia="Arial" w:hAnsi="Arial"/>
                <w:sz w:val="18"/>
                <w:szCs w:val="18"/>
                <w:b w:val="1"/>
                <w:bCs w:val="1"/>
                <w:color w:val="auto"/>
                <w:w w:val="94"/>
              </w:rPr>
              <w:t>T0</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rPr>
              <w:t>T1</w:t>
            </w:r>
          </w:p>
        </w:tc>
        <w:tc>
          <w:tcPr>
            <w:tcW w:w="880" w:type="dxa"/>
            <w:vAlign w:val="bottom"/>
          </w:tcPr>
          <w:p>
            <w:pPr>
              <w:jc w:val="center"/>
              <w:spacing w:after="0"/>
              <w:rPr>
                <w:sz w:val="20"/>
                <w:szCs w:val="20"/>
                <w:color w:val="auto"/>
              </w:rPr>
            </w:pPr>
            <w:r>
              <w:rPr>
                <w:rFonts w:ascii="Arial" w:cs="Arial" w:eastAsia="Arial" w:hAnsi="Arial"/>
                <w:sz w:val="18"/>
                <w:szCs w:val="18"/>
                <w:b w:val="1"/>
                <w:bCs w:val="1"/>
                <w:color w:val="auto"/>
                <w:w w:val="94"/>
              </w:rPr>
              <w:t>T2</w:t>
            </w:r>
          </w:p>
        </w:tc>
        <w:tc>
          <w:tcPr>
            <w:tcW w:w="900" w:type="dxa"/>
            <w:vAlign w:val="bottom"/>
          </w:tcPr>
          <w:p>
            <w:pPr>
              <w:jc w:val="center"/>
              <w:spacing w:after="0"/>
              <w:rPr>
                <w:sz w:val="20"/>
                <w:szCs w:val="20"/>
                <w:color w:val="auto"/>
              </w:rPr>
            </w:pPr>
            <w:r>
              <w:rPr>
                <w:rFonts w:ascii="Arial" w:cs="Arial" w:eastAsia="Arial" w:hAnsi="Arial"/>
                <w:sz w:val="18"/>
                <w:szCs w:val="18"/>
                <w:b w:val="1"/>
                <w:bCs w:val="1"/>
                <w:color w:val="auto"/>
                <w:w w:val="94"/>
              </w:rPr>
              <w:t>T3</w:t>
            </w:r>
          </w:p>
        </w:tc>
      </w:tr>
      <w:tr>
        <w:trPr>
          <w:trHeight w:val="127"/>
        </w:trPr>
        <w:tc>
          <w:tcPr>
            <w:tcW w:w="20" w:type="dxa"/>
            <w:vAlign w:val="bottom"/>
          </w:tcPr>
          <w:p>
            <w:pPr>
              <w:spacing w:after="0"/>
              <w:rPr>
                <w:sz w:val="11"/>
                <w:szCs w:val="11"/>
                <w:color w:val="auto"/>
              </w:rPr>
            </w:pPr>
          </w:p>
        </w:tc>
        <w:tc>
          <w:tcPr>
            <w:tcW w:w="186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gridSpan w:val="2"/>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8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r>
      <w:tr>
        <w:trPr>
          <w:trHeight w:val="202"/>
        </w:trPr>
        <w:tc>
          <w:tcPr>
            <w:tcW w:w="20" w:type="dxa"/>
            <w:vAlign w:val="bottom"/>
          </w:tcPr>
          <w:p>
            <w:pPr>
              <w:spacing w:after="0"/>
              <w:rPr>
                <w:sz w:val="17"/>
                <w:szCs w:val="17"/>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Epworth Sleepiness</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9.9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0.74</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9.2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0.87</w:t>
            </w:r>
          </w:p>
        </w:tc>
        <w:tc>
          <w:tcPr>
            <w:tcW w:w="900" w:type="dxa"/>
            <w:vAlign w:val="bottom"/>
          </w:tcPr>
          <w:p>
            <w:pPr>
              <w:jc w:val="center"/>
              <w:spacing w:after="0"/>
              <w:rPr>
                <w:sz w:val="20"/>
                <w:szCs w:val="20"/>
                <w:color w:val="auto"/>
              </w:rPr>
            </w:pPr>
            <w:r>
              <w:rPr>
                <w:rFonts w:ascii="Arial" w:cs="Arial" w:eastAsia="Arial" w:hAnsi="Arial"/>
                <w:sz w:val="14"/>
                <w:szCs w:val="14"/>
                <w:color w:val="auto"/>
                <w:w w:val="98"/>
              </w:rPr>
              <w:t xml:space="preserve">9 </w:t>
            </w:r>
            <w:r>
              <w:rPr>
                <w:rFonts w:ascii="Arial" w:cs="Arial" w:eastAsia="Arial" w:hAnsi="Arial"/>
                <w:sz w:val="14"/>
                <w:szCs w:val="14"/>
                <w:i w:val="1"/>
                <w:iCs w:val="1"/>
                <w:color w:val="auto"/>
                <w:w w:val="98"/>
              </w:rPr>
              <w:t>±</w:t>
            </w:r>
            <w:r>
              <w:rPr>
                <w:rFonts w:ascii="Arial" w:cs="Arial" w:eastAsia="Arial" w:hAnsi="Arial"/>
                <w:sz w:val="14"/>
                <w:szCs w:val="14"/>
                <w:color w:val="auto"/>
                <w:w w:val="98"/>
              </w:rPr>
              <w:t xml:space="preserve"> 1.17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9.6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1.08</w:t>
            </w:r>
          </w:p>
        </w:tc>
        <w:tc>
          <w:tcPr>
            <w:tcW w:w="880" w:type="dxa"/>
            <w:vAlign w:val="bottom"/>
            <w:gridSpan w:val="2"/>
          </w:tcPr>
          <w:p>
            <w:pPr>
              <w:jc w:val="center"/>
              <w:spacing w:after="0"/>
              <w:rPr>
                <w:sz w:val="20"/>
                <w:szCs w:val="20"/>
                <w:color w:val="auto"/>
              </w:rPr>
            </w:pPr>
            <w:r>
              <w:rPr>
                <w:rFonts w:ascii="Arial" w:cs="Arial" w:eastAsia="Arial" w:hAnsi="Arial"/>
                <w:sz w:val="14"/>
                <w:szCs w:val="14"/>
                <w:color w:val="auto"/>
                <w:w w:val="99"/>
              </w:rPr>
              <w:t xml:space="preserve">11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0.83</w:t>
            </w:r>
          </w:p>
        </w:tc>
        <w:tc>
          <w:tcPr>
            <w:tcW w:w="900" w:type="dxa"/>
            <w:vAlign w:val="bottom"/>
          </w:tcPr>
          <w:p>
            <w:pPr>
              <w:jc w:val="center"/>
              <w:spacing w:after="0"/>
              <w:rPr>
                <w:sz w:val="20"/>
                <w:szCs w:val="20"/>
                <w:color w:val="auto"/>
              </w:rPr>
            </w:pPr>
            <w:r>
              <w:rPr>
                <w:rFonts w:ascii="Arial" w:cs="Arial" w:eastAsia="Arial" w:hAnsi="Arial"/>
                <w:sz w:val="14"/>
                <w:szCs w:val="14"/>
                <w:color w:val="auto"/>
                <w:w w:val="98"/>
              </w:rPr>
              <w:t xml:space="preserve">7 </w:t>
            </w:r>
            <w:r>
              <w:rPr>
                <w:rFonts w:ascii="Arial" w:cs="Arial" w:eastAsia="Arial" w:hAnsi="Arial"/>
                <w:sz w:val="14"/>
                <w:szCs w:val="14"/>
                <w:i w:val="1"/>
                <w:iCs w:val="1"/>
                <w:color w:val="auto"/>
                <w:w w:val="98"/>
              </w:rPr>
              <w:t>±</w:t>
            </w:r>
            <w:r>
              <w:rPr>
                <w:rFonts w:ascii="Arial" w:cs="Arial" w:eastAsia="Arial" w:hAnsi="Arial"/>
                <w:sz w:val="14"/>
                <w:szCs w:val="14"/>
                <w:color w:val="auto"/>
                <w:w w:val="98"/>
              </w:rPr>
              <w:t xml:space="preserve"> 0.97</w:t>
            </w:r>
          </w:p>
        </w:tc>
        <w:tc>
          <w:tcPr>
            <w:tcW w:w="880" w:type="dxa"/>
            <w:vAlign w:val="bottom"/>
          </w:tcPr>
          <w:p>
            <w:pPr>
              <w:jc w:val="center"/>
              <w:spacing w:after="0"/>
              <w:rPr>
                <w:sz w:val="20"/>
                <w:szCs w:val="20"/>
                <w:color w:val="auto"/>
              </w:rPr>
            </w:pPr>
            <w:r>
              <w:rPr>
                <w:rFonts w:ascii="Arial" w:cs="Arial" w:eastAsia="Arial" w:hAnsi="Arial"/>
                <w:sz w:val="14"/>
                <w:szCs w:val="14"/>
                <w:color w:val="auto"/>
                <w:w w:val="98"/>
              </w:rPr>
              <w:t xml:space="preserve">6 </w:t>
            </w:r>
            <w:r>
              <w:rPr>
                <w:rFonts w:ascii="Arial" w:cs="Arial" w:eastAsia="Arial" w:hAnsi="Arial"/>
                <w:sz w:val="14"/>
                <w:szCs w:val="14"/>
                <w:i w:val="1"/>
                <w:iCs w:val="1"/>
                <w:color w:val="auto"/>
                <w:w w:val="98"/>
              </w:rPr>
              <w:t>±</w:t>
            </w:r>
            <w:r>
              <w:rPr>
                <w:rFonts w:ascii="Arial" w:cs="Arial" w:eastAsia="Arial" w:hAnsi="Arial"/>
                <w:sz w:val="14"/>
                <w:szCs w:val="14"/>
                <w:color w:val="auto"/>
                <w:w w:val="98"/>
              </w:rPr>
              <w:t xml:space="preserve"> 1.13</w:t>
            </w:r>
          </w:p>
        </w:tc>
        <w:tc>
          <w:tcPr>
            <w:tcW w:w="900" w:type="dxa"/>
            <w:vAlign w:val="bottom"/>
          </w:tcPr>
          <w:p>
            <w:pPr>
              <w:jc w:val="center"/>
              <w:spacing w:after="0"/>
              <w:rPr>
                <w:sz w:val="20"/>
                <w:szCs w:val="20"/>
                <w:color w:val="auto"/>
              </w:rPr>
            </w:pPr>
            <w:r>
              <w:rPr>
                <w:rFonts w:ascii="Arial" w:cs="Arial" w:eastAsia="Arial" w:hAnsi="Arial"/>
                <w:sz w:val="14"/>
                <w:szCs w:val="14"/>
                <w:color w:val="auto"/>
                <w:w w:val="98"/>
              </w:rPr>
              <w:t xml:space="preserve">4 </w:t>
            </w:r>
            <w:r>
              <w:rPr>
                <w:rFonts w:ascii="Arial" w:cs="Arial" w:eastAsia="Arial" w:hAnsi="Arial"/>
                <w:sz w:val="14"/>
                <w:szCs w:val="14"/>
                <w:i w:val="1"/>
                <w:iCs w:val="1"/>
                <w:color w:val="auto"/>
                <w:w w:val="98"/>
              </w:rPr>
              <w:t>±</w:t>
            </w:r>
            <w:r>
              <w:rPr>
                <w:rFonts w:ascii="Arial" w:cs="Arial" w:eastAsia="Arial" w:hAnsi="Arial"/>
                <w:sz w:val="14"/>
                <w:szCs w:val="14"/>
                <w:color w:val="auto"/>
                <w:w w:val="98"/>
              </w:rPr>
              <w:t xml:space="preserve"> 0.86</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Hamilton</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16.8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1.96</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18.7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2.49</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18.3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2.44</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17.7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2.50</w:t>
            </w:r>
          </w:p>
        </w:tc>
        <w:tc>
          <w:tcPr>
            <w:tcW w:w="320" w:type="dxa"/>
            <w:vAlign w:val="bottom"/>
          </w:tcPr>
          <w:p>
            <w:pPr>
              <w:jc w:val="right"/>
              <w:spacing w:after="0"/>
              <w:rPr>
                <w:sz w:val="20"/>
                <w:szCs w:val="20"/>
                <w:color w:val="auto"/>
              </w:rPr>
            </w:pPr>
            <w:r>
              <w:rPr>
                <w:rFonts w:ascii="Arial" w:cs="Arial" w:eastAsia="Arial" w:hAnsi="Arial"/>
                <w:sz w:val="14"/>
                <w:szCs w:val="14"/>
                <w:color w:val="auto"/>
              </w:rPr>
              <w:t>24</w:t>
            </w:r>
          </w:p>
        </w:tc>
        <w:tc>
          <w:tcPr>
            <w:tcW w:w="560" w:type="dxa"/>
            <w:vAlign w:val="bottom"/>
          </w:tcPr>
          <w:p>
            <w:pPr>
              <w:ind w:left="2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1.23</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19.6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1.53</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16.1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1.55</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11.7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1.12</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Schwab and England</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3.00</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72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3.27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3.89</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75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5.22</w:t>
            </w:r>
          </w:p>
        </w:tc>
        <w:tc>
          <w:tcPr>
            <w:tcW w:w="880" w:type="dxa"/>
            <w:vAlign w:val="bottom"/>
            <w:gridSpan w:val="2"/>
          </w:tcPr>
          <w:p>
            <w:pPr>
              <w:jc w:val="center"/>
              <w:spacing w:after="0"/>
              <w:rPr>
                <w:sz w:val="20"/>
                <w:szCs w:val="20"/>
                <w:color w:val="auto"/>
              </w:rPr>
            </w:pPr>
            <w:r>
              <w:rPr>
                <w:rFonts w:ascii="Arial" w:cs="Arial" w:eastAsia="Arial" w:hAnsi="Arial"/>
                <w:sz w:val="14"/>
                <w:szCs w:val="14"/>
                <w:color w:val="auto"/>
                <w:w w:val="99"/>
              </w:rPr>
              <w:t xml:space="preserve">62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4.90</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4.00</w:t>
            </w:r>
          </w:p>
        </w:tc>
        <w:tc>
          <w:tcPr>
            <w:tcW w:w="880" w:type="dxa"/>
            <w:vAlign w:val="bottom"/>
          </w:tcPr>
          <w:p>
            <w:pPr>
              <w:jc w:val="center"/>
              <w:spacing w:after="0"/>
              <w:rPr>
                <w:sz w:val="20"/>
                <w:szCs w:val="20"/>
                <w:color w:val="auto"/>
              </w:rPr>
            </w:pPr>
            <w:r>
              <w:rPr>
                <w:rFonts w:ascii="Arial" w:cs="Arial" w:eastAsia="Arial" w:hAnsi="Arial"/>
                <w:sz w:val="14"/>
                <w:szCs w:val="14"/>
                <w:color w:val="auto"/>
              </w:rPr>
              <w:t xml:space="preserve">74 </w:t>
            </w:r>
            <w:r>
              <w:rPr>
                <w:rFonts w:ascii="Arial" w:cs="Arial" w:eastAsia="Arial" w:hAnsi="Arial"/>
                <w:sz w:val="14"/>
                <w:szCs w:val="14"/>
                <w:i w:val="1"/>
                <w:iCs w:val="1"/>
                <w:color w:val="auto"/>
              </w:rPr>
              <w:t>±</w:t>
            </w:r>
            <w:r>
              <w:rPr>
                <w:rFonts w:ascii="Arial" w:cs="Arial" w:eastAsia="Arial" w:hAnsi="Arial"/>
                <w:sz w:val="14"/>
                <w:szCs w:val="14"/>
                <w:color w:val="auto"/>
              </w:rPr>
              <w:t xml:space="preserve"> 3.71</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3.79</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UPDRS1</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0.84</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4.3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0.88</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4.4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0.91</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4.3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0.91</w:t>
            </w:r>
          </w:p>
        </w:tc>
        <w:tc>
          <w:tcPr>
            <w:tcW w:w="320" w:type="dxa"/>
            <w:vAlign w:val="bottom"/>
          </w:tcPr>
          <w:p>
            <w:pPr>
              <w:jc w:val="right"/>
              <w:spacing w:after="0"/>
              <w:rPr>
                <w:sz w:val="20"/>
                <w:szCs w:val="20"/>
                <w:color w:val="auto"/>
              </w:rPr>
            </w:pPr>
            <w:r>
              <w:rPr>
                <w:rFonts w:ascii="Arial" w:cs="Arial" w:eastAsia="Arial" w:hAnsi="Arial"/>
                <w:sz w:val="14"/>
                <w:szCs w:val="14"/>
                <w:color w:val="auto"/>
              </w:rPr>
              <w:t>2.3</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0.50</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2.5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0.62</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1.9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0.41</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1.5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0.34</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UPDRS2</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16.6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2.03</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15.5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1.93</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15.7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2.02</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15.6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2.10</w:t>
            </w:r>
          </w:p>
        </w:tc>
        <w:tc>
          <w:tcPr>
            <w:tcW w:w="880" w:type="dxa"/>
            <w:vAlign w:val="bottom"/>
            <w:gridSpan w:val="2"/>
          </w:tcPr>
          <w:p>
            <w:pPr>
              <w:jc w:val="center"/>
              <w:spacing w:after="0"/>
              <w:rPr>
                <w:sz w:val="20"/>
                <w:szCs w:val="20"/>
                <w:color w:val="auto"/>
              </w:rPr>
            </w:pPr>
            <w:r>
              <w:rPr>
                <w:rFonts w:ascii="Arial" w:cs="Arial" w:eastAsia="Arial" w:hAnsi="Arial"/>
                <w:sz w:val="14"/>
                <w:szCs w:val="14"/>
                <w:color w:val="auto"/>
                <w:w w:val="94"/>
              </w:rPr>
              <w:t xml:space="preserve">14.6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2.58</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14.6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2.67</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13.7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2.33</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13.3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2.31</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UPDRS3</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23.5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3.01</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22.1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3.04</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22.6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3.29</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21.7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3.33</w:t>
            </w:r>
          </w:p>
        </w:tc>
        <w:tc>
          <w:tcPr>
            <w:tcW w:w="880" w:type="dxa"/>
            <w:vAlign w:val="bottom"/>
            <w:gridSpan w:val="2"/>
          </w:tcPr>
          <w:p>
            <w:pPr>
              <w:jc w:val="center"/>
              <w:spacing w:after="0"/>
              <w:rPr>
                <w:sz w:val="20"/>
                <w:szCs w:val="20"/>
                <w:color w:val="auto"/>
              </w:rPr>
            </w:pPr>
            <w:r>
              <w:rPr>
                <w:rFonts w:ascii="Arial" w:cs="Arial" w:eastAsia="Arial" w:hAnsi="Arial"/>
                <w:sz w:val="14"/>
                <w:szCs w:val="14"/>
                <w:color w:val="auto"/>
                <w:w w:val="94"/>
              </w:rPr>
              <w:t xml:space="preserve">26.9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4.86</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23.4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5.29</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21.2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4.30</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19.5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4.03</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UPDRS4</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0.95</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6.2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1.24</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1.37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1.54</w:t>
            </w:r>
          </w:p>
        </w:tc>
        <w:tc>
          <w:tcPr>
            <w:tcW w:w="320" w:type="dxa"/>
            <w:vAlign w:val="bottom"/>
          </w:tcPr>
          <w:p>
            <w:pPr>
              <w:jc w:val="right"/>
              <w:spacing w:after="0"/>
              <w:rPr>
                <w:sz w:val="20"/>
                <w:szCs w:val="20"/>
                <w:color w:val="auto"/>
              </w:rPr>
            </w:pPr>
            <w:r>
              <w:rPr>
                <w:rFonts w:ascii="Arial" w:cs="Arial" w:eastAsia="Arial" w:hAnsi="Arial"/>
                <w:sz w:val="14"/>
                <w:szCs w:val="14"/>
                <w:color w:val="auto"/>
              </w:rPr>
              <w:t>7.4</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0.69</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1.02</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6.7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1.01</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6.5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1.12</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Mobility*</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11.1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1.43</w:t>
            </w:r>
          </w:p>
        </w:tc>
        <w:tc>
          <w:tcPr>
            <w:tcW w:w="880" w:type="dxa"/>
            <w:vAlign w:val="bottom"/>
          </w:tcPr>
          <w:p>
            <w:pPr>
              <w:jc w:val="center"/>
              <w:spacing w:after="0"/>
              <w:rPr>
                <w:sz w:val="20"/>
                <w:szCs w:val="20"/>
                <w:color w:val="auto"/>
              </w:rPr>
            </w:pPr>
            <w:r>
              <w:rPr>
                <w:rFonts w:ascii="Arial" w:cs="Arial" w:eastAsia="Arial" w:hAnsi="Arial"/>
                <w:sz w:val="14"/>
                <w:szCs w:val="14"/>
                <w:color w:val="auto"/>
                <w:w w:val="94"/>
              </w:rPr>
              <w:t xml:space="preserve">10.6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1.25</w:t>
            </w:r>
          </w:p>
        </w:tc>
        <w:tc>
          <w:tcPr>
            <w:tcW w:w="900" w:type="dxa"/>
            <w:vAlign w:val="bottom"/>
          </w:tcPr>
          <w:p>
            <w:pPr>
              <w:jc w:val="center"/>
              <w:spacing w:after="0"/>
              <w:rPr>
                <w:sz w:val="20"/>
                <w:szCs w:val="20"/>
                <w:color w:val="auto"/>
              </w:rPr>
            </w:pPr>
            <w:r>
              <w:rPr>
                <w:rFonts w:ascii="Arial" w:cs="Arial" w:eastAsia="Arial" w:hAnsi="Arial"/>
                <w:sz w:val="14"/>
                <w:szCs w:val="14"/>
                <w:color w:val="auto"/>
                <w:w w:val="93"/>
              </w:rPr>
              <w:t xml:space="preserve">9.4 </w:t>
            </w:r>
            <w:r>
              <w:rPr>
                <w:rFonts w:ascii="Arial" w:cs="Arial" w:eastAsia="Arial" w:hAnsi="Arial"/>
                <w:sz w:val="14"/>
                <w:szCs w:val="14"/>
                <w:i w:val="1"/>
                <w:iCs w:val="1"/>
                <w:color w:val="auto"/>
                <w:w w:val="93"/>
              </w:rPr>
              <w:t>±</w:t>
            </w:r>
            <w:r>
              <w:rPr>
                <w:rFonts w:ascii="Arial" w:cs="Arial" w:eastAsia="Arial" w:hAnsi="Arial"/>
                <w:sz w:val="14"/>
                <w:szCs w:val="14"/>
                <w:color w:val="auto"/>
                <w:w w:val="93"/>
              </w:rPr>
              <w:t xml:space="preserve"> 1.23</w:t>
            </w:r>
          </w:p>
        </w:tc>
        <w:tc>
          <w:tcPr>
            <w:tcW w:w="900" w:type="dxa"/>
            <w:vAlign w:val="bottom"/>
          </w:tcPr>
          <w:p>
            <w:pPr>
              <w:jc w:val="center"/>
              <w:spacing w:after="0"/>
              <w:rPr>
                <w:sz w:val="20"/>
                <w:szCs w:val="20"/>
                <w:color w:val="auto"/>
              </w:rPr>
            </w:pPr>
            <w:r>
              <w:rPr>
                <w:rFonts w:ascii="Arial" w:cs="Arial" w:eastAsia="Arial" w:hAnsi="Arial"/>
                <w:sz w:val="14"/>
                <w:szCs w:val="14"/>
                <w:color w:val="auto"/>
                <w:w w:val="93"/>
              </w:rPr>
              <w:t xml:space="preserve">9.3 </w:t>
            </w:r>
            <w:r>
              <w:rPr>
                <w:rFonts w:ascii="Arial" w:cs="Arial" w:eastAsia="Arial" w:hAnsi="Arial"/>
                <w:sz w:val="14"/>
                <w:szCs w:val="14"/>
                <w:i w:val="1"/>
                <w:iCs w:val="1"/>
                <w:color w:val="auto"/>
                <w:w w:val="93"/>
              </w:rPr>
              <w:t>±</w:t>
            </w:r>
            <w:r>
              <w:rPr>
                <w:rFonts w:ascii="Arial" w:cs="Arial" w:eastAsia="Arial" w:hAnsi="Arial"/>
                <w:sz w:val="14"/>
                <w:szCs w:val="14"/>
                <w:color w:val="auto"/>
                <w:w w:val="93"/>
              </w:rPr>
              <w:t xml:space="preserve"> 1.45</w:t>
            </w:r>
          </w:p>
        </w:tc>
        <w:tc>
          <w:tcPr>
            <w:tcW w:w="880" w:type="dxa"/>
            <w:vAlign w:val="bottom"/>
            <w:gridSpan w:val="2"/>
          </w:tcPr>
          <w:p>
            <w:pPr>
              <w:jc w:val="center"/>
              <w:spacing w:after="0"/>
              <w:rPr>
                <w:sz w:val="20"/>
                <w:szCs w:val="20"/>
                <w:color w:val="auto"/>
              </w:rPr>
            </w:pPr>
            <w:r>
              <w:rPr>
                <w:rFonts w:ascii="Arial" w:cs="Arial" w:eastAsia="Arial" w:hAnsi="Arial"/>
                <w:sz w:val="14"/>
                <w:szCs w:val="14"/>
                <w:color w:val="auto"/>
                <w:w w:val="94"/>
              </w:rPr>
              <w:t xml:space="preserve">11.7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1.58</w:t>
            </w:r>
          </w:p>
        </w:tc>
        <w:tc>
          <w:tcPr>
            <w:tcW w:w="900" w:type="dxa"/>
            <w:vAlign w:val="bottom"/>
          </w:tcPr>
          <w:p>
            <w:pPr>
              <w:jc w:val="center"/>
              <w:spacing w:after="0"/>
              <w:rPr>
                <w:sz w:val="20"/>
                <w:szCs w:val="20"/>
                <w:color w:val="auto"/>
              </w:rPr>
            </w:pPr>
            <w:r>
              <w:rPr>
                <w:rFonts w:ascii="Arial" w:cs="Arial" w:eastAsia="Arial" w:hAnsi="Arial"/>
                <w:sz w:val="14"/>
                <w:szCs w:val="14"/>
                <w:color w:val="auto"/>
                <w:w w:val="94"/>
              </w:rPr>
              <w:t xml:space="preserve">11.6 </w:t>
            </w:r>
            <w:r>
              <w:rPr>
                <w:rFonts w:ascii="Arial" w:cs="Arial" w:eastAsia="Arial" w:hAnsi="Arial"/>
                <w:sz w:val="14"/>
                <w:szCs w:val="14"/>
                <w:i w:val="1"/>
                <w:iCs w:val="1"/>
                <w:color w:val="auto"/>
                <w:w w:val="94"/>
              </w:rPr>
              <w:t>±</w:t>
            </w:r>
            <w:r>
              <w:rPr>
                <w:rFonts w:ascii="Arial" w:cs="Arial" w:eastAsia="Arial" w:hAnsi="Arial"/>
                <w:sz w:val="14"/>
                <w:szCs w:val="14"/>
                <w:color w:val="auto"/>
                <w:w w:val="94"/>
              </w:rPr>
              <w:t xml:space="preserve"> 1.43</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9.2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1.28</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1.07</w:t>
            </w:r>
          </w:p>
        </w:tc>
      </w:tr>
      <w:tr>
        <w:trPr>
          <w:trHeight w:val="223"/>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Activities of daily living*</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0.60</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6.3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0.72</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1.01</w:t>
            </w:r>
          </w:p>
        </w:tc>
        <w:tc>
          <w:tcPr>
            <w:tcW w:w="320" w:type="dxa"/>
            <w:vAlign w:val="bottom"/>
          </w:tcPr>
          <w:p>
            <w:pPr>
              <w:jc w:val="right"/>
              <w:spacing w:after="0"/>
              <w:rPr>
                <w:sz w:val="20"/>
                <w:szCs w:val="20"/>
                <w:color w:val="auto"/>
              </w:rPr>
            </w:pPr>
            <w:r>
              <w:rPr>
                <w:rFonts w:ascii="Arial" w:cs="Arial" w:eastAsia="Arial" w:hAnsi="Arial"/>
                <w:sz w:val="14"/>
                <w:szCs w:val="14"/>
                <w:color w:val="auto"/>
              </w:rPr>
              <w:t>8.4</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1.49</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1.20</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6.6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0.45</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0.68</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Emotional well-being*</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6.6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0.78</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5.8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0.93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0.86</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0.80</w:t>
            </w:r>
          </w:p>
        </w:tc>
        <w:tc>
          <w:tcPr>
            <w:tcW w:w="320" w:type="dxa"/>
            <w:vAlign w:val="bottom"/>
          </w:tcPr>
          <w:p>
            <w:pPr>
              <w:jc w:val="right"/>
              <w:spacing w:after="0"/>
              <w:rPr>
                <w:sz w:val="20"/>
                <w:szCs w:val="20"/>
                <w:color w:val="auto"/>
              </w:rPr>
            </w:pPr>
            <w:r>
              <w:rPr>
                <w:rFonts w:ascii="Arial" w:cs="Arial" w:eastAsia="Arial" w:hAnsi="Arial"/>
                <w:sz w:val="14"/>
                <w:szCs w:val="14"/>
                <w:color w:val="auto"/>
              </w:rPr>
              <w:t>7.7</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0.99</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7.0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0.77</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5.8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0.90</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0.85</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Stigma*</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3.3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0.56</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0.60</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0.66</w:t>
            </w:r>
          </w:p>
        </w:tc>
        <w:tc>
          <w:tcPr>
            <w:tcW w:w="320" w:type="dxa"/>
            <w:vAlign w:val="bottom"/>
          </w:tcPr>
          <w:p>
            <w:pPr>
              <w:jc w:val="right"/>
              <w:spacing w:after="0"/>
              <w:rPr>
                <w:sz w:val="20"/>
                <w:szCs w:val="20"/>
                <w:color w:val="auto"/>
              </w:rPr>
            </w:pPr>
            <w:r>
              <w:rPr>
                <w:rFonts w:ascii="Arial" w:cs="Arial" w:eastAsia="Arial" w:hAnsi="Arial"/>
                <w:sz w:val="14"/>
                <w:szCs w:val="14"/>
                <w:color w:val="auto"/>
              </w:rPr>
              <w:t>3.1</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0.67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0.49</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2.0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0.42</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0.39</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Social support*</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0.31</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0.45</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2.5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0.54</w:t>
            </w:r>
          </w:p>
        </w:tc>
        <w:tc>
          <w:tcPr>
            <w:tcW w:w="320" w:type="dxa"/>
            <w:vAlign w:val="bottom"/>
          </w:tcPr>
          <w:p>
            <w:pPr>
              <w:jc w:val="right"/>
              <w:spacing w:after="0"/>
              <w:rPr>
                <w:sz w:val="20"/>
                <w:szCs w:val="20"/>
                <w:color w:val="auto"/>
              </w:rPr>
            </w:pPr>
            <w:r>
              <w:rPr>
                <w:rFonts w:ascii="Arial" w:cs="Arial" w:eastAsia="Arial" w:hAnsi="Arial"/>
                <w:sz w:val="14"/>
                <w:szCs w:val="14"/>
                <w:color w:val="auto"/>
              </w:rPr>
              <w:t>6.2</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0.66</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0.64</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0.52</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2.4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0.37</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Cognition*</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0.52</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4.0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0.52</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0.58</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0.69</w:t>
            </w:r>
          </w:p>
        </w:tc>
        <w:tc>
          <w:tcPr>
            <w:tcW w:w="320" w:type="dxa"/>
            <w:vAlign w:val="bottom"/>
          </w:tcPr>
          <w:p>
            <w:pPr>
              <w:jc w:val="right"/>
              <w:spacing w:after="0"/>
              <w:rPr>
                <w:sz w:val="20"/>
                <w:szCs w:val="20"/>
                <w:color w:val="auto"/>
              </w:rPr>
            </w:pPr>
            <w:r>
              <w:rPr>
                <w:rFonts w:ascii="Arial" w:cs="Arial" w:eastAsia="Arial" w:hAnsi="Arial"/>
                <w:sz w:val="14"/>
                <w:szCs w:val="14"/>
                <w:color w:val="auto"/>
              </w:rPr>
              <w:t>5.7</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0.56</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5.4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0.62</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4.7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0.63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0.43</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Communication*</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0.50</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2.4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2.7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0.47</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2.4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0.52</w:t>
            </w:r>
          </w:p>
        </w:tc>
        <w:tc>
          <w:tcPr>
            <w:tcW w:w="320" w:type="dxa"/>
            <w:vAlign w:val="bottom"/>
          </w:tcPr>
          <w:p>
            <w:pPr>
              <w:jc w:val="right"/>
              <w:spacing w:after="0"/>
              <w:rPr>
                <w:sz w:val="20"/>
                <w:szCs w:val="20"/>
                <w:color w:val="auto"/>
              </w:rPr>
            </w:pPr>
            <w:r>
              <w:rPr>
                <w:rFonts w:ascii="Arial" w:cs="Arial" w:eastAsia="Arial" w:hAnsi="Arial"/>
                <w:sz w:val="14"/>
                <w:szCs w:val="14"/>
                <w:color w:val="auto"/>
              </w:rPr>
              <w:t>4.2</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0.63</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4.3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0.50</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0.49</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0.23</w:t>
            </w:r>
          </w:p>
        </w:tc>
      </w:tr>
      <w:tr>
        <w:trPr>
          <w:trHeight w:val="221"/>
        </w:trPr>
        <w:tc>
          <w:tcPr>
            <w:tcW w:w="20" w:type="dxa"/>
            <w:vAlign w:val="bottom"/>
          </w:tcPr>
          <w:p>
            <w:pPr>
              <w:spacing w:after="0"/>
              <w:rPr>
                <w:sz w:val="19"/>
                <w:szCs w:val="19"/>
                <w:color w:val="auto"/>
              </w:rPr>
            </w:pPr>
          </w:p>
        </w:tc>
        <w:tc>
          <w:tcPr>
            <w:tcW w:w="1860" w:type="dxa"/>
            <w:vAlign w:val="bottom"/>
          </w:tcPr>
          <w:p>
            <w:pPr>
              <w:ind w:left="100"/>
              <w:spacing w:after="0"/>
              <w:rPr>
                <w:sz w:val="20"/>
                <w:szCs w:val="20"/>
                <w:color w:val="auto"/>
              </w:rPr>
            </w:pPr>
            <w:r>
              <w:rPr>
                <w:rFonts w:ascii="Arial" w:cs="Arial" w:eastAsia="Arial" w:hAnsi="Arial"/>
                <w:sz w:val="14"/>
                <w:szCs w:val="14"/>
                <w:color w:val="auto"/>
              </w:rPr>
              <w:t>Bodily discomfort*</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4.2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0.55</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3.1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0.46</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3.0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0.42</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2.9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0.48</w:t>
            </w:r>
          </w:p>
        </w:tc>
        <w:tc>
          <w:tcPr>
            <w:tcW w:w="320" w:type="dxa"/>
            <w:vAlign w:val="bottom"/>
          </w:tcPr>
          <w:p>
            <w:pPr>
              <w:jc w:val="right"/>
              <w:spacing w:after="0"/>
              <w:rPr>
                <w:sz w:val="20"/>
                <w:szCs w:val="20"/>
                <w:color w:val="auto"/>
              </w:rPr>
            </w:pPr>
            <w:r>
              <w:rPr>
                <w:rFonts w:ascii="Arial" w:cs="Arial" w:eastAsia="Arial" w:hAnsi="Arial"/>
                <w:sz w:val="14"/>
                <w:szCs w:val="14"/>
                <w:color w:val="auto"/>
              </w:rPr>
              <w:t>5.3</w:t>
            </w:r>
          </w:p>
        </w:tc>
        <w:tc>
          <w:tcPr>
            <w:tcW w:w="560" w:type="dxa"/>
            <w:vAlign w:val="bottom"/>
          </w:tcPr>
          <w:p>
            <w:pPr>
              <w:ind w:left="40"/>
              <w:spacing w:after="0"/>
              <w:rPr>
                <w:sz w:val="20"/>
                <w:szCs w:val="20"/>
                <w:color w:val="auto"/>
              </w:rPr>
            </w:pPr>
            <w:r>
              <w:rPr>
                <w:rFonts w:ascii="Arial" w:cs="Arial" w:eastAsia="Arial" w:hAnsi="Arial"/>
                <w:sz w:val="14"/>
                <w:szCs w:val="14"/>
                <w:i w:val="1"/>
                <w:iCs w:val="1"/>
                <w:color w:val="auto"/>
              </w:rPr>
              <w:t xml:space="preserve">± </w:t>
            </w:r>
            <w:r>
              <w:rPr>
                <w:rFonts w:ascii="Arial" w:cs="Arial" w:eastAsia="Arial" w:hAnsi="Arial"/>
                <w:sz w:val="14"/>
                <w:szCs w:val="14"/>
                <w:color w:val="auto"/>
              </w:rPr>
              <w:t>0.68</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5.0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0.71</w:t>
            </w:r>
          </w:p>
        </w:tc>
        <w:tc>
          <w:tcPr>
            <w:tcW w:w="880" w:type="dxa"/>
            <w:vAlign w:val="bottom"/>
          </w:tcPr>
          <w:p>
            <w:pPr>
              <w:jc w:val="center"/>
              <w:spacing w:after="0"/>
              <w:rPr>
                <w:sz w:val="20"/>
                <w:szCs w:val="20"/>
                <w:color w:val="auto"/>
              </w:rPr>
            </w:pPr>
            <w:r>
              <w:rPr>
                <w:rFonts w:ascii="Arial" w:cs="Arial" w:eastAsia="Arial" w:hAnsi="Arial"/>
                <w:sz w:val="14"/>
                <w:szCs w:val="14"/>
                <w:color w:val="auto"/>
                <w:w w:val="99"/>
              </w:rPr>
              <w:t xml:space="preserve">3.6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0.48</w:t>
            </w:r>
          </w:p>
        </w:tc>
        <w:tc>
          <w:tcPr>
            <w:tcW w:w="900" w:type="dxa"/>
            <w:vAlign w:val="bottom"/>
          </w:tcPr>
          <w:p>
            <w:pPr>
              <w:jc w:val="center"/>
              <w:spacing w:after="0"/>
              <w:rPr>
                <w:sz w:val="20"/>
                <w:szCs w:val="20"/>
                <w:color w:val="auto"/>
              </w:rPr>
            </w:pPr>
            <w:r>
              <w:rPr>
                <w:rFonts w:ascii="Arial" w:cs="Arial" w:eastAsia="Arial" w:hAnsi="Arial"/>
                <w:sz w:val="14"/>
                <w:szCs w:val="14"/>
                <w:color w:val="auto"/>
                <w:w w:val="99"/>
              </w:rPr>
              <w:t xml:space="preserve">2.8 </w:t>
            </w:r>
            <w:r>
              <w:rPr>
                <w:rFonts w:ascii="Arial" w:cs="Arial" w:eastAsia="Arial" w:hAnsi="Arial"/>
                <w:sz w:val="14"/>
                <w:szCs w:val="14"/>
                <w:i w:val="1"/>
                <w:iCs w:val="1"/>
                <w:color w:val="auto"/>
                <w:w w:val="99"/>
              </w:rPr>
              <w:t>±</w:t>
            </w:r>
            <w:r>
              <w:rPr>
                <w:rFonts w:ascii="Arial" w:cs="Arial" w:eastAsia="Arial" w:hAnsi="Arial"/>
                <w:sz w:val="14"/>
                <w:szCs w:val="14"/>
                <w:color w:val="auto"/>
                <w:w w:val="99"/>
              </w:rPr>
              <w:t xml:space="preserve"> 0.33</w:t>
            </w:r>
          </w:p>
        </w:tc>
      </w:tr>
      <w:tr>
        <w:trPr>
          <w:trHeight w:val="63"/>
        </w:trPr>
        <w:tc>
          <w:tcPr>
            <w:tcW w:w="20" w:type="dxa"/>
            <w:vAlign w:val="bottom"/>
            <w:tcBorders>
              <w:bottom w:val="single" w:sz="8" w:color="auto"/>
            </w:tcBorders>
          </w:tcPr>
          <w:p>
            <w:pPr>
              <w:spacing w:after="0"/>
              <w:rPr>
                <w:sz w:val="5"/>
                <w:szCs w:val="5"/>
                <w:color w:val="auto"/>
              </w:rPr>
            </w:pPr>
          </w:p>
        </w:tc>
        <w:tc>
          <w:tcPr>
            <w:tcW w:w="186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8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r>
    </w:tbl>
    <w:p>
      <w:pPr>
        <w:spacing w:after="0" w:line="114" w:lineRule="exact"/>
        <w:rPr>
          <w:sz w:val="20"/>
          <w:szCs w:val="20"/>
          <w:color w:val="auto"/>
        </w:rPr>
      </w:pPr>
    </w:p>
    <w:p>
      <w:pPr>
        <w:ind w:left="540" w:hanging="360"/>
        <w:spacing w:after="0"/>
        <w:tabs>
          <w:tab w:leader="none" w:pos="540" w:val="left"/>
        </w:tabs>
        <w:numPr>
          <w:ilvl w:val="0"/>
          <w:numId w:val="6"/>
        </w:numPr>
        <w:rPr>
          <w:rFonts w:ascii="Arial" w:cs="Arial" w:eastAsia="Arial" w:hAnsi="Arial"/>
          <w:sz w:val="16"/>
          <w:szCs w:val="16"/>
          <w:color w:val="auto"/>
        </w:rPr>
      </w:pPr>
      <w:r>
        <w:rPr>
          <w:rFonts w:ascii="Arial" w:cs="Arial" w:eastAsia="Arial" w:hAnsi="Arial"/>
          <w:sz w:val="16"/>
          <w:szCs w:val="16"/>
          <w:color w:val="auto"/>
        </w:rPr>
        <w:t>PDQ39 subscales.</w:t>
      </w: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Arial" w:cs="Arial" w:eastAsia="Arial" w:hAnsi="Arial"/>
          <w:sz w:val="20"/>
          <w:szCs w:val="20"/>
          <w:b w:val="1"/>
          <w:bCs w:val="1"/>
          <w:color w:val="auto"/>
        </w:rPr>
        <w:t>TABLE 6</w:t>
      </w:r>
    </w:p>
    <w:p>
      <w:pPr>
        <w:jc w:val="center"/>
        <w:spacing w:after="0"/>
        <w:rPr>
          <w:sz w:val="20"/>
          <w:szCs w:val="20"/>
          <w:color w:val="auto"/>
        </w:rPr>
      </w:pPr>
      <w:r>
        <w:rPr>
          <w:rFonts w:ascii="Arial" w:cs="Arial" w:eastAsia="Arial" w:hAnsi="Arial"/>
          <w:sz w:val="20"/>
          <w:szCs w:val="20"/>
          <w:b w:val="1"/>
          <w:bCs w:val="1"/>
          <w:color w:val="auto"/>
        </w:rPr>
        <w:t>Results of the Doubly Multivariate Repeated-Measures ANOVA with Group (Control, Theater) and</w:t>
      </w:r>
    </w:p>
    <w:p>
      <w:pPr>
        <w:jc w:val="center"/>
        <w:spacing w:after="0" w:line="237" w:lineRule="auto"/>
        <w:rPr>
          <w:sz w:val="20"/>
          <w:szCs w:val="20"/>
          <w:color w:val="auto"/>
        </w:rPr>
      </w:pPr>
      <w:r>
        <w:rPr>
          <w:rFonts w:ascii="Arial" w:cs="Arial" w:eastAsia="Arial" w:hAnsi="Arial"/>
          <w:sz w:val="20"/>
          <w:szCs w:val="20"/>
          <w:b w:val="1"/>
          <w:bCs w:val="1"/>
          <w:color w:val="auto"/>
        </w:rPr>
        <w:t>Time (T0, T1, T2, T3) as Factors in the Clinical Scales (or Subscales)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57785</wp:posOffset>
                </wp:positionH>
                <wp:positionV relativeFrom="paragraph">
                  <wp:posOffset>159385</wp:posOffset>
                </wp:positionV>
                <wp:extent cx="583057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30570"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5pt,12.55pt" to="463.65pt,12.55pt" o:allowincell="f" strokecolor="#000000" strokeweight="0.2399pt"/>
            </w:pict>
          </mc:Fallback>
        </mc:AlternateContent>
      </w:r>
    </w:p>
    <w:p>
      <w:pPr>
        <w:spacing w:after="0" w:line="346" w:lineRule="exact"/>
        <w:rPr>
          <w:sz w:val="20"/>
          <w:szCs w:val="20"/>
          <w:color w:val="auto"/>
        </w:rPr>
      </w:pPr>
    </w:p>
    <w:tbl>
      <w:tblPr>
        <w:tblLayout w:type="fixed"/>
        <w:tblInd w:w="100" w:type="dxa"/>
        <w:tblCellMar>
          <w:top w:w="0" w:type="dxa"/>
          <w:left w:w="0" w:type="dxa"/>
          <w:bottom w:w="0" w:type="dxa"/>
          <w:right w:w="0" w:type="dxa"/>
        </w:tblCellMar>
      </w:tblPr>
      <w:tr>
        <w:trPr>
          <w:trHeight w:val="221"/>
        </w:trPr>
        <w:tc>
          <w:tcPr>
            <w:tcW w:w="1760" w:type="dxa"/>
            <w:vAlign w:val="bottom"/>
          </w:tcPr>
          <w:p>
            <w:pPr>
              <w:spacing w:after="0"/>
              <w:rPr>
                <w:sz w:val="19"/>
                <w:szCs w:val="19"/>
                <w:color w:val="auto"/>
              </w:rPr>
            </w:pPr>
          </w:p>
        </w:tc>
        <w:tc>
          <w:tcPr>
            <w:tcW w:w="1980" w:type="dxa"/>
            <w:vAlign w:val="bottom"/>
            <w:gridSpan w:val="2"/>
          </w:tcPr>
          <w:p>
            <w:pPr>
              <w:ind w:left="1040"/>
              <w:spacing w:after="0"/>
              <w:rPr>
                <w:sz w:val="20"/>
                <w:szCs w:val="20"/>
                <w:color w:val="auto"/>
              </w:rPr>
            </w:pPr>
            <w:r>
              <w:rPr>
                <w:rFonts w:ascii="Arial" w:cs="Arial" w:eastAsia="Arial" w:hAnsi="Arial"/>
                <w:sz w:val="18"/>
                <w:szCs w:val="18"/>
                <w:b w:val="1"/>
                <w:bCs w:val="1"/>
                <w:color w:val="auto"/>
              </w:rPr>
              <w:t>Time</w:t>
            </w:r>
          </w:p>
        </w:tc>
        <w:tc>
          <w:tcPr>
            <w:tcW w:w="540" w:type="dxa"/>
            <w:vAlign w:val="bottom"/>
          </w:tcPr>
          <w:p>
            <w:pPr>
              <w:spacing w:after="0"/>
              <w:rPr>
                <w:sz w:val="19"/>
                <w:szCs w:val="19"/>
                <w:color w:val="auto"/>
              </w:rPr>
            </w:pPr>
          </w:p>
        </w:tc>
        <w:tc>
          <w:tcPr>
            <w:tcW w:w="1660" w:type="dxa"/>
            <w:vAlign w:val="bottom"/>
            <w:gridSpan w:val="2"/>
          </w:tcPr>
          <w:p>
            <w:pPr>
              <w:ind w:left="840"/>
              <w:spacing w:after="0"/>
              <w:rPr>
                <w:sz w:val="20"/>
                <w:szCs w:val="20"/>
                <w:color w:val="auto"/>
              </w:rPr>
            </w:pPr>
            <w:r>
              <w:rPr>
                <w:rFonts w:ascii="Arial" w:cs="Arial" w:eastAsia="Arial" w:hAnsi="Arial"/>
                <w:sz w:val="18"/>
                <w:szCs w:val="18"/>
                <w:b w:val="1"/>
                <w:bCs w:val="1"/>
                <w:color w:val="auto"/>
              </w:rPr>
              <w:t>Group</w:t>
            </w:r>
          </w:p>
        </w:tc>
        <w:tc>
          <w:tcPr>
            <w:tcW w:w="580" w:type="dxa"/>
            <w:vAlign w:val="bottom"/>
          </w:tcPr>
          <w:p>
            <w:pPr>
              <w:spacing w:after="0"/>
              <w:rPr>
                <w:sz w:val="19"/>
                <w:szCs w:val="19"/>
                <w:color w:val="auto"/>
              </w:rPr>
            </w:pPr>
          </w:p>
        </w:tc>
        <w:tc>
          <w:tcPr>
            <w:tcW w:w="2020" w:type="dxa"/>
            <w:vAlign w:val="bottom"/>
            <w:gridSpan w:val="2"/>
          </w:tcPr>
          <w:p>
            <w:pPr>
              <w:ind w:left="740"/>
              <w:spacing w:after="0"/>
              <w:rPr>
                <w:sz w:val="20"/>
                <w:szCs w:val="20"/>
                <w:color w:val="auto"/>
              </w:rPr>
            </w:pPr>
            <w:r>
              <w:rPr>
                <w:rFonts w:ascii="Arial" w:cs="Arial" w:eastAsia="Arial" w:hAnsi="Arial"/>
                <w:sz w:val="18"/>
                <w:szCs w:val="18"/>
                <w:b w:val="1"/>
                <w:bCs w:val="1"/>
                <w:color w:val="auto"/>
              </w:rPr>
              <w:t xml:space="preserve">Time </w:t>
            </w:r>
            <w:r>
              <w:rPr>
                <w:rFonts w:ascii="Symbol" w:cs="Symbol" w:eastAsia="Symbol" w:hAnsi="Symbol"/>
                <w:sz w:val="18"/>
                <w:szCs w:val="18"/>
                <w:b w:val="1"/>
                <w:bCs w:val="1"/>
                <w:color w:val="auto"/>
              </w:rPr>
              <w:t></w:t>
            </w:r>
            <w:r>
              <w:rPr>
                <w:rFonts w:ascii="Arial" w:cs="Arial" w:eastAsia="Arial" w:hAnsi="Arial"/>
                <w:sz w:val="18"/>
                <w:szCs w:val="18"/>
                <w:b w:val="1"/>
                <w:bCs w:val="1"/>
                <w:color w:val="auto"/>
              </w:rPr>
              <w:t xml:space="preserve"> Group</w:t>
            </w:r>
          </w:p>
        </w:tc>
        <w:tc>
          <w:tcPr>
            <w:tcW w:w="640" w:type="dxa"/>
            <w:vAlign w:val="bottom"/>
          </w:tcPr>
          <w:p>
            <w:pPr>
              <w:spacing w:after="0"/>
              <w:rPr>
                <w:sz w:val="19"/>
                <w:szCs w:val="19"/>
                <w:color w:val="auto"/>
              </w:rPr>
            </w:pPr>
          </w:p>
        </w:tc>
      </w:tr>
      <w:tr>
        <w:trPr>
          <w:trHeight w:val="68"/>
        </w:trPr>
        <w:tc>
          <w:tcPr>
            <w:tcW w:w="1760" w:type="dxa"/>
            <w:vAlign w:val="bottom"/>
          </w:tcPr>
          <w:p>
            <w:pPr>
              <w:spacing w:after="0"/>
              <w:rPr>
                <w:sz w:val="5"/>
                <w:szCs w:val="5"/>
                <w:color w:val="auto"/>
              </w:rPr>
            </w:pPr>
          </w:p>
        </w:tc>
        <w:tc>
          <w:tcPr>
            <w:tcW w:w="13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132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r>
      <w:tr>
        <w:trPr>
          <w:trHeight w:val="358"/>
        </w:trPr>
        <w:tc>
          <w:tcPr>
            <w:tcW w:w="1760" w:type="dxa"/>
            <w:vAlign w:val="bottom"/>
          </w:tcPr>
          <w:p>
            <w:pPr>
              <w:spacing w:after="0"/>
              <w:rPr>
                <w:sz w:val="24"/>
                <w:szCs w:val="24"/>
                <w:color w:val="auto"/>
              </w:rPr>
            </w:pPr>
          </w:p>
        </w:tc>
        <w:tc>
          <w:tcPr>
            <w:tcW w:w="1320" w:type="dxa"/>
            <w:vAlign w:val="bottom"/>
          </w:tcPr>
          <w:p>
            <w:pPr>
              <w:ind w:left="440"/>
              <w:spacing w:after="0"/>
              <w:rPr>
                <w:sz w:val="20"/>
                <w:szCs w:val="20"/>
                <w:color w:val="auto"/>
              </w:rPr>
            </w:pPr>
            <w:r>
              <w:rPr>
                <w:rFonts w:ascii="Arial" w:cs="Arial" w:eastAsia="Arial" w:hAnsi="Arial"/>
                <w:sz w:val="18"/>
                <w:szCs w:val="18"/>
                <w:b w:val="1"/>
                <w:bCs w:val="1"/>
                <w:color w:val="auto"/>
              </w:rPr>
              <w:t>F (df)</w:t>
            </w:r>
          </w:p>
        </w:tc>
        <w:tc>
          <w:tcPr>
            <w:tcW w:w="660" w:type="dxa"/>
            <w:vAlign w:val="bottom"/>
          </w:tcPr>
          <w:p>
            <w:pPr>
              <w:ind w:left="120"/>
              <w:spacing w:after="0"/>
              <w:rPr>
                <w:sz w:val="20"/>
                <w:szCs w:val="20"/>
                <w:color w:val="auto"/>
              </w:rPr>
            </w:pPr>
            <w:r>
              <w:rPr>
                <w:rFonts w:ascii="Arial" w:cs="Arial" w:eastAsia="Arial" w:hAnsi="Arial"/>
                <w:sz w:val="18"/>
                <w:szCs w:val="18"/>
                <w:b w:val="1"/>
                <w:bCs w:val="1"/>
                <w:color w:val="auto"/>
              </w:rPr>
              <w:t>Sig.*</w:t>
            </w:r>
          </w:p>
        </w:tc>
        <w:tc>
          <w:tcPr>
            <w:tcW w:w="540" w:type="dxa"/>
            <w:vAlign w:val="bottom"/>
          </w:tcPr>
          <w:p>
            <w:pPr>
              <w:jc w:val="center"/>
              <w:spacing w:after="0"/>
              <w:rPr>
                <w:sz w:val="20"/>
                <w:szCs w:val="20"/>
                <w:color w:val="auto"/>
              </w:rPr>
            </w:pPr>
            <w:r>
              <w:rPr>
                <w:rFonts w:ascii="Arial" w:cs="Arial" w:eastAsia="Arial" w:hAnsi="Arial"/>
                <w:sz w:val="18"/>
                <w:szCs w:val="18"/>
                <w:b w:val="1"/>
                <w:bCs w:val="1"/>
                <w:color w:val="auto"/>
                <w:w w:val="90"/>
              </w:rPr>
              <w:t>η</w:t>
            </w:r>
            <w:r>
              <w:rPr>
                <w:rFonts w:ascii="Arial" w:cs="Arial" w:eastAsia="Arial" w:hAnsi="Arial"/>
                <w:sz w:val="24"/>
                <w:szCs w:val="24"/>
                <w:b w:val="1"/>
                <w:bCs w:val="1"/>
                <w:color w:val="auto"/>
                <w:w w:val="90"/>
                <w:vertAlign w:val="superscript"/>
              </w:rPr>
              <w:t>2</w:t>
            </w:r>
          </w:p>
        </w:tc>
        <w:tc>
          <w:tcPr>
            <w:tcW w:w="1020" w:type="dxa"/>
            <w:vAlign w:val="bottom"/>
          </w:tcPr>
          <w:p>
            <w:pPr>
              <w:ind w:left="280"/>
              <w:spacing w:after="0"/>
              <w:rPr>
                <w:sz w:val="20"/>
                <w:szCs w:val="20"/>
                <w:color w:val="auto"/>
              </w:rPr>
            </w:pPr>
            <w:r>
              <w:rPr>
                <w:rFonts w:ascii="Arial" w:cs="Arial" w:eastAsia="Arial" w:hAnsi="Arial"/>
                <w:sz w:val="18"/>
                <w:szCs w:val="18"/>
                <w:b w:val="1"/>
                <w:bCs w:val="1"/>
                <w:color w:val="auto"/>
              </w:rPr>
              <w:t>F (df)</w:t>
            </w: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99"/>
              </w:rPr>
              <w:t>Sig.*</w:t>
            </w:r>
          </w:p>
        </w:tc>
        <w:tc>
          <w:tcPr>
            <w:tcW w:w="580" w:type="dxa"/>
            <w:vAlign w:val="bottom"/>
          </w:tcPr>
          <w:p>
            <w:pPr>
              <w:jc w:val="center"/>
              <w:spacing w:after="0"/>
              <w:rPr>
                <w:sz w:val="20"/>
                <w:szCs w:val="20"/>
                <w:color w:val="auto"/>
              </w:rPr>
            </w:pPr>
            <w:r>
              <w:rPr>
                <w:rFonts w:ascii="Arial" w:cs="Arial" w:eastAsia="Arial" w:hAnsi="Arial"/>
                <w:sz w:val="18"/>
                <w:szCs w:val="18"/>
                <w:b w:val="1"/>
                <w:bCs w:val="1"/>
                <w:color w:val="auto"/>
                <w:w w:val="90"/>
              </w:rPr>
              <w:t>η</w:t>
            </w:r>
            <w:r>
              <w:rPr>
                <w:rFonts w:ascii="Arial" w:cs="Arial" w:eastAsia="Arial" w:hAnsi="Arial"/>
                <w:sz w:val="24"/>
                <w:szCs w:val="24"/>
                <w:b w:val="1"/>
                <w:bCs w:val="1"/>
                <w:color w:val="auto"/>
                <w:w w:val="90"/>
                <w:vertAlign w:val="superscript"/>
              </w:rPr>
              <w:t>2</w:t>
            </w:r>
          </w:p>
        </w:tc>
        <w:tc>
          <w:tcPr>
            <w:tcW w:w="1320" w:type="dxa"/>
            <w:vAlign w:val="bottom"/>
          </w:tcPr>
          <w:p>
            <w:pPr>
              <w:ind w:left="420"/>
              <w:spacing w:after="0"/>
              <w:rPr>
                <w:sz w:val="20"/>
                <w:szCs w:val="20"/>
                <w:color w:val="auto"/>
              </w:rPr>
            </w:pPr>
            <w:r>
              <w:rPr>
                <w:rFonts w:ascii="Arial" w:cs="Arial" w:eastAsia="Arial" w:hAnsi="Arial"/>
                <w:sz w:val="18"/>
                <w:szCs w:val="18"/>
                <w:b w:val="1"/>
                <w:bCs w:val="1"/>
                <w:color w:val="auto"/>
              </w:rPr>
              <w:t>F (df)</w:t>
            </w:r>
          </w:p>
        </w:tc>
        <w:tc>
          <w:tcPr>
            <w:tcW w:w="700" w:type="dxa"/>
            <w:vAlign w:val="bottom"/>
          </w:tcPr>
          <w:p>
            <w:pPr>
              <w:ind w:left="140"/>
              <w:spacing w:after="0"/>
              <w:rPr>
                <w:sz w:val="20"/>
                <w:szCs w:val="20"/>
                <w:color w:val="auto"/>
              </w:rPr>
            </w:pPr>
            <w:r>
              <w:rPr>
                <w:rFonts w:ascii="Arial" w:cs="Arial" w:eastAsia="Arial" w:hAnsi="Arial"/>
                <w:sz w:val="18"/>
                <w:szCs w:val="18"/>
                <w:b w:val="1"/>
                <w:bCs w:val="1"/>
                <w:color w:val="auto"/>
              </w:rPr>
              <w:t>Sig.*</w:t>
            </w: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80"/>
              </w:rPr>
              <w:t>η</w:t>
            </w:r>
            <w:r>
              <w:rPr>
                <w:rFonts w:ascii="Arial" w:cs="Arial" w:eastAsia="Arial" w:hAnsi="Arial"/>
                <w:sz w:val="24"/>
                <w:szCs w:val="24"/>
                <w:b w:val="1"/>
                <w:bCs w:val="1"/>
                <w:color w:val="auto"/>
                <w:w w:val="80"/>
                <w:vertAlign w:val="superscript"/>
              </w:rPr>
              <w:t>2</w:t>
            </w:r>
          </w:p>
        </w:tc>
      </w:tr>
      <w:tr>
        <w:trPr>
          <w:trHeight w:val="76"/>
        </w:trPr>
        <w:tc>
          <w:tcPr>
            <w:tcW w:w="1760" w:type="dxa"/>
            <w:vAlign w:val="bottom"/>
            <w:tcBorders>
              <w:bottom w:val="single" w:sz="8" w:color="auto"/>
            </w:tcBorders>
          </w:tcPr>
          <w:p>
            <w:pPr>
              <w:spacing w:after="0"/>
              <w:rPr>
                <w:sz w:val="6"/>
                <w:szCs w:val="6"/>
                <w:color w:val="auto"/>
              </w:rPr>
            </w:pPr>
          </w:p>
        </w:tc>
        <w:tc>
          <w:tcPr>
            <w:tcW w:w="1320" w:type="dxa"/>
            <w:vAlign w:val="bottom"/>
            <w:tcBorders>
              <w:bottom w:val="single" w:sz="8" w:color="auto"/>
            </w:tcBorders>
          </w:tcPr>
          <w:p>
            <w:pPr>
              <w:spacing w:after="0"/>
              <w:rPr>
                <w:sz w:val="6"/>
                <w:szCs w:val="6"/>
                <w:color w:val="auto"/>
              </w:rPr>
            </w:pPr>
          </w:p>
        </w:tc>
        <w:tc>
          <w:tcPr>
            <w:tcW w:w="66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c>
          <w:tcPr>
            <w:tcW w:w="102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1320" w:type="dxa"/>
            <w:vAlign w:val="bottom"/>
            <w:tcBorders>
              <w:bottom w:val="single" w:sz="8" w:color="auto"/>
            </w:tcBorders>
          </w:tcPr>
          <w:p>
            <w:pPr>
              <w:spacing w:after="0"/>
              <w:rPr>
                <w:sz w:val="6"/>
                <w:szCs w:val="6"/>
                <w:color w:val="auto"/>
              </w:rPr>
            </w:pPr>
          </w:p>
        </w:tc>
        <w:tc>
          <w:tcPr>
            <w:tcW w:w="700" w:type="dxa"/>
            <w:vAlign w:val="bottom"/>
            <w:tcBorders>
              <w:bottom w:val="single" w:sz="8" w:color="auto"/>
            </w:tcBorders>
          </w:tcPr>
          <w:p>
            <w:pPr>
              <w:spacing w:after="0"/>
              <w:rPr>
                <w:sz w:val="6"/>
                <w:szCs w:val="6"/>
                <w:color w:val="auto"/>
              </w:rPr>
            </w:pPr>
          </w:p>
        </w:tc>
        <w:tc>
          <w:tcPr>
            <w:tcW w:w="640" w:type="dxa"/>
            <w:vAlign w:val="bottom"/>
            <w:tcBorders>
              <w:bottom w:val="single" w:sz="8" w:color="auto"/>
            </w:tcBorders>
          </w:tcPr>
          <w:p>
            <w:pPr>
              <w:spacing w:after="0"/>
              <w:rPr>
                <w:sz w:val="6"/>
                <w:szCs w:val="6"/>
                <w:color w:val="auto"/>
              </w:rPr>
            </w:pPr>
          </w:p>
        </w:tc>
      </w:tr>
      <w:tr>
        <w:trPr>
          <w:trHeight w:val="202"/>
        </w:trPr>
        <w:tc>
          <w:tcPr>
            <w:tcW w:w="1760" w:type="dxa"/>
            <w:vAlign w:val="bottom"/>
          </w:tcPr>
          <w:p>
            <w:pPr>
              <w:ind w:left="100"/>
              <w:spacing w:after="0"/>
              <w:rPr>
                <w:sz w:val="20"/>
                <w:szCs w:val="20"/>
                <w:color w:val="auto"/>
              </w:rPr>
            </w:pPr>
            <w:r>
              <w:rPr>
                <w:rFonts w:ascii="Arial" w:cs="Arial" w:eastAsia="Arial" w:hAnsi="Arial"/>
                <w:sz w:val="14"/>
                <w:szCs w:val="14"/>
                <w:color w:val="auto"/>
              </w:rPr>
              <w:t>Epworth Sleepiness</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F(1.5,28.1) = 27.28</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0.603</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3.47</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0.07</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0.162</w:t>
            </w:r>
          </w:p>
        </w:tc>
        <w:tc>
          <w:tcPr>
            <w:tcW w:w="1320" w:type="dxa"/>
            <w:vAlign w:val="bottom"/>
          </w:tcPr>
          <w:p>
            <w:pPr>
              <w:jc w:val="center"/>
              <w:spacing w:after="0"/>
              <w:rPr>
                <w:sz w:val="20"/>
                <w:szCs w:val="20"/>
                <w:color w:val="auto"/>
              </w:rPr>
            </w:pPr>
            <w:r>
              <w:rPr>
                <w:rFonts w:ascii="Arial" w:cs="Arial" w:eastAsia="Arial" w:hAnsi="Arial"/>
                <w:sz w:val="14"/>
                <w:szCs w:val="14"/>
                <w:color w:val="auto"/>
                <w:w w:val="92"/>
              </w:rPr>
              <w:t>F(1.5,28.1) = 19.99</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3"/>
              </w:rPr>
              <w:t>&lt; 0.001</w:t>
            </w:r>
          </w:p>
        </w:tc>
        <w:tc>
          <w:tcPr>
            <w:tcW w:w="640" w:type="dxa"/>
            <w:vAlign w:val="bottom"/>
          </w:tcPr>
          <w:p>
            <w:pPr>
              <w:jc w:val="center"/>
              <w:spacing w:after="0"/>
              <w:rPr>
                <w:sz w:val="20"/>
                <w:szCs w:val="20"/>
                <w:color w:val="auto"/>
              </w:rPr>
            </w:pPr>
            <w:r>
              <w:rPr>
                <w:rFonts w:ascii="Arial" w:cs="Arial" w:eastAsia="Arial" w:hAnsi="Arial"/>
                <w:sz w:val="14"/>
                <w:szCs w:val="14"/>
                <w:color w:val="auto"/>
              </w:rPr>
              <w:t>0.526</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Hamilton</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F(3,54) = 40.3</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0.691</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0.00</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0.99</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0.000</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F(3,54) = 50.81</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3"/>
              </w:rPr>
              <w:t>&lt; 0.001</w:t>
            </w:r>
          </w:p>
        </w:tc>
        <w:tc>
          <w:tcPr>
            <w:tcW w:w="640" w:type="dxa"/>
            <w:vAlign w:val="bottom"/>
          </w:tcPr>
          <w:p>
            <w:pPr>
              <w:jc w:val="center"/>
              <w:spacing w:after="0"/>
              <w:rPr>
                <w:sz w:val="20"/>
                <w:szCs w:val="20"/>
                <w:color w:val="auto"/>
              </w:rPr>
            </w:pPr>
            <w:r>
              <w:rPr>
                <w:rFonts w:ascii="Arial" w:cs="Arial" w:eastAsia="Arial" w:hAnsi="Arial"/>
                <w:sz w:val="14"/>
                <w:szCs w:val="14"/>
                <w:color w:val="auto"/>
              </w:rPr>
              <w:t>0.738</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Schwab and England</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F(2.1,38.7) = 21</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0.538</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0.55</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0.81</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0.003</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F(2.1,38.7) = 4.55</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0.202</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UPDRS1</w:t>
            </w:r>
          </w:p>
        </w:tc>
        <w:tc>
          <w:tcPr>
            <w:tcW w:w="1320" w:type="dxa"/>
            <w:vAlign w:val="bottom"/>
          </w:tcPr>
          <w:p>
            <w:pPr>
              <w:jc w:val="center"/>
              <w:spacing w:after="0"/>
              <w:rPr>
                <w:sz w:val="20"/>
                <w:szCs w:val="20"/>
                <w:color w:val="auto"/>
              </w:rPr>
            </w:pPr>
            <w:r>
              <w:rPr>
                <w:rFonts w:ascii="Arial" w:cs="Arial" w:eastAsia="Arial" w:hAnsi="Arial"/>
                <w:sz w:val="14"/>
                <w:szCs w:val="14"/>
                <w:color w:val="auto"/>
                <w:w w:val="89"/>
              </w:rPr>
              <w:t>F(1.9,35.9) = 2.62</w:t>
            </w:r>
          </w:p>
        </w:tc>
        <w:tc>
          <w:tcPr>
            <w:tcW w:w="660" w:type="dxa"/>
            <w:vAlign w:val="bottom"/>
          </w:tcPr>
          <w:p>
            <w:pPr>
              <w:jc w:val="center"/>
              <w:spacing w:after="0"/>
              <w:rPr>
                <w:sz w:val="20"/>
                <w:szCs w:val="20"/>
                <w:color w:val="auto"/>
              </w:rPr>
            </w:pPr>
            <w:r>
              <w:rPr>
                <w:rFonts w:ascii="Arial" w:cs="Arial" w:eastAsia="Arial" w:hAnsi="Arial"/>
                <w:sz w:val="14"/>
                <w:szCs w:val="14"/>
                <w:color w:val="auto"/>
                <w:w w:val="96"/>
              </w:rPr>
              <w:t>= 0.09</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0.127</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5.15</w:t>
            </w:r>
          </w:p>
        </w:tc>
        <w:tc>
          <w:tcPr>
            <w:tcW w:w="64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0.222</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F(1.9,35.9) = 3.97</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0.181</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UPDRS2</w:t>
            </w:r>
          </w:p>
        </w:tc>
        <w:tc>
          <w:tcPr>
            <w:tcW w:w="1320" w:type="dxa"/>
            <w:vAlign w:val="bottom"/>
          </w:tcPr>
          <w:p>
            <w:pPr>
              <w:jc w:val="center"/>
              <w:spacing w:after="0"/>
              <w:rPr>
                <w:sz w:val="20"/>
                <w:szCs w:val="20"/>
                <w:color w:val="auto"/>
              </w:rPr>
            </w:pPr>
            <w:r>
              <w:rPr>
                <w:rFonts w:ascii="Arial" w:cs="Arial" w:eastAsia="Arial" w:hAnsi="Arial"/>
                <w:sz w:val="14"/>
                <w:szCs w:val="14"/>
                <w:color w:val="auto"/>
                <w:w w:val="89"/>
              </w:rPr>
              <w:t>F(2.1,37.1) = 3.35</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96"/>
              </w:rPr>
              <w:t>&lt; 0.05</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0.157</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0.32</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0.57</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0.018</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F(2.1,37.1) = 1.28</w:t>
            </w:r>
          </w:p>
        </w:tc>
        <w:tc>
          <w:tcPr>
            <w:tcW w:w="700" w:type="dxa"/>
            <w:vAlign w:val="bottom"/>
          </w:tcPr>
          <w:p>
            <w:pPr>
              <w:jc w:val="center"/>
              <w:spacing w:after="0"/>
              <w:rPr>
                <w:sz w:val="20"/>
                <w:szCs w:val="20"/>
                <w:color w:val="auto"/>
              </w:rPr>
            </w:pPr>
            <w:r>
              <w:rPr>
                <w:rFonts w:ascii="Arial" w:cs="Arial" w:eastAsia="Arial" w:hAnsi="Arial"/>
                <w:sz w:val="14"/>
                <w:szCs w:val="14"/>
                <w:color w:val="auto"/>
                <w:w w:val="91"/>
              </w:rPr>
              <w:t>= 0.29</w:t>
            </w:r>
          </w:p>
        </w:tc>
        <w:tc>
          <w:tcPr>
            <w:tcW w:w="640" w:type="dxa"/>
            <w:vAlign w:val="bottom"/>
          </w:tcPr>
          <w:p>
            <w:pPr>
              <w:jc w:val="center"/>
              <w:spacing w:after="0"/>
              <w:rPr>
                <w:sz w:val="20"/>
                <w:szCs w:val="20"/>
                <w:color w:val="auto"/>
              </w:rPr>
            </w:pPr>
            <w:r>
              <w:rPr>
                <w:rFonts w:ascii="Arial" w:cs="Arial" w:eastAsia="Arial" w:hAnsi="Arial"/>
                <w:sz w:val="14"/>
                <w:szCs w:val="14"/>
                <w:color w:val="auto"/>
              </w:rPr>
              <w:t>0.067</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UPDRS3</w:t>
            </w:r>
          </w:p>
        </w:tc>
        <w:tc>
          <w:tcPr>
            <w:tcW w:w="1320" w:type="dxa"/>
            <w:vAlign w:val="bottom"/>
          </w:tcPr>
          <w:p>
            <w:pPr>
              <w:jc w:val="center"/>
              <w:spacing w:after="0"/>
              <w:rPr>
                <w:sz w:val="20"/>
                <w:szCs w:val="20"/>
                <w:color w:val="auto"/>
              </w:rPr>
            </w:pPr>
            <w:r>
              <w:rPr>
                <w:rFonts w:ascii="Arial" w:cs="Arial" w:eastAsia="Arial" w:hAnsi="Arial"/>
                <w:sz w:val="14"/>
                <w:szCs w:val="14"/>
                <w:color w:val="auto"/>
                <w:w w:val="89"/>
              </w:rPr>
              <w:t>F(1.8,33.3) = 8.24</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96"/>
              </w:rPr>
              <w:t>&lt; 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0.314</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0.00</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0.95</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0.000</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F(1.8,33.3) = 3.62</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0.168</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UPDRS4</w:t>
            </w:r>
          </w:p>
        </w:tc>
        <w:tc>
          <w:tcPr>
            <w:tcW w:w="1320" w:type="dxa"/>
            <w:vAlign w:val="bottom"/>
          </w:tcPr>
          <w:p>
            <w:pPr>
              <w:jc w:val="center"/>
              <w:spacing w:after="0"/>
              <w:rPr>
                <w:sz w:val="20"/>
                <w:szCs w:val="20"/>
                <w:color w:val="auto"/>
              </w:rPr>
            </w:pPr>
            <w:r>
              <w:rPr>
                <w:rFonts w:ascii="Arial" w:cs="Arial" w:eastAsia="Arial" w:hAnsi="Arial"/>
                <w:sz w:val="14"/>
                <w:szCs w:val="14"/>
                <w:color w:val="auto"/>
                <w:w w:val="89"/>
              </w:rPr>
              <w:t>F(1.4,25.2) = 0.11</w:t>
            </w:r>
          </w:p>
        </w:tc>
        <w:tc>
          <w:tcPr>
            <w:tcW w:w="660" w:type="dxa"/>
            <w:vAlign w:val="bottom"/>
          </w:tcPr>
          <w:p>
            <w:pPr>
              <w:jc w:val="center"/>
              <w:spacing w:after="0"/>
              <w:rPr>
                <w:sz w:val="20"/>
                <w:szCs w:val="20"/>
                <w:color w:val="auto"/>
              </w:rPr>
            </w:pPr>
            <w:r>
              <w:rPr>
                <w:rFonts w:ascii="Arial" w:cs="Arial" w:eastAsia="Arial" w:hAnsi="Arial"/>
                <w:sz w:val="14"/>
                <w:szCs w:val="14"/>
                <w:color w:val="auto"/>
                <w:w w:val="96"/>
              </w:rPr>
              <w:t>= 0.82</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0.006</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0.07</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0.78</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0.004</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F(1.4,25.2) = 3.88</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0.177</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Mobility**</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F(1.3,24.6) = 11.77</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0.395</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0.02</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0.96</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0.000</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F(1.3,24.6) = 2.07</w:t>
            </w:r>
          </w:p>
        </w:tc>
        <w:tc>
          <w:tcPr>
            <w:tcW w:w="700" w:type="dxa"/>
            <w:vAlign w:val="bottom"/>
          </w:tcPr>
          <w:p>
            <w:pPr>
              <w:jc w:val="center"/>
              <w:spacing w:after="0"/>
              <w:rPr>
                <w:sz w:val="20"/>
                <w:szCs w:val="20"/>
                <w:color w:val="auto"/>
              </w:rPr>
            </w:pPr>
            <w:r>
              <w:rPr>
                <w:rFonts w:ascii="Arial" w:cs="Arial" w:eastAsia="Arial" w:hAnsi="Arial"/>
                <w:sz w:val="14"/>
                <w:szCs w:val="14"/>
                <w:color w:val="auto"/>
                <w:w w:val="91"/>
              </w:rPr>
              <w:t>= 0.15</w:t>
            </w:r>
          </w:p>
        </w:tc>
        <w:tc>
          <w:tcPr>
            <w:tcW w:w="640" w:type="dxa"/>
            <w:vAlign w:val="bottom"/>
          </w:tcPr>
          <w:p>
            <w:pPr>
              <w:jc w:val="center"/>
              <w:spacing w:after="0"/>
              <w:rPr>
                <w:sz w:val="20"/>
                <w:szCs w:val="20"/>
                <w:color w:val="auto"/>
              </w:rPr>
            </w:pPr>
            <w:r>
              <w:rPr>
                <w:rFonts w:ascii="Arial" w:cs="Arial" w:eastAsia="Arial" w:hAnsi="Arial"/>
                <w:sz w:val="14"/>
                <w:szCs w:val="14"/>
                <w:color w:val="auto"/>
              </w:rPr>
              <w:t>0.103</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Activities of daily living**</w:t>
            </w:r>
          </w:p>
        </w:tc>
        <w:tc>
          <w:tcPr>
            <w:tcW w:w="1320" w:type="dxa"/>
            <w:vAlign w:val="bottom"/>
          </w:tcPr>
          <w:p>
            <w:pPr>
              <w:jc w:val="center"/>
              <w:spacing w:after="0"/>
              <w:rPr>
                <w:sz w:val="20"/>
                <w:szCs w:val="20"/>
                <w:color w:val="auto"/>
              </w:rPr>
            </w:pPr>
            <w:r>
              <w:rPr>
                <w:rFonts w:ascii="Arial" w:cs="Arial" w:eastAsia="Arial" w:hAnsi="Arial"/>
                <w:sz w:val="14"/>
                <w:szCs w:val="14"/>
                <w:color w:val="auto"/>
                <w:w w:val="89"/>
              </w:rPr>
              <w:t>F(1.3,23.9) = 8.46</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96"/>
              </w:rPr>
              <w:t>&lt; 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0.320</w:t>
            </w:r>
          </w:p>
        </w:tc>
        <w:tc>
          <w:tcPr>
            <w:tcW w:w="1020" w:type="dxa"/>
            <w:vAlign w:val="bottom"/>
          </w:tcPr>
          <w:p>
            <w:pPr>
              <w:jc w:val="center"/>
              <w:spacing w:after="0"/>
              <w:rPr>
                <w:sz w:val="20"/>
                <w:szCs w:val="20"/>
                <w:color w:val="auto"/>
              </w:rPr>
            </w:pPr>
            <w:r>
              <w:rPr>
                <w:rFonts w:ascii="Arial" w:cs="Arial" w:eastAsia="Arial" w:hAnsi="Arial"/>
                <w:sz w:val="14"/>
                <w:szCs w:val="14"/>
                <w:color w:val="auto"/>
                <w:w w:val="91"/>
              </w:rPr>
              <w:t>F(1,18) = 0.3</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0.58</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0.017</w:t>
            </w:r>
          </w:p>
        </w:tc>
        <w:tc>
          <w:tcPr>
            <w:tcW w:w="1320" w:type="dxa"/>
            <w:vAlign w:val="bottom"/>
          </w:tcPr>
          <w:p>
            <w:pPr>
              <w:jc w:val="center"/>
              <w:spacing w:after="0"/>
              <w:rPr>
                <w:sz w:val="20"/>
                <w:szCs w:val="20"/>
                <w:color w:val="auto"/>
              </w:rPr>
            </w:pPr>
            <w:r>
              <w:rPr>
                <w:rFonts w:ascii="Arial" w:cs="Arial" w:eastAsia="Arial" w:hAnsi="Arial"/>
                <w:sz w:val="14"/>
                <w:szCs w:val="14"/>
                <w:color w:val="auto"/>
                <w:w w:val="91"/>
              </w:rPr>
              <w:t>F(1.3,23.9) = 2.36</w:t>
            </w:r>
          </w:p>
        </w:tc>
        <w:tc>
          <w:tcPr>
            <w:tcW w:w="700" w:type="dxa"/>
            <w:vAlign w:val="bottom"/>
          </w:tcPr>
          <w:p>
            <w:pPr>
              <w:jc w:val="center"/>
              <w:spacing w:after="0"/>
              <w:rPr>
                <w:sz w:val="20"/>
                <w:szCs w:val="20"/>
                <w:color w:val="auto"/>
              </w:rPr>
            </w:pPr>
            <w:r>
              <w:rPr>
                <w:rFonts w:ascii="Arial" w:cs="Arial" w:eastAsia="Arial" w:hAnsi="Arial"/>
                <w:sz w:val="14"/>
                <w:szCs w:val="14"/>
                <w:color w:val="auto"/>
                <w:w w:val="91"/>
              </w:rPr>
              <w:t>= 0.13</w:t>
            </w:r>
          </w:p>
        </w:tc>
        <w:tc>
          <w:tcPr>
            <w:tcW w:w="640" w:type="dxa"/>
            <w:vAlign w:val="bottom"/>
          </w:tcPr>
          <w:p>
            <w:pPr>
              <w:jc w:val="center"/>
              <w:spacing w:after="0"/>
              <w:rPr>
                <w:sz w:val="20"/>
                <w:szCs w:val="20"/>
                <w:color w:val="auto"/>
              </w:rPr>
            </w:pPr>
            <w:r>
              <w:rPr>
                <w:rFonts w:ascii="Arial" w:cs="Arial" w:eastAsia="Arial" w:hAnsi="Arial"/>
                <w:sz w:val="14"/>
                <w:szCs w:val="14"/>
                <w:color w:val="auto"/>
              </w:rPr>
              <w:t>0.116</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Emotional well-being**</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F(1.9,35.7) = 15.48</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0.462</w:t>
            </w:r>
          </w:p>
        </w:tc>
        <w:tc>
          <w:tcPr>
            <w:tcW w:w="1020" w:type="dxa"/>
            <w:vAlign w:val="bottom"/>
          </w:tcPr>
          <w:p>
            <w:pPr>
              <w:jc w:val="center"/>
              <w:spacing w:after="0"/>
              <w:rPr>
                <w:sz w:val="20"/>
                <w:szCs w:val="20"/>
                <w:color w:val="auto"/>
              </w:rPr>
            </w:pPr>
            <w:r>
              <w:rPr>
                <w:rFonts w:ascii="Arial" w:cs="Arial" w:eastAsia="Arial" w:hAnsi="Arial"/>
                <w:sz w:val="14"/>
                <w:szCs w:val="14"/>
                <w:color w:val="auto"/>
                <w:w w:val="91"/>
              </w:rPr>
              <w:t>F(1,18) = 0.6</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0.81</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0.003</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F(1.9,35.7) = 4.3</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0.193</w:t>
            </w:r>
          </w:p>
        </w:tc>
      </w:tr>
      <w:tr>
        <w:trPr>
          <w:trHeight w:val="221"/>
        </w:trPr>
        <w:tc>
          <w:tcPr>
            <w:tcW w:w="1760" w:type="dxa"/>
            <w:vAlign w:val="bottom"/>
          </w:tcPr>
          <w:p>
            <w:pPr>
              <w:ind w:left="100"/>
              <w:spacing w:after="0"/>
              <w:rPr>
                <w:sz w:val="20"/>
                <w:szCs w:val="20"/>
                <w:color w:val="auto"/>
              </w:rPr>
            </w:pPr>
            <w:r>
              <w:rPr>
                <w:rFonts w:ascii="Arial" w:cs="Arial" w:eastAsia="Arial" w:hAnsi="Arial"/>
                <w:sz w:val="14"/>
                <w:szCs w:val="14"/>
                <w:color w:val="auto"/>
              </w:rPr>
              <w:t>Stigma**</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F(3,54) = 3.18</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96"/>
              </w:rPr>
              <w:t>&lt; 0.05</w:t>
            </w:r>
          </w:p>
        </w:tc>
        <w:tc>
          <w:tcPr>
            <w:tcW w:w="540" w:type="dxa"/>
            <w:vAlign w:val="bottom"/>
          </w:tcPr>
          <w:p>
            <w:pPr>
              <w:jc w:val="center"/>
              <w:spacing w:after="0"/>
              <w:rPr>
                <w:sz w:val="20"/>
                <w:szCs w:val="20"/>
                <w:color w:val="auto"/>
              </w:rPr>
            </w:pPr>
            <w:r>
              <w:rPr>
                <w:rFonts w:ascii="Arial" w:cs="Arial" w:eastAsia="Arial" w:hAnsi="Arial"/>
                <w:sz w:val="14"/>
                <w:szCs w:val="14"/>
                <w:color w:val="auto"/>
                <w:w w:val="96"/>
              </w:rPr>
              <w:t>0.150</w:t>
            </w:r>
          </w:p>
        </w:tc>
        <w:tc>
          <w:tcPr>
            <w:tcW w:w="1020" w:type="dxa"/>
            <w:vAlign w:val="bottom"/>
          </w:tcPr>
          <w:p>
            <w:pPr>
              <w:jc w:val="center"/>
              <w:spacing w:after="0"/>
              <w:rPr>
                <w:sz w:val="20"/>
                <w:szCs w:val="20"/>
                <w:color w:val="auto"/>
              </w:rPr>
            </w:pPr>
            <w:r>
              <w:rPr>
                <w:rFonts w:ascii="Arial" w:cs="Arial" w:eastAsia="Arial" w:hAnsi="Arial"/>
                <w:sz w:val="14"/>
                <w:szCs w:val="14"/>
                <w:color w:val="auto"/>
                <w:w w:val="90"/>
              </w:rPr>
              <w:t>F(1,18) = 0.73</w:t>
            </w:r>
          </w:p>
        </w:tc>
        <w:tc>
          <w:tcPr>
            <w:tcW w:w="640" w:type="dxa"/>
            <w:vAlign w:val="bottom"/>
          </w:tcPr>
          <w:p>
            <w:pPr>
              <w:jc w:val="center"/>
              <w:spacing w:after="0"/>
              <w:rPr>
                <w:sz w:val="20"/>
                <w:szCs w:val="20"/>
                <w:color w:val="auto"/>
              </w:rPr>
            </w:pPr>
            <w:r>
              <w:rPr>
                <w:rFonts w:ascii="Arial" w:cs="Arial" w:eastAsia="Arial" w:hAnsi="Arial"/>
                <w:sz w:val="14"/>
                <w:szCs w:val="14"/>
                <w:color w:val="auto"/>
                <w:w w:val="91"/>
              </w:rPr>
              <w:t>= 0.40</w:t>
            </w:r>
          </w:p>
        </w:tc>
        <w:tc>
          <w:tcPr>
            <w:tcW w:w="580" w:type="dxa"/>
            <w:vAlign w:val="bottom"/>
          </w:tcPr>
          <w:p>
            <w:pPr>
              <w:jc w:val="center"/>
              <w:spacing w:after="0"/>
              <w:rPr>
                <w:sz w:val="20"/>
                <w:szCs w:val="20"/>
                <w:color w:val="auto"/>
              </w:rPr>
            </w:pPr>
            <w:r>
              <w:rPr>
                <w:rFonts w:ascii="Arial" w:cs="Arial" w:eastAsia="Arial" w:hAnsi="Arial"/>
                <w:sz w:val="14"/>
                <w:szCs w:val="14"/>
                <w:color w:val="auto"/>
                <w:w w:val="96"/>
              </w:rPr>
              <w:t>0.039</w:t>
            </w:r>
          </w:p>
        </w:tc>
        <w:tc>
          <w:tcPr>
            <w:tcW w:w="1320" w:type="dxa"/>
            <w:vAlign w:val="bottom"/>
          </w:tcPr>
          <w:p>
            <w:pPr>
              <w:jc w:val="center"/>
              <w:spacing w:after="0"/>
              <w:rPr>
                <w:sz w:val="20"/>
                <w:szCs w:val="20"/>
                <w:color w:val="auto"/>
              </w:rPr>
            </w:pPr>
            <w:r>
              <w:rPr>
                <w:rFonts w:ascii="Arial" w:cs="Arial" w:eastAsia="Arial" w:hAnsi="Arial"/>
                <w:sz w:val="14"/>
                <w:szCs w:val="14"/>
                <w:color w:val="auto"/>
                <w:w w:val="90"/>
              </w:rPr>
              <w:t>F(3,54) = 2.76</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1"/>
              </w:rPr>
              <w:t>&lt; 0.05</w:t>
            </w:r>
          </w:p>
        </w:tc>
        <w:tc>
          <w:tcPr>
            <w:tcW w:w="640" w:type="dxa"/>
            <w:vAlign w:val="bottom"/>
          </w:tcPr>
          <w:p>
            <w:pPr>
              <w:jc w:val="center"/>
              <w:spacing w:after="0"/>
              <w:rPr>
                <w:sz w:val="20"/>
                <w:szCs w:val="20"/>
                <w:color w:val="auto"/>
              </w:rPr>
            </w:pPr>
            <w:r>
              <w:rPr>
                <w:rFonts w:ascii="Arial" w:cs="Arial" w:eastAsia="Arial" w:hAnsi="Arial"/>
                <w:sz w:val="14"/>
                <w:szCs w:val="14"/>
                <w:color w:val="auto"/>
              </w:rPr>
              <w:t>0.133</w:t>
            </w:r>
          </w:p>
        </w:tc>
      </w:tr>
    </w:tbl>
    <w:p>
      <w:pPr>
        <w:spacing w:after="0" w:line="200" w:lineRule="exact"/>
        <w:rPr>
          <w:sz w:val="20"/>
          <w:szCs w:val="20"/>
          <w:color w:val="auto"/>
        </w:rPr>
      </w:pPr>
    </w:p>
    <w:p>
      <w:pPr>
        <w:spacing w:after="0" w:line="360"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2308</w:t>
      </w:r>
    </w:p>
    <w:p>
      <w:pPr>
        <w:sectPr>
          <w:pgSz w:w="12240" w:h="15840" w:orient="portrait"/>
          <w:cols w:equalWidth="0" w:num="1">
            <w:col w:w="9360"/>
          </w:cols>
          <w:pgMar w:left="1440" w:top="426" w:right="1440" w:bottom="196" w:gutter="0" w:footer="0" w:header="0"/>
        </w:sectPr>
      </w:pPr>
    </w:p>
    <w:bookmarkStart w:id="8" w:name="page9"/>
    <w:bookmarkEnd w:id="8"/>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ectPr>
          <w:pgSz w:w="12240" w:h="15840" w:orient="portrait"/>
          <w:cols w:equalWidth="0" w:num="1">
            <w:col w:w="9360"/>
          </w:cols>
          <w:pgMar w:left="1440" w:top="426" w:right="1440" w:bottom="19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tbl>
      <w:tblPr>
        <w:tblLayout w:type="fixed"/>
        <w:tblInd w:w="80" w:type="dxa"/>
        <w:tblCellMar>
          <w:top w:w="0" w:type="dxa"/>
          <w:left w:w="0" w:type="dxa"/>
          <w:bottom w:w="0" w:type="dxa"/>
          <w:right w:w="0" w:type="dxa"/>
        </w:tblCellMar>
      </w:tblPr>
      <w:tr>
        <w:trPr>
          <w:trHeight w:val="163"/>
        </w:trPr>
        <w:tc>
          <w:tcPr>
            <w:tcW w:w="1600" w:type="dxa"/>
            <w:vAlign w:val="bottom"/>
          </w:tcPr>
          <w:p>
            <w:pPr>
              <w:ind w:left="120"/>
              <w:spacing w:after="0"/>
              <w:rPr>
                <w:sz w:val="20"/>
                <w:szCs w:val="20"/>
                <w:color w:val="auto"/>
              </w:rPr>
            </w:pPr>
            <w:r>
              <w:rPr>
                <w:rFonts w:ascii="Arial" w:cs="Arial" w:eastAsia="Arial" w:hAnsi="Arial"/>
                <w:sz w:val="14"/>
                <w:szCs w:val="14"/>
                <w:color w:val="auto"/>
              </w:rPr>
              <w:t>Social support**</w:t>
            </w:r>
          </w:p>
        </w:tc>
        <w:tc>
          <w:tcPr>
            <w:tcW w:w="1500" w:type="dxa"/>
            <w:vAlign w:val="bottom"/>
          </w:tcPr>
          <w:p>
            <w:pPr>
              <w:jc w:val="center"/>
              <w:ind w:left="110"/>
              <w:spacing w:after="0"/>
              <w:rPr>
                <w:sz w:val="20"/>
                <w:szCs w:val="20"/>
                <w:color w:val="auto"/>
              </w:rPr>
            </w:pPr>
            <w:r>
              <w:rPr>
                <w:rFonts w:ascii="Arial" w:cs="Arial" w:eastAsia="Arial" w:hAnsi="Arial"/>
                <w:sz w:val="14"/>
                <w:szCs w:val="14"/>
                <w:color w:val="auto"/>
                <w:w w:val="91"/>
              </w:rPr>
              <w:t>F(3,54) = 22.59</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right"/>
              <w:ind w:right="30"/>
              <w:spacing w:after="0"/>
              <w:rPr>
                <w:sz w:val="20"/>
                <w:szCs w:val="20"/>
                <w:color w:val="auto"/>
              </w:rPr>
            </w:pPr>
            <w:r>
              <w:rPr>
                <w:rFonts w:ascii="Arial" w:cs="Arial" w:eastAsia="Arial" w:hAnsi="Arial"/>
                <w:sz w:val="14"/>
                <w:szCs w:val="14"/>
                <w:color w:val="auto"/>
              </w:rPr>
              <w:t>0.557</w:t>
            </w:r>
          </w:p>
        </w:tc>
        <w:tc>
          <w:tcPr>
            <w:tcW w:w="1020" w:type="dxa"/>
            <w:vAlign w:val="bottom"/>
          </w:tcPr>
          <w:p>
            <w:pPr>
              <w:ind w:left="100"/>
              <w:spacing w:after="0"/>
              <w:rPr>
                <w:sz w:val="20"/>
                <w:szCs w:val="20"/>
                <w:color w:val="auto"/>
              </w:rPr>
            </w:pPr>
            <w:r>
              <w:rPr>
                <w:rFonts w:ascii="Arial" w:cs="Arial" w:eastAsia="Arial" w:hAnsi="Arial"/>
                <w:sz w:val="14"/>
                <w:szCs w:val="14"/>
                <w:color w:val="auto"/>
              </w:rPr>
              <w:t>F(1,18) = 4.35</w:t>
            </w:r>
          </w:p>
        </w:tc>
        <w:tc>
          <w:tcPr>
            <w:tcW w:w="660" w:type="dxa"/>
            <w:vAlign w:val="bottom"/>
          </w:tcPr>
          <w:p>
            <w:pPr>
              <w:jc w:val="center"/>
              <w:spacing w:after="0"/>
              <w:rPr>
                <w:sz w:val="20"/>
                <w:szCs w:val="20"/>
                <w:color w:val="auto"/>
              </w:rPr>
            </w:pPr>
            <w:r>
              <w:rPr>
                <w:rFonts w:ascii="Arial" w:cs="Arial" w:eastAsia="Arial" w:hAnsi="Arial"/>
                <w:sz w:val="14"/>
                <w:szCs w:val="14"/>
                <w:color w:val="auto"/>
                <w:w w:val="89"/>
              </w:rPr>
              <w:t>= 0.051</w:t>
            </w:r>
          </w:p>
        </w:tc>
        <w:tc>
          <w:tcPr>
            <w:tcW w:w="560" w:type="dxa"/>
            <w:vAlign w:val="bottom"/>
          </w:tcPr>
          <w:p>
            <w:pPr>
              <w:jc w:val="right"/>
              <w:ind w:right="50"/>
              <w:spacing w:after="0"/>
              <w:rPr>
                <w:sz w:val="20"/>
                <w:szCs w:val="20"/>
                <w:color w:val="auto"/>
              </w:rPr>
            </w:pPr>
            <w:r>
              <w:rPr>
                <w:rFonts w:ascii="Arial" w:cs="Arial" w:eastAsia="Arial" w:hAnsi="Arial"/>
                <w:sz w:val="14"/>
                <w:szCs w:val="14"/>
                <w:color w:val="auto"/>
              </w:rPr>
              <w:t>0.195</w:t>
            </w:r>
          </w:p>
        </w:tc>
        <w:tc>
          <w:tcPr>
            <w:tcW w:w="1300" w:type="dxa"/>
            <w:vAlign w:val="bottom"/>
          </w:tcPr>
          <w:p>
            <w:pPr>
              <w:jc w:val="center"/>
              <w:spacing w:after="0"/>
              <w:rPr>
                <w:sz w:val="20"/>
                <w:szCs w:val="20"/>
                <w:color w:val="auto"/>
              </w:rPr>
            </w:pPr>
            <w:r>
              <w:rPr>
                <w:rFonts w:ascii="Arial" w:cs="Arial" w:eastAsia="Arial" w:hAnsi="Arial"/>
                <w:sz w:val="14"/>
                <w:szCs w:val="14"/>
                <w:color w:val="auto"/>
                <w:w w:val="90"/>
              </w:rPr>
              <w:t>F(3,54) = 6.97</w:t>
            </w:r>
          </w:p>
        </w:tc>
        <w:tc>
          <w:tcPr>
            <w:tcW w:w="700" w:type="dxa"/>
            <w:vAlign w:val="bottom"/>
          </w:tcPr>
          <w:p>
            <w:pPr>
              <w:jc w:val="center"/>
              <w:spacing w:after="0"/>
              <w:rPr>
                <w:sz w:val="20"/>
                <w:szCs w:val="20"/>
                <w:color w:val="auto"/>
              </w:rPr>
            </w:pPr>
            <w:r>
              <w:rPr>
                <w:rFonts w:ascii="Arial" w:cs="Arial" w:eastAsia="Arial" w:hAnsi="Arial"/>
                <w:sz w:val="14"/>
                <w:szCs w:val="14"/>
                <w:b w:val="1"/>
                <w:bCs w:val="1"/>
                <w:color w:val="auto"/>
                <w:w w:val="93"/>
              </w:rPr>
              <w:t>&lt; 0.001</w:t>
            </w:r>
          </w:p>
        </w:tc>
        <w:tc>
          <w:tcPr>
            <w:tcW w:w="660" w:type="dxa"/>
            <w:vAlign w:val="bottom"/>
          </w:tcPr>
          <w:p>
            <w:pPr>
              <w:jc w:val="center"/>
              <w:spacing w:after="0"/>
              <w:rPr>
                <w:sz w:val="20"/>
                <w:szCs w:val="20"/>
                <w:color w:val="auto"/>
              </w:rPr>
            </w:pPr>
            <w:r>
              <w:rPr>
                <w:rFonts w:ascii="Arial" w:cs="Arial" w:eastAsia="Arial" w:hAnsi="Arial"/>
                <w:sz w:val="14"/>
                <w:szCs w:val="14"/>
                <w:color w:val="auto"/>
              </w:rPr>
              <w:t>0.279</w:t>
            </w:r>
          </w:p>
        </w:tc>
      </w:tr>
      <w:tr>
        <w:trPr>
          <w:trHeight w:val="221"/>
        </w:trPr>
        <w:tc>
          <w:tcPr>
            <w:tcW w:w="1600" w:type="dxa"/>
            <w:vAlign w:val="bottom"/>
          </w:tcPr>
          <w:p>
            <w:pPr>
              <w:ind w:left="120"/>
              <w:spacing w:after="0"/>
              <w:rPr>
                <w:sz w:val="20"/>
                <w:szCs w:val="20"/>
                <w:color w:val="auto"/>
              </w:rPr>
            </w:pPr>
            <w:r>
              <w:rPr>
                <w:rFonts w:ascii="Arial" w:cs="Arial" w:eastAsia="Arial" w:hAnsi="Arial"/>
                <w:sz w:val="14"/>
                <w:szCs w:val="14"/>
                <w:color w:val="auto"/>
              </w:rPr>
              <w:t>Cognition**</w:t>
            </w:r>
          </w:p>
        </w:tc>
        <w:tc>
          <w:tcPr>
            <w:tcW w:w="1500" w:type="dxa"/>
            <w:vAlign w:val="bottom"/>
          </w:tcPr>
          <w:p>
            <w:pPr>
              <w:jc w:val="center"/>
              <w:ind w:left="110"/>
              <w:spacing w:after="0"/>
              <w:rPr>
                <w:sz w:val="20"/>
                <w:szCs w:val="20"/>
                <w:color w:val="auto"/>
              </w:rPr>
            </w:pPr>
            <w:r>
              <w:rPr>
                <w:rFonts w:ascii="Arial" w:cs="Arial" w:eastAsia="Arial" w:hAnsi="Arial"/>
                <w:sz w:val="14"/>
                <w:szCs w:val="14"/>
                <w:color w:val="auto"/>
                <w:w w:val="89"/>
              </w:rPr>
              <w:t>F(1.9,35.7) = 9.93</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right"/>
              <w:ind w:right="30"/>
              <w:spacing w:after="0"/>
              <w:rPr>
                <w:sz w:val="20"/>
                <w:szCs w:val="20"/>
                <w:color w:val="auto"/>
              </w:rPr>
            </w:pPr>
            <w:r>
              <w:rPr>
                <w:rFonts w:ascii="Arial" w:cs="Arial" w:eastAsia="Arial" w:hAnsi="Arial"/>
                <w:sz w:val="14"/>
                <w:szCs w:val="14"/>
                <w:color w:val="auto"/>
              </w:rPr>
              <w:t>0.356</w:t>
            </w:r>
          </w:p>
        </w:tc>
        <w:tc>
          <w:tcPr>
            <w:tcW w:w="1020" w:type="dxa"/>
            <w:vAlign w:val="bottom"/>
          </w:tcPr>
          <w:p>
            <w:pPr>
              <w:ind w:left="100"/>
              <w:spacing w:after="0"/>
              <w:rPr>
                <w:sz w:val="20"/>
                <w:szCs w:val="20"/>
                <w:color w:val="auto"/>
              </w:rPr>
            </w:pPr>
            <w:r>
              <w:rPr>
                <w:rFonts w:ascii="Arial" w:cs="Arial" w:eastAsia="Arial" w:hAnsi="Arial"/>
                <w:sz w:val="14"/>
                <w:szCs w:val="14"/>
                <w:color w:val="auto"/>
              </w:rPr>
              <w:t>F(1,18) = 1.40</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 0.25</w:t>
            </w:r>
          </w:p>
        </w:tc>
        <w:tc>
          <w:tcPr>
            <w:tcW w:w="560" w:type="dxa"/>
            <w:vAlign w:val="bottom"/>
          </w:tcPr>
          <w:p>
            <w:pPr>
              <w:jc w:val="right"/>
              <w:ind w:right="50"/>
              <w:spacing w:after="0"/>
              <w:rPr>
                <w:sz w:val="20"/>
                <w:szCs w:val="20"/>
                <w:color w:val="auto"/>
              </w:rPr>
            </w:pPr>
            <w:r>
              <w:rPr>
                <w:rFonts w:ascii="Arial" w:cs="Arial" w:eastAsia="Arial" w:hAnsi="Arial"/>
                <w:sz w:val="14"/>
                <w:szCs w:val="14"/>
                <w:color w:val="auto"/>
              </w:rPr>
              <w:t>0.073</w:t>
            </w:r>
          </w:p>
        </w:tc>
        <w:tc>
          <w:tcPr>
            <w:tcW w:w="1300" w:type="dxa"/>
            <w:vAlign w:val="bottom"/>
          </w:tcPr>
          <w:p>
            <w:pPr>
              <w:jc w:val="center"/>
              <w:spacing w:after="0"/>
              <w:rPr>
                <w:sz w:val="20"/>
                <w:szCs w:val="20"/>
                <w:color w:val="auto"/>
              </w:rPr>
            </w:pPr>
            <w:r>
              <w:rPr>
                <w:rFonts w:ascii="Arial" w:cs="Arial" w:eastAsia="Arial" w:hAnsi="Arial"/>
                <w:sz w:val="14"/>
                <w:szCs w:val="14"/>
                <w:color w:val="auto"/>
                <w:w w:val="91"/>
              </w:rPr>
              <w:t>F(1.9,35.7) = 1.88</w:t>
            </w:r>
          </w:p>
        </w:tc>
        <w:tc>
          <w:tcPr>
            <w:tcW w:w="700" w:type="dxa"/>
            <w:vAlign w:val="bottom"/>
          </w:tcPr>
          <w:p>
            <w:pPr>
              <w:jc w:val="center"/>
              <w:spacing w:after="0"/>
              <w:rPr>
                <w:sz w:val="20"/>
                <w:szCs w:val="20"/>
                <w:color w:val="auto"/>
              </w:rPr>
            </w:pPr>
            <w:r>
              <w:rPr>
                <w:rFonts w:ascii="Arial" w:cs="Arial" w:eastAsia="Arial" w:hAnsi="Arial"/>
                <w:sz w:val="14"/>
                <w:szCs w:val="14"/>
                <w:color w:val="auto"/>
                <w:w w:val="91"/>
              </w:rPr>
              <w:t>= 0.16</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0.095</w:t>
            </w:r>
          </w:p>
        </w:tc>
      </w:tr>
      <w:tr>
        <w:trPr>
          <w:trHeight w:val="221"/>
        </w:trPr>
        <w:tc>
          <w:tcPr>
            <w:tcW w:w="1600" w:type="dxa"/>
            <w:vAlign w:val="bottom"/>
          </w:tcPr>
          <w:p>
            <w:pPr>
              <w:ind w:left="120"/>
              <w:spacing w:after="0"/>
              <w:rPr>
                <w:sz w:val="20"/>
                <w:szCs w:val="20"/>
                <w:color w:val="auto"/>
              </w:rPr>
            </w:pPr>
            <w:r>
              <w:rPr>
                <w:rFonts w:ascii="Arial" w:cs="Arial" w:eastAsia="Arial" w:hAnsi="Arial"/>
                <w:sz w:val="14"/>
                <w:szCs w:val="14"/>
                <w:color w:val="auto"/>
              </w:rPr>
              <w:t>Communication**</w:t>
            </w:r>
          </w:p>
        </w:tc>
        <w:tc>
          <w:tcPr>
            <w:tcW w:w="1500" w:type="dxa"/>
            <w:vAlign w:val="bottom"/>
          </w:tcPr>
          <w:p>
            <w:pPr>
              <w:jc w:val="center"/>
              <w:ind w:left="110"/>
              <w:spacing w:after="0"/>
              <w:rPr>
                <w:sz w:val="20"/>
                <w:szCs w:val="20"/>
                <w:color w:val="auto"/>
              </w:rPr>
            </w:pPr>
            <w:r>
              <w:rPr>
                <w:rFonts w:ascii="Arial" w:cs="Arial" w:eastAsia="Arial" w:hAnsi="Arial"/>
                <w:sz w:val="14"/>
                <w:szCs w:val="14"/>
                <w:color w:val="auto"/>
                <w:w w:val="89"/>
              </w:rPr>
              <w:t>F(1.8,33.3) = 4.46</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96"/>
              </w:rPr>
              <w:t>&lt; 0.05</w:t>
            </w:r>
          </w:p>
        </w:tc>
        <w:tc>
          <w:tcPr>
            <w:tcW w:w="540" w:type="dxa"/>
            <w:vAlign w:val="bottom"/>
          </w:tcPr>
          <w:p>
            <w:pPr>
              <w:jc w:val="right"/>
              <w:ind w:right="30"/>
              <w:spacing w:after="0"/>
              <w:rPr>
                <w:sz w:val="20"/>
                <w:szCs w:val="20"/>
                <w:color w:val="auto"/>
              </w:rPr>
            </w:pPr>
            <w:r>
              <w:rPr>
                <w:rFonts w:ascii="Arial" w:cs="Arial" w:eastAsia="Arial" w:hAnsi="Arial"/>
                <w:sz w:val="14"/>
                <w:szCs w:val="14"/>
                <w:color w:val="auto"/>
              </w:rPr>
              <w:t>0.199</w:t>
            </w:r>
          </w:p>
        </w:tc>
        <w:tc>
          <w:tcPr>
            <w:tcW w:w="1020" w:type="dxa"/>
            <w:vAlign w:val="bottom"/>
          </w:tcPr>
          <w:p>
            <w:pPr>
              <w:ind w:left="100"/>
              <w:spacing w:after="0"/>
              <w:rPr>
                <w:sz w:val="20"/>
                <w:szCs w:val="20"/>
                <w:color w:val="auto"/>
              </w:rPr>
            </w:pPr>
            <w:r>
              <w:rPr>
                <w:rFonts w:ascii="Arial" w:cs="Arial" w:eastAsia="Arial" w:hAnsi="Arial"/>
                <w:sz w:val="14"/>
                <w:szCs w:val="14"/>
                <w:color w:val="auto"/>
              </w:rPr>
              <w:t>F(1,18) = 3.79</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 0.07</w:t>
            </w:r>
          </w:p>
        </w:tc>
        <w:tc>
          <w:tcPr>
            <w:tcW w:w="560" w:type="dxa"/>
            <w:vAlign w:val="bottom"/>
          </w:tcPr>
          <w:p>
            <w:pPr>
              <w:jc w:val="right"/>
              <w:ind w:right="50"/>
              <w:spacing w:after="0"/>
              <w:rPr>
                <w:sz w:val="20"/>
                <w:szCs w:val="20"/>
                <w:color w:val="auto"/>
              </w:rPr>
            </w:pPr>
            <w:r>
              <w:rPr>
                <w:rFonts w:ascii="Arial" w:cs="Arial" w:eastAsia="Arial" w:hAnsi="Arial"/>
                <w:sz w:val="14"/>
                <w:szCs w:val="14"/>
                <w:color w:val="auto"/>
              </w:rPr>
              <w:t>0.174</w:t>
            </w:r>
          </w:p>
        </w:tc>
        <w:tc>
          <w:tcPr>
            <w:tcW w:w="1300" w:type="dxa"/>
            <w:vAlign w:val="bottom"/>
          </w:tcPr>
          <w:p>
            <w:pPr>
              <w:jc w:val="center"/>
              <w:spacing w:after="0"/>
              <w:rPr>
                <w:sz w:val="20"/>
                <w:szCs w:val="20"/>
                <w:color w:val="auto"/>
              </w:rPr>
            </w:pPr>
            <w:r>
              <w:rPr>
                <w:rFonts w:ascii="Arial" w:cs="Arial" w:eastAsia="Arial" w:hAnsi="Arial"/>
                <w:sz w:val="14"/>
                <w:szCs w:val="14"/>
                <w:color w:val="auto"/>
                <w:w w:val="91"/>
              </w:rPr>
              <w:t>F(1.8,33.3) = 2.09</w:t>
            </w:r>
          </w:p>
        </w:tc>
        <w:tc>
          <w:tcPr>
            <w:tcW w:w="700" w:type="dxa"/>
            <w:vAlign w:val="bottom"/>
          </w:tcPr>
          <w:p>
            <w:pPr>
              <w:jc w:val="center"/>
              <w:spacing w:after="0"/>
              <w:rPr>
                <w:sz w:val="20"/>
                <w:szCs w:val="20"/>
                <w:color w:val="auto"/>
              </w:rPr>
            </w:pPr>
            <w:r>
              <w:rPr>
                <w:rFonts w:ascii="Arial" w:cs="Arial" w:eastAsia="Arial" w:hAnsi="Arial"/>
                <w:sz w:val="14"/>
                <w:szCs w:val="14"/>
                <w:color w:val="auto"/>
                <w:w w:val="91"/>
              </w:rPr>
              <w:t>= 0.14</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0.104</w:t>
            </w:r>
          </w:p>
        </w:tc>
      </w:tr>
      <w:tr>
        <w:trPr>
          <w:trHeight w:val="221"/>
        </w:trPr>
        <w:tc>
          <w:tcPr>
            <w:tcW w:w="1600" w:type="dxa"/>
            <w:vAlign w:val="bottom"/>
          </w:tcPr>
          <w:p>
            <w:pPr>
              <w:ind w:left="120"/>
              <w:spacing w:after="0"/>
              <w:rPr>
                <w:sz w:val="20"/>
                <w:szCs w:val="20"/>
                <w:color w:val="auto"/>
              </w:rPr>
            </w:pPr>
            <w:r>
              <w:rPr>
                <w:rFonts w:ascii="Arial" w:cs="Arial" w:eastAsia="Arial" w:hAnsi="Arial"/>
                <w:sz w:val="14"/>
                <w:szCs w:val="14"/>
                <w:color w:val="auto"/>
              </w:rPr>
              <w:t>Bodily discomfort**</w:t>
            </w:r>
          </w:p>
        </w:tc>
        <w:tc>
          <w:tcPr>
            <w:tcW w:w="1500" w:type="dxa"/>
            <w:vAlign w:val="bottom"/>
          </w:tcPr>
          <w:p>
            <w:pPr>
              <w:jc w:val="center"/>
              <w:ind w:left="110"/>
              <w:spacing w:after="0"/>
              <w:rPr>
                <w:sz w:val="20"/>
                <w:szCs w:val="20"/>
                <w:color w:val="auto"/>
              </w:rPr>
            </w:pPr>
            <w:r>
              <w:rPr>
                <w:rFonts w:ascii="Arial" w:cs="Arial" w:eastAsia="Arial" w:hAnsi="Arial"/>
                <w:sz w:val="14"/>
                <w:szCs w:val="14"/>
                <w:color w:val="auto"/>
                <w:w w:val="90"/>
              </w:rPr>
              <w:t>F(1.6,29.6) = 13.73</w:t>
            </w:r>
          </w:p>
        </w:tc>
        <w:tc>
          <w:tcPr>
            <w:tcW w:w="660" w:type="dxa"/>
            <w:vAlign w:val="bottom"/>
          </w:tcPr>
          <w:p>
            <w:pPr>
              <w:jc w:val="center"/>
              <w:spacing w:after="0"/>
              <w:rPr>
                <w:sz w:val="20"/>
                <w:szCs w:val="20"/>
                <w:color w:val="auto"/>
              </w:rPr>
            </w:pPr>
            <w:r>
              <w:rPr>
                <w:rFonts w:ascii="Arial" w:cs="Arial" w:eastAsia="Arial" w:hAnsi="Arial"/>
                <w:sz w:val="14"/>
                <w:szCs w:val="14"/>
                <w:b w:val="1"/>
                <w:bCs w:val="1"/>
                <w:color w:val="auto"/>
                <w:w w:val="89"/>
              </w:rPr>
              <w:t>&lt; 0.001</w:t>
            </w:r>
          </w:p>
        </w:tc>
        <w:tc>
          <w:tcPr>
            <w:tcW w:w="540" w:type="dxa"/>
            <w:vAlign w:val="bottom"/>
          </w:tcPr>
          <w:p>
            <w:pPr>
              <w:jc w:val="right"/>
              <w:ind w:right="30"/>
              <w:spacing w:after="0"/>
              <w:rPr>
                <w:sz w:val="20"/>
                <w:szCs w:val="20"/>
                <w:color w:val="auto"/>
              </w:rPr>
            </w:pPr>
            <w:r>
              <w:rPr>
                <w:rFonts w:ascii="Arial" w:cs="Arial" w:eastAsia="Arial" w:hAnsi="Arial"/>
                <w:sz w:val="14"/>
                <w:szCs w:val="14"/>
                <w:color w:val="auto"/>
              </w:rPr>
              <w:t>0.433</w:t>
            </w:r>
          </w:p>
        </w:tc>
        <w:tc>
          <w:tcPr>
            <w:tcW w:w="1020" w:type="dxa"/>
            <w:vAlign w:val="bottom"/>
          </w:tcPr>
          <w:p>
            <w:pPr>
              <w:ind w:left="100"/>
              <w:spacing w:after="0"/>
              <w:rPr>
                <w:sz w:val="20"/>
                <w:szCs w:val="20"/>
                <w:color w:val="auto"/>
              </w:rPr>
            </w:pPr>
            <w:r>
              <w:rPr>
                <w:rFonts w:ascii="Arial" w:cs="Arial" w:eastAsia="Arial" w:hAnsi="Arial"/>
                <w:sz w:val="14"/>
                <w:szCs w:val="14"/>
                <w:color w:val="auto"/>
              </w:rPr>
              <w:t>F(1,18) = 1.88</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 0.19</w:t>
            </w:r>
          </w:p>
        </w:tc>
        <w:tc>
          <w:tcPr>
            <w:tcW w:w="560" w:type="dxa"/>
            <w:vAlign w:val="bottom"/>
          </w:tcPr>
          <w:p>
            <w:pPr>
              <w:jc w:val="right"/>
              <w:ind w:right="50"/>
              <w:spacing w:after="0"/>
              <w:rPr>
                <w:sz w:val="20"/>
                <w:szCs w:val="20"/>
                <w:color w:val="auto"/>
              </w:rPr>
            </w:pPr>
            <w:r>
              <w:rPr>
                <w:rFonts w:ascii="Arial" w:cs="Arial" w:eastAsia="Arial" w:hAnsi="Arial"/>
                <w:sz w:val="14"/>
                <w:szCs w:val="14"/>
                <w:color w:val="auto"/>
              </w:rPr>
              <w:t>0.095</w:t>
            </w:r>
          </w:p>
        </w:tc>
        <w:tc>
          <w:tcPr>
            <w:tcW w:w="1300" w:type="dxa"/>
            <w:vAlign w:val="bottom"/>
          </w:tcPr>
          <w:p>
            <w:pPr>
              <w:jc w:val="center"/>
              <w:spacing w:after="0"/>
              <w:rPr>
                <w:sz w:val="20"/>
                <w:szCs w:val="20"/>
                <w:color w:val="auto"/>
              </w:rPr>
            </w:pPr>
            <w:r>
              <w:rPr>
                <w:rFonts w:ascii="Arial" w:cs="Arial" w:eastAsia="Arial" w:hAnsi="Arial"/>
                <w:sz w:val="14"/>
                <w:szCs w:val="14"/>
                <w:color w:val="auto"/>
                <w:w w:val="91"/>
              </w:rPr>
              <w:t>F(1.6,29.6) = 3.44</w:t>
            </w:r>
          </w:p>
        </w:tc>
        <w:tc>
          <w:tcPr>
            <w:tcW w:w="700" w:type="dxa"/>
            <w:vAlign w:val="bottom"/>
          </w:tcPr>
          <w:p>
            <w:pPr>
              <w:jc w:val="center"/>
              <w:spacing w:after="0"/>
              <w:rPr>
                <w:sz w:val="20"/>
                <w:szCs w:val="20"/>
                <w:color w:val="auto"/>
              </w:rPr>
            </w:pPr>
            <w:r>
              <w:rPr>
                <w:rFonts w:ascii="Arial" w:cs="Arial" w:eastAsia="Arial" w:hAnsi="Arial"/>
                <w:sz w:val="14"/>
                <w:szCs w:val="14"/>
                <w:color w:val="auto"/>
                <w:w w:val="93"/>
              </w:rPr>
              <w:t>= 0.052</w:t>
            </w:r>
          </w:p>
        </w:tc>
        <w:tc>
          <w:tcPr>
            <w:tcW w:w="660" w:type="dxa"/>
            <w:vAlign w:val="bottom"/>
          </w:tcPr>
          <w:p>
            <w:pPr>
              <w:jc w:val="center"/>
              <w:spacing w:after="0"/>
              <w:rPr>
                <w:sz w:val="20"/>
                <w:szCs w:val="20"/>
                <w:color w:val="auto"/>
              </w:rPr>
            </w:pPr>
            <w:r>
              <w:rPr>
                <w:rFonts w:ascii="Arial" w:cs="Arial" w:eastAsia="Arial" w:hAnsi="Arial"/>
                <w:sz w:val="14"/>
                <w:szCs w:val="14"/>
                <w:color w:val="auto"/>
                <w:w w:val="91"/>
              </w:rPr>
              <w:t>0.162</w:t>
            </w:r>
          </w:p>
        </w:tc>
      </w:tr>
      <w:tr>
        <w:trPr>
          <w:trHeight w:val="63"/>
        </w:trPr>
        <w:tc>
          <w:tcPr>
            <w:tcW w:w="1600" w:type="dxa"/>
            <w:vAlign w:val="bottom"/>
            <w:tcBorders>
              <w:bottom w:val="single" w:sz="8" w:color="auto"/>
            </w:tcBorders>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300" w:type="dxa"/>
            <w:vAlign w:val="bottom"/>
            <w:tcBorders>
              <w:bottom w:val="single" w:sz="8" w:color="auto"/>
            </w:tcBorders>
          </w:tcPr>
          <w:p>
            <w:pPr>
              <w:spacing w:after="0"/>
              <w:rPr>
                <w:sz w:val="5"/>
                <w:szCs w:val="5"/>
                <w:color w:val="auto"/>
              </w:rPr>
            </w:pPr>
          </w:p>
        </w:tc>
        <w:tc>
          <w:tcPr>
            <w:tcW w:w="70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r>
    </w:tbl>
    <w:p>
      <w:pPr>
        <w:spacing w:after="0" w:line="114" w:lineRule="exact"/>
        <w:rPr>
          <w:sz w:val="20"/>
          <w:szCs w:val="20"/>
          <w:color w:val="auto"/>
        </w:rPr>
      </w:pPr>
    </w:p>
    <w:p>
      <w:pPr>
        <w:ind w:left="540" w:hanging="360"/>
        <w:spacing w:after="0"/>
        <w:tabs>
          <w:tab w:leader="none" w:pos="540" w:val="left"/>
        </w:tabs>
        <w:numPr>
          <w:ilvl w:val="0"/>
          <w:numId w:val="7"/>
        </w:numPr>
        <w:rPr>
          <w:rFonts w:ascii="Arial" w:cs="Arial" w:eastAsia="Arial" w:hAnsi="Arial"/>
          <w:sz w:val="16"/>
          <w:szCs w:val="16"/>
          <w:color w:val="auto"/>
        </w:rPr>
      </w:pPr>
      <w:r>
        <w:rPr>
          <w:rFonts w:ascii="Arial" w:cs="Arial" w:eastAsia="Arial" w:hAnsi="Arial"/>
          <w:sz w:val="16"/>
          <w:szCs w:val="16"/>
          <w:i w:val="1"/>
          <w:iCs w:val="1"/>
          <w:color w:val="auto"/>
        </w:rPr>
        <w:t xml:space="preserve">p </w:t>
      </w:r>
      <w:r>
        <w:rPr>
          <w:rFonts w:ascii="Arial" w:cs="Arial" w:eastAsia="Arial" w:hAnsi="Arial"/>
          <w:sz w:val="16"/>
          <w:szCs w:val="16"/>
          <w:color w:val="auto"/>
        </w:rPr>
        <w:t>values.</w:t>
      </w:r>
    </w:p>
    <w:p>
      <w:pPr>
        <w:spacing w:after="0" w:line="120" w:lineRule="exact"/>
        <w:rPr>
          <w:rFonts w:ascii="Arial" w:cs="Arial" w:eastAsia="Arial" w:hAnsi="Arial"/>
          <w:sz w:val="16"/>
          <w:szCs w:val="16"/>
          <w:color w:val="auto"/>
        </w:rPr>
      </w:pPr>
    </w:p>
    <w:p>
      <w:pPr>
        <w:ind w:left="540" w:hanging="360"/>
        <w:spacing w:after="0"/>
        <w:tabs>
          <w:tab w:leader="none" w:pos="540" w:val="left"/>
        </w:tabs>
        <w:numPr>
          <w:ilvl w:val="0"/>
          <w:numId w:val="8"/>
        </w:numPr>
        <w:rPr>
          <w:rFonts w:ascii="Arial" w:cs="Arial" w:eastAsia="Arial" w:hAnsi="Arial"/>
          <w:sz w:val="16"/>
          <w:szCs w:val="16"/>
          <w:color w:val="auto"/>
        </w:rPr>
      </w:pPr>
      <w:r>
        <w:rPr>
          <w:rFonts w:ascii="Arial" w:cs="Arial" w:eastAsia="Arial" w:hAnsi="Arial"/>
          <w:sz w:val="16"/>
          <w:szCs w:val="16"/>
          <w:color w:val="auto"/>
        </w:rPr>
        <w:t>PDQ39 subscales.</w:t>
      </w:r>
    </w:p>
    <w:p>
      <w:pPr>
        <w:spacing w:after="0" w:line="104" w:lineRule="exact"/>
        <w:rPr>
          <w:sz w:val="20"/>
          <w:szCs w:val="20"/>
          <w:color w:val="auto"/>
        </w:rPr>
      </w:pPr>
    </w:p>
    <w:p>
      <w:pPr>
        <w:ind w:left="540" w:right="100" w:hanging="359"/>
        <w:spacing w:after="0" w:line="222" w:lineRule="auto"/>
        <w:rPr>
          <w:sz w:val="20"/>
          <w:szCs w:val="20"/>
          <w:color w:val="auto"/>
        </w:rPr>
      </w:pPr>
      <w:r>
        <w:rPr>
          <w:rFonts w:ascii="Arial" w:cs="Arial" w:eastAsia="Arial" w:hAnsi="Arial"/>
          <w:sz w:val="16"/>
          <w:szCs w:val="16"/>
          <w:color w:val="auto"/>
        </w:rPr>
        <w:t>η</w:t>
      </w:r>
      <w:r>
        <w:rPr>
          <w:rFonts w:ascii="Arial" w:cs="Arial" w:eastAsia="Arial" w:hAnsi="Arial"/>
          <w:sz w:val="20"/>
          <w:szCs w:val="20"/>
          <w:color w:val="auto"/>
          <w:vertAlign w:val="superscript"/>
        </w:rPr>
        <w:t>2</w:t>
      </w:r>
      <w:r>
        <w:rPr>
          <w:rFonts w:ascii="Arial" w:cs="Arial" w:eastAsia="Arial" w:hAnsi="Arial"/>
          <w:sz w:val="16"/>
          <w:szCs w:val="16"/>
          <w:color w:val="auto"/>
        </w:rPr>
        <w:t xml:space="preserve"> </w:t>
      </w:r>
      <w:r>
        <w:rPr>
          <w:rFonts w:ascii="Arial" w:cs="Arial" w:eastAsia="Arial" w:hAnsi="Arial"/>
          <w:sz w:val="16"/>
          <w:szCs w:val="16"/>
          <w:color w:val="auto"/>
        </w:rPr>
        <w:t>represents the partial eta-squared, values higher than 0.14 indicate strong effect sizes; namely, that the F values obtained are</w:t>
      </w:r>
      <w:r>
        <w:rPr>
          <w:rFonts w:ascii="Arial" w:cs="Arial" w:eastAsia="Arial" w:hAnsi="Arial"/>
          <w:sz w:val="16"/>
          <w:szCs w:val="16"/>
          <w:color w:val="auto"/>
        </w:rPr>
        <w:t xml:space="preserve"> </w:t>
      </w:r>
      <w:r>
        <w:rPr>
          <w:rFonts w:ascii="Arial" w:cs="Arial" w:eastAsia="Arial" w:hAnsi="Arial"/>
          <w:sz w:val="16"/>
          <w:szCs w:val="16"/>
          <w:color w:val="auto"/>
        </w:rPr>
        <w:t>unlikely to depend on the sample size (see Materials and Methods).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996950</wp:posOffset>
            </wp:positionH>
            <wp:positionV relativeFrom="paragraph">
              <wp:posOffset>309245</wp:posOffset>
            </wp:positionV>
            <wp:extent cx="3948430" cy="57683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extLst>
                    </a:blip>
                    <a:srcRect/>
                    <a:stretch>
                      <a:fillRect/>
                    </a:stretch>
                  </pic:blipFill>
                  <pic:spPr bwMode="auto">
                    <a:xfrm>
                      <a:off x="0" y="0"/>
                      <a:ext cx="3948430" cy="5768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both"/>
        <w:ind w:left="1580" w:right="1580"/>
        <w:spacing w:after="0" w:line="237" w:lineRule="auto"/>
        <w:rPr>
          <w:sz w:val="20"/>
          <w:szCs w:val="20"/>
          <w:color w:val="auto"/>
        </w:rPr>
      </w:pPr>
      <w:r>
        <w:rPr>
          <w:rFonts w:ascii="Times New Roman" w:cs="Times New Roman" w:eastAsia="Times New Roman" w:hAnsi="Times New Roman"/>
          <w:sz w:val="20"/>
          <w:szCs w:val="20"/>
          <w:b w:val="1"/>
          <w:bCs w:val="1"/>
          <w:color w:val="auto"/>
        </w:rPr>
        <w:t xml:space="preserve">FIGURE 1. </w:t>
      </w:r>
      <w:r>
        <w:rPr>
          <w:rFonts w:ascii="Times New Roman" w:cs="Times New Roman" w:eastAsia="Times New Roman" w:hAnsi="Times New Roman"/>
          <w:sz w:val="20"/>
          <w:szCs w:val="20"/>
          <w:color w:val="auto"/>
        </w:rPr>
        <w:t>Mean scores and standard error of the means at the four time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points in the Epworth Sleepiness Scale (A), Hamilton Depression Rating Scale (B), Schwab and England Scale (C), and in the four subscales of the UPDRS (D). All values are reported as percentage with respect to the</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right"/>
        <w:spacing w:after="0"/>
        <w:rPr>
          <w:sz w:val="20"/>
          <w:szCs w:val="20"/>
          <w:color w:val="auto"/>
        </w:rPr>
      </w:pPr>
      <w:r>
        <w:rPr>
          <w:rFonts w:ascii="Arial" w:cs="Arial" w:eastAsia="Arial" w:hAnsi="Arial"/>
          <w:sz w:val="20"/>
          <w:szCs w:val="20"/>
          <w:b w:val="1"/>
          <w:bCs w:val="1"/>
          <w:color w:val="auto"/>
        </w:rPr>
        <w:t>2309</w:t>
      </w:r>
    </w:p>
    <w:p>
      <w:pPr>
        <w:sectPr>
          <w:pgSz w:w="12240" w:h="15840" w:orient="portrait"/>
          <w:cols w:equalWidth="0" w:num="1">
            <w:col w:w="9360"/>
          </w:cols>
          <w:pgMar w:left="1440" w:top="426" w:right="1440" w:bottom="195" w:gutter="0" w:footer="0" w:header="0"/>
          <w:type w:val="continuous"/>
        </w:sectPr>
      </w:pPr>
    </w:p>
    <w:bookmarkStart w:id="9" w:name="page10"/>
    <w:bookmarkEnd w:id="9"/>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1580" w:right="1580"/>
        <w:spacing w:after="0" w:line="234" w:lineRule="auto"/>
        <w:rPr>
          <w:sz w:val="20"/>
          <w:szCs w:val="20"/>
          <w:color w:val="auto"/>
        </w:rPr>
      </w:pPr>
      <w:r>
        <w:rPr>
          <w:rFonts w:ascii="Times New Roman" w:cs="Times New Roman" w:eastAsia="Times New Roman" w:hAnsi="Times New Roman"/>
          <w:sz w:val="20"/>
          <w:szCs w:val="20"/>
          <w:color w:val="auto"/>
        </w:rPr>
        <w:t>maximum of the scale. Patients were tested in the “ON” state (see Material and Methods for more details).</w:t>
      </w:r>
    </w:p>
    <w:p>
      <w:pPr>
        <w:spacing w:after="0" w:line="200" w:lineRule="exact"/>
        <w:rPr>
          <w:sz w:val="20"/>
          <w:szCs w:val="20"/>
          <w:color w:val="auto"/>
        </w:rPr>
      </w:pPr>
    </w:p>
    <w:p>
      <w:pPr>
        <w:spacing w:after="0" w:line="294"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2"/>
          <w:szCs w:val="22"/>
          <w:color w:val="auto"/>
        </w:rPr>
        <w:t>We found a significant main effect of the factor time in all clinical scales except for UPDRS1 and UPDRS4. This indicates that in the majority of the scales, a significant change occurred at some point during the 3 years of the study. Posthoc pairwise comparisons showed that the mean scores of nonmotor clinical scales tended to change early on; namely, often they were already different after the first year (T0 vs. T1), while the improvement was less fast for UPDRS3, in which the first significant difference could be observed after the second year.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1028700</wp:posOffset>
            </wp:positionH>
            <wp:positionV relativeFrom="paragraph">
              <wp:posOffset>309880</wp:posOffset>
            </wp:positionV>
            <wp:extent cx="3886200" cy="59436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extLst>
                    </a:blip>
                    <a:srcRect/>
                    <a:stretch>
                      <a:fillRect/>
                    </a:stretch>
                  </pic:blipFill>
                  <pic:spPr bwMode="auto">
                    <a:xfrm>
                      <a:off x="0" y="0"/>
                      <a:ext cx="3886200" cy="5943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2310</w:t>
      </w:r>
    </w:p>
    <w:p>
      <w:pPr>
        <w:sectPr>
          <w:pgSz w:w="12240" w:h="15840" w:orient="portrait"/>
          <w:cols w:equalWidth="0" w:num="1">
            <w:col w:w="9360"/>
          </w:cols>
          <w:pgMar w:left="1440" w:top="426" w:right="1440" w:bottom="196" w:gutter="0" w:footer="0" w:header="0"/>
        </w:sectPr>
      </w:pPr>
    </w:p>
    <w:bookmarkStart w:id="10" w:name="page11"/>
    <w:bookmarkEnd w:id="10"/>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ind w:left="1620" w:right="1640"/>
        <w:spacing w:after="0" w:line="237" w:lineRule="auto"/>
        <w:rPr>
          <w:sz w:val="20"/>
          <w:szCs w:val="20"/>
          <w:color w:val="auto"/>
        </w:rPr>
      </w:pPr>
      <w:r>
        <w:rPr>
          <w:rFonts w:ascii="Times New Roman" w:cs="Times New Roman" w:eastAsia="Times New Roman" w:hAnsi="Times New Roman"/>
          <w:sz w:val="20"/>
          <w:szCs w:val="20"/>
          <w:b w:val="1"/>
          <w:bCs w:val="1"/>
          <w:color w:val="auto"/>
        </w:rPr>
        <w:t>FIGURE 2</w:t>
      </w:r>
      <w:r>
        <w:rPr>
          <w:rFonts w:ascii="Times New Roman" w:cs="Times New Roman" w:eastAsia="Times New Roman" w:hAnsi="Times New Roman"/>
          <w:sz w:val="20"/>
          <w:szCs w:val="20"/>
          <w:color w:val="auto"/>
        </w:rPr>
        <w:t>. Mean scores and standard error of the means at the four time</w:t>
      </w:r>
      <w:r>
        <w:rPr>
          <w:rFonts w:ascii="Times New Roman" w:cs="Times New Roman" w:eastAsia="Times New Roman" w:hAnsi="Times New Roman"/>
          <w:sz w:val="20"/>
          <w:szCs w:val="20"/>
          <w:b w:val="1"/>
          <w:bCs w:val="1"/>
          <w:color w:val="auto"/>
        </w:rPr>
        <w:t xml:space="preserve"> </w:t>
      </w:r>
      <w:r>
        <w:rPr>
          <w:rFonts w:ascii="Times New Roman" w:cs="Times New Roman" w:eastAsia="Times New Roman" w:hAnsi="Times New Roman"/>
          <w:sz w:val="20"/>
          <w:szCs w:val="20"/>
          <w:color w:val="auto"/>
        </w:rPr>
        <w:t>points for the theater (gray bars) and control group (black bars) in the eight subscales of the PDQ39. All values are reported as percentage with respect to the maximum of the scale. Patients were tested in the “ON” state (see Material and Methods for more details).</w:t>
      </w:r>
    </w:p>
    <w:p>
      <w:pPr>
        <w:spacing w:after="0" w:line="200" w:lineRule="exact"/>
        <w:rPr>
          <w:sz w:val="20"/>
          <w:szCs w:val="20"/>
          <w:color w:val="auto"/>
        </w:rPr>
      </w:pPr>
    </w:p>
    <w:p>
      <w:pPr>
        <w:spacing w:after="0" w:line="295"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 xml:space="preserve">The factor group was significant only for the UPDRS1 scale. Posthoc pairwise comparisons on the factor group revealed that the mean differences between scores of the control and theater groups became significantly different at T2 and T3 only. This means that at T0 and T1, there was not a significant difference in </w:t>
      </w:r>
      <w:r>
        <w:rPr>
          <w:rFonts w:ascii="Times New Roman" w:cs="Times New Roman" w:eastAsia="Times New Roman" w:hAnsi="Times New Roman"/>
          <w:sz w:val="22"/>
          <w:szCs w:val="22"/>
          <w:color w:val="auto"/>
        </w:rPr>
        <w:t>patients‟ mood and cognition between the two groups.</w:t>
      </w:r>
    </w:p>
    <w:p>
      <w:pPr>
        <w:spacing w:after="0" w:line="14"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2"/>
          <w:szCs w:val="22"/>
          <w:color w:val="auto"/>
        </w:rPr>
        <w:t>Finally a significant interaction was found in the Epworth Sleepiness Scale, Hamilton Depression Rating Scales, Schwab and England Scale, UPDRS1, UPDRS3, and UPDRS4 scales, and for three subscales of PDQ39 (emotional well-being, stigma, and social support). Posthoc pairwise comparisons revealed that (1) PD theater patients showed a significant improvement in most of the nonmotor clinical scales and, to a lesser extent, in the UPDRS3; on the other hand, the scores of the control group remained substantially unchanged; (2) in the theater group, the improvement in nonmotor clinical scales took place faster than those in the motor scale, which became evident only after 2 years.</w:t>
      </w:r>
    </w:p>
    <w:p>
      <w:pPr>
        <w:spacing w:after="0" w:line="7" w:lineRule="exact"/>
        <w:rPr>
          <w:sz w:val="20"/>
          <w:szCs w:val="20"/>
          <w:color w:val="auto"/>
        </w:rPr>
      </w:pPr>
    </w:p>
    <w:p>
      <w:pPr>
        <w:jc w:val="both"/>
        <w:ind w:firstLine="360"/>
        <w:spacing w:after="0" w:line="226" w:lineRule="auto"/>
        <w:rPr>
          <w:sz w:val="20"/>
          <w:szCs w:val="20"/>
          <w:color w:val="auto"/>
        </w:rPr>
      </w:pPr>
      <w:r>
        <w:rPr>
          <w:rFonts w:ascii="Times New Roman" w:cs="Times New Roman" w:eastAsia="Times New Roman" w:hAnsi="Times New Roman"/>
          <w:sz w:val="22"/>
          <w:szCs w:val="22"/>
          <w:color w:val="auto"/>
        </w:rPr>
        <w:t>Remarkably, w</w:t>
      </w:r>
      <w:r>
        <w:rPr>
          <w:rFonts w:ascii="Times New Roman" w:cs="Times New Roman" w:eastAsia="Times New Roman" w:hAnsi="Times New Roman"/>
          <w:sz w:val="22"/>
          <w:szCs w:val="22"/>
          <w:color w:val="auto"/>
        </w:rPr>
        <w:t>ith one only exception, the η</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2"/>
          <w:szCs w:val="22"/>
          <w:color w:val="auto"/>
        </w:rPr>
        <w:t xml:space="preserve"> was always higher than 0.14 when the F values were significant (see Table 6). This finding underlines that in all those instances, there were strong effect sizes; namely, that the F values obtained did not depend on the small sample size.</w:t>
      </w:r>
    </w:p>
    <w:p>
      <w:pPr>
        <w:spacing w:after="0" w:line="13"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2"/>
          <w:szCs w:val="22"/>
          <w:color w:val="auto"/>
        </w:rPr>
        <w:t>To summarize, at T0, the cognitive status of the two groups was homogeneous (at T0 the UPDRS1, the PDQ39 emotional well-being, and the PDQ39 stigma were not significantly different). The only significant difference was related to the feeling of social support; patients of the theater group felt less supported than controls. Nonmotor symptoms of PD patients of the theater group improved over time more consistently than motor symptoms. Of relevance, they showed a very quick improvement in the mood, quality of sleep, and perception of social support (as revealed by the significant improvement of the Hamilton Depression Rating Scale, Epworth Sleepiness Scale, and PDQ39 social support scale scores at T1 with respect to T0). All these parameters further improved at T2. In addition, significant ameliorations of functional independence, emotional well-being, and stigma were assessed at the same time. Finally, at T2, motor symptoms also significantly improved. Thus, our results show that the theater group had a clear improvement over time, while the control group did not display significant improvements during the 3 years with respect to T0.</w:t>
      </w:r>
    </w:p>
    <w:p>
      <w:pPr>
        <w:spacing w:after="0" w:line="200" w:lineRule="exact"/>
        <w:rPr>
          <w:sz w:val="20"/>
          <w:szCs w:val="20"/>
          <w:color w:val="auto"/>
        </w:rPr>
      </w:pPr>
    </w:p>
    <w:p>
      <w:pPr>
        <w:spacing w:after="0" w:line="284"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DISCUSSION</w:t>
      </w:r>
    </w:p>
    <w:p>
      <w:pPr>
        <w:spacing w:after="0" w:line="24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2"/>
          <w:szCs w:val="22"/>
          <w:color w:val="auto"/>
        </w:rPr>
        <w:t>The idea of PD as a pure motor disturbance must be reconsidered. Phenomena like kinesia paradoxica, i.e., the sudden mobility and agility of otherwise akinetic PD patients in situations of great emergency, suggest that the nature of this pathology cannot be motor in a strict sense. In line with this hypothesis, Mazzoni et al.[14] showed that patients can e</w:t>
      </w:r>
      <w:r>
        <w:rPr>
          <w:rFonts w:ascii="Times New Roman" w:cs="Times New Roman" w:eastAsia="Times New Roman" w:hAnsi="Times New Roman"/>
          <w:sz w:val="22"/>
          <w:szCs w:val="22"/>
          <w:color w:val="auto"/>
        </w:rPr>
        <w:t>xhibit “normal” motor behavior even in simple arm</w:t>
      </w:r>
      <w:r>
        <w:rPr>
          <w:rFonts w:ascii="Times New Roman" w:cs="Times New Roman" w:eastAsia="Times New Roman" w:hAnsi="Times New Roman"/>
          <w:sz w:val="22"/>
          <w:szCs w:val="22"/>
          <w:color w:val="auto"/>
        </w:rPr>
        <w:t>-reaching movements, not just in extreme cases. Clinical observations of PD progression also reveal the negative effects of nonmotor symptoms on patient well-being[15</w:t>
      </w:r>
      <w:r>
        <w:rPr>
          <w:rFonts w:ascii="Times New Roman" w:cs="Times New Roman" w:eastAsia="Times New Roman" w:hAnsi="Times New Roman"/>
          <w:sz w:val="22"/>
          <w:szCs w:val="22"/>
          <w:color w:val="auto"/>
        </w:rPr>
        <w:t>]. Often a patient‟s personality traits c</w:t>
      </w:r>
      <w:r>
        <w:rPr>
          <w:rFonts w:ascii="Times New Roman" w:cs="Times New Roman" w:eastAsia="Times New Roman" w:hAnsi="Times New Roman"/>
          <w:sz w:val="22"/>
          <w:szCs w:val="22"/>
          <w:color w:val="auto"/>
        </w:rPr>
        <w:t>hange: calm and quiet people, after developing PD, can start doing things they never did before, such as writing or painting compulsively[16,17]. Patients might even lose the ability to estimate the consequences of their actions correctly, developing compulsive reward-seeking activities (e.g., gambling[18]). About 50% of PD patients suffer from apathy or anhedonia[19], which leads to loss of motivation and ability to plan daily life.</w:t>
      </w:r>
    </w:p>
    <w:p>
      <w:pPr>
        <w:spacing w:after="0" w:line="11"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2"/>
          <w:szCs w:val="22"/>
          <w:color w:val="auto"/>
        </w:rPr>
        <w:t>Despite this evidence, nonmotor features are usually under-recognized and undertreated because attention is paid to motor symptoms that are treated with dopaminergic drugs. This approach can lead to the paradoxical discrepancy between an objectively good control of motor disturbances and an</w:t>
      </w: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2311</w:t>
      </w:r>
    </w:p>
    <w:p>
      <w:pPr>
        <w:sectPr>
          <w:pgSz w:w="12240" w:h="15840" w:orient="portrait"/>
          <w:cols w:equalWidth="0" w:num="1">
            <w:col w:w="9360"/>
          </w:cols>
          <w:pgMar w:left="1440" w:top="426" w:right="1440" w:bottom="196" w:gutter="0" w:footer="0" w:header="0"/>
        </w:sectPr>
      </w:pPr>
    </w:p>
    <w:bookmarkStart w:id="11" w:name="page12"/>
    <w:bookmarkEnd w:id="11"/>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22"/>
          <w:szCs w:val="22"/>
          <w:color w:val="auto"/>
        </w:rPr>
        <w:t>increasingly negative feeling of well-being reported by the patient. Thus, to achieve global improvement in personal well-being, complementary approaches are needed, but only a few have been explored.</w:t>
      </w:r>
    </w:p>
    <w:p>
      <w:pPr>
        <w:spacing w:after="0" w:line="13" w:lineRule="exact"/>
        <w:rPr>
          <w:sz w:val="20"/>
          <w:szCs w:val="20"/>
          <w:color w:val="auto"/>
        </w:rPr>
      </w:pPr>
    </w:p>
    <w:p>
      <w:pPr>
        <w:jc w:val="both"/>
        <w:ind w:firstLine="360"/>
        <w:spacing w:after="0" w:line="238" w:lineRule="auto"/>
        <w:rPr>
          <w:sz w:val="20"/>
          <w:szCs w:val="20"/>
          <w:color w:val="auto"/>
        </w:rPr>
      </w:pPr>
      <w:r>
        <w:rPr>
          <w:rFonts w:ascii="Times New Roman" w:cs="Times New Roman" w:eastAsia="Times New Roman" w:hAnsi="Times New Roman"/>
          <w:sz w:val="22"/>
          <w:szCs w:val="22"/>
          <w:color w:val="auto"/>
        </w:rPr>
        <w:t>Even though physiotherapy has been shown to be effective in improving patients‟ physical performance and QoL[20], benefits are often temporary[7,8]. Occupational therapies, art therapies (such as music[11] and dance[10]), and group psychotherapy[9] have also been shown to produce positive effects on QoL, anxiety, and depression. However, at the moment, it is not possible to formulate recommendations for those approaches because there is too few evidence of positive effects. For instance, Pacchetti et al.[11] showed that active music therapy improves both motor abilities and the emotional status of PD patients; however, improvements tended to disappear within a few months after completion of the therapy.</w:t>
      </w:r>
    </w:p>
    <w:p>
      <w:pPr>
        <w:spacing w:after="0" w:line="16" w:lineRule="exact"/>
        <w:rPr>
          <w:sz w:val="20"/>
          <w:szCs w:val="20"/>
          <w:color w:val="auto"/>
        </w:rPr>
      </w:pPr>
    </w:p>
    <w:p>
      <w:pPr>
        <w:jc w:val="both"/>
        <w:ind w:firstLine="360"/>
        <w:spacing w:after="0" w:line="239" w:lineRule="auto"/>
        <w:rPr>
          <w:sz w:val="20"/>
          <w:szCs w:val="20"/>
          <w:color w:val="auto"/>
        </w:rPr>
      </w:pPr>
      <w:r>
        <w:rPr>
          <w:rFonts w:ascii="Times New Roman" w:cs="Times New Roman" w:eastAsia="Times New Roman" w:hAnsi="Times New Roman"/>
          <w:sz w:val="22"/>
          <w:szCs w:val="22"/>
          <w:color w:val="auto"/>
        </w:rPr>
        <w:t>On the other hand, our study shows for the first time that active theater has positive and stable effects on the cognitive, affective, and motor domains of PD patients, thus improving their overall QoL. The greater impact of our theater training with respect to previously employed complementary therapies could be explained in two ways that are likely to interact with each other. First, our rehabilitation program had a longer duration than previous programs (i.e., the active music therapy of Pacchetti et al.[11] lasted only 3 months). Second, theater requires the development of peculiar abilities. To perform on stage, patients are forced to control their movements, thoughts, and emotions carefully. Furthermore, theater requires a high degree of personal interaction and thus promotes socialization, lessening the feeling of isolation frequently reported by PD patients. Possibly, thanks to all these elements, active theater deeply motivates patients, allowing them to regain self-confidence and to develop higher self-control.</w:t>
      </w: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LIMITATIONS OF THE STUDY</w:t>
      </w:r>
    </w:p>
    <w:p>
      <w:pPr>
        <w:spacing w:after="0" w:line="24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2"/>
          <w:szCs w:val="22"/>
          <w:color w:val="auto"/>
        </w:rPr>
        <w:t>We are aware of methodological limitations of our study and, on this basis, we believe that it has to be considered a pilot study. First of all, the sample is relatively small (but the low number of subjects was needed in order to allow a rigorous intervention on each subject for a long period of time and we controlled that our results did not depend on the small sample size). Second, as stated in the Materials and Methods section, we carried out this experiment only on patients affected by a moderate form of PD (Hoehn &amp; Yahr stage 2–4). The rationale was that since mild PD patients have less motor symptoms, they could fully live the theatrical experience and we thus thought it would be simpler to observe differences with respect to the control group. Currently, we do not know whether the most severe cases of PD could benefit by the theatrical experience. This will be the topic of future researches. Third, we are aware that our theater therapy program might not be easily transferred to different hospitals or clinics.</w:t>
      </w:r>
    </w:p>
    <w:p>
      <w:pPr>
        <w:spacing w:after="0" w:line="11" w:lineRule="exact"/>
        <w:rPr>
          <w:sz w:val="20"/>
          <w:szCs w:val="20"/>
          <w:color w:val="auto"/>
        </w:rPr>
      </w:pPr>
    </w:p>
    <w:p>
      <w:pPr>
        <w:jc w:val="both"/>
        <w:ind w:firstLine="360"/>
        <w:spacing w:after="0" w:line="237" w:lineRule="auto"/>
        <w:rPr>
          <w:sz w:val="20"/>
          <w:szCs w:val="20"/>
          <w:color w:val="auto"/>
        </w:rPr>
      </w:pPr>
      <w:r>
        <w:rPr>
          <w:rFonts w:ascii="Times New Roman" w:cs="Times New Roman" w:eastAsia="Times New Roman" w:hAnsi="Times New Roman"/>
          <w:sz w:val="22"/>
          <w:szCs w:val="22"/>
          <w:color w:val="auto"/>
        </w:rPr>
        <w:t>Nevertheless, this first quantitative demonstration of the efficacy of active theater as a rehabilitative tool for PD could open the doors to other clinical trials and confirm that the use of complementary approaches can bridge the gap between the best effect of the pharmacological therapy and the achievement of a better QoL.</w:t>
      </w: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ACKNOWLEDGMENTS</w:t>
      </w:r>
    </w:p>
    <w:p>
      <w:pPr>
        <w:spacing w:after="0" w:line="249" w:lineRule="exact"/>
        <w:rPr>
          <w:sz w:val="20"/>
          <w:szCs w:val="20"/>
          <w:color w:val="auto"/>
        </w:rPr>
      </w:pPr>
    </w:p>
    <w:p>
      <w:pPr>
        <w:jc w:val="both"/>
        <w:spacing w:after="0" w:line="236" w:lineRule="auto"/>
        <w:rPr>
          <w:rFonts w:ascii="Times New Roman" w:cs="Times New Roman" w:eastAsia="Times New Roman" w:hAnsi="Times New Roman"/>
          <w:sz w:val="22"/>
          <w:szCs w:val="22"/>
          <w:color w:val="auto"/>
        </w:rPr>
      </w:pPr>
      <w:r>
        <w:rPr>
          <w:rFonts w:ascii="Times New Roman" w:cs="Times New Roman" w:eastAsia="Times New Roman" w:hAnsi="Times New Roman"/>
          <w:sz w:val="22"/>
          <w:szCs w:val="22"/>
          <w:color w:val="auto"/>
        </w:rPr>
        <w:t xml:space="preserve">We would like to acknowledge the contribution of the theater therapy company Klesidra for people with neurodegenerative diseases </w:t>
      </w:r>
      <w:hyperlink r:id="rId19">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u w:val="single" w:color="auto"/>
            <w:color w:val="0000FF"/>
          </w:rPr>
          <w:t>http://www.klesidra.org</w:t>
        </w:r>
        <w:r>
          <w:rPr>
            <w:rFonts w:ascii="Times New Roman" w:cs="Times New Roman" w:eastAsia="Times New Roman" w:hAnsi="Times New Roman"/>
            <w:sz w:val="22"/>
            <w:szCs w:val="22"/>
            <w:color w:val="auto"/>
          </w:rPr>
          <w:t>)</w:t>
        </w:r>
      </w:hyperlink>
      <w:r>
        <w:rPr>
          <w:rFonts w:ascii="Times New Roman" w:cs="Times New Roman" w:eastAsia="Times New Roman" w:hAnsi="Times New Roman"/>
          <w:sz w:val="22"/>
          <w:szCs w:val="22"/>
          <w:color w:val="auto"/>
        </w:rPr>
        <w:t>. We are grateful to M. Manfredi, S. Ruggeri, and G. Cantore for support throughout this research.</w:t>
      </w:r>
    </w:p>
    <w:p>
      <w:pPr>
        <w:spacing w:after="0" w:line="12" w:lineRule="exact"/>
        <w:rPr>
          <w:sz w:val="20"/>
          <w:szCs w:val="20"/>
          <w:color w:val="auto"/>
        </w:rPr>
      </w:pPr>
    </w:p>
    <w:p>
      <w:pPr>
        <w:jc w:val="both"/>
        <w:ind w:firstLine="360"/>
        <w:spacing w:after="0" w:line="236" w:lineRule="auto"/>
        <w:rPr>
          <w:sz w:val="20"/>
          <w:szCs w:val="20"/>
          <w:color w:val="auto"/>
        </w:rPr>
      </w:pPr>
      <w:r>
        <w:rPr>
          <w:rFonts w:ascii="Times New Roman" w:cs="Times New Roman" w:eastAsia="Times New Roman" w:hAnsi="Times New Roman"/>
          <w:sz w:val="22"/>
          <w:szCs w:val="22"/>
          <w:color w:val="auto"/>
        </w:rPr>
        <w:t>This research was supported by the Italian Ministry of Work, Health and Social Policies (Bando Giovani Ricercatori 2007) and by the Italian Ministry of University and Research (PRIN n.2008_RBFNLH_005).</w:t>
      </w: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Arial" w:cs="Arial" w:eastAsia="Arial" w:hAnsi="Arial"/>
          <w:sz w:val="24"/>
          <w:szCs w:val="24"/>
          <w:b w:val="1"/>
          <w:bCs w:val="1"/>
          <w:color w:val="auto"/>
        </w:rPr>
        <w:t>REFERENCES</w:t>
      </w:r>
    </w:p>
    <w:p>
      <w:pPr>
        <w:spacing w:after="0" w:line="200" w:lineRule="exact"/>
        <w:rPr>
          <w:sz w:val="20"/>
          <w:szCs w:val="20"/>
          <w:color w:val="auto"/>
        </w:rPr>
      </w:pPr>
    </w:p>
    <w:p>
      <w:pPr>
        <w:spacing w:after="0" w:line="357"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2312</w:t>
      </w:r>
    </w:p>
    <w:p>
      <w:pPr>
        <w:sectPr>
          <w:pgSz w:w="12240" w:h="15840" w:orient="portrait"/>
          <w:cols w:equalWidth="0" w:num="1">
            <w:col w:w="9360"/>
          </w:cols>
          <w:pgMar w:left="1440" w:top="426" w:right="1440" w:bottom="196" w:gutter="0" w:footer="0" w:header="0"/>
        </w:sectPr>
      </w:pPr>
    </w:p>
    <w:bookmarkStart w:id="12" w:name="page13"/>
    <w:bookmarkEnd w:id="12"/>
    <w:p>
      <w:pPr>
        <w:spacing w:after="0"/>
        <w:tabs>
          <w:tab w:leader="none" w:pos="5640" w:val="left"/>
        </w:tabs>
        <w:rPr>
          <w:sz w:val="20"/>
          <w:szCs w:val="20"/>
          <w:color w:val="auto"/>
        </w:rPr>
      </w:pPr>
      <w:r>
        <w:rPr>
          <w:rFonts w:ascii="Arial" w:cs="Arial" w:eastAsia="Arial" w:hAnsi="Arial"/>
          <w:sz w:val="16"/>
          <w:szCs w:val="16"/>
          <w:i w:val="1"/>
          <w:iCs w:val="1"/>
          <w:color w:val="auto"/>
        </w:rPr>
        <w:t>Modugno et al.: Theater, Rehabilitation, and Parkinson’s Disease</w:t>
      </w:r>
      <w:r>
        <w:rPr>
          <w:sz w:val="20"/>
          <w:szCs w:val="20"/>
          <w:color w:val="auto"/>
        </w:rPr>
        <w:tab/>
      </w:r>
      <w:r>
        <w:rPr>
          <w:rFonts w:ascii="Arial" w:cs="Arial" w:eastAsia="Arial" w:hAnsi="Arial"/>
          <w:sz w:val="16"/>
          <w:szCs w:val="16"/>
          <w:i w:val="1"/>
          <w:iCs w:val="1"/>
          <w:color w:val="auto"/>
        </w:rPr>
        <w:t>TheScientificWorldJOURNAL (2010) 10, 2301–2313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820" w:hanging="712"/>
        <w:spacing w:after="0" w:line="234"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Chaudhuri, K.R. and Schapira, A.H. (2009) Non-motor symptoms of Parkinson's disease: dopaminergic pathophysiology and treatment. </w:t>
      </w:r>
      <w:r>
        <w:rPr>
          <w:rFonts w:ascii="Times New Roman" w:cs="Times New Roman" w:eastAsia="Times New Roman" w:hAnsi="Times New Roman"/>
          <w:sz w:val="18"/>
          <w:szCs w:val="18"/>
          <w:i w:val="1"/>
          <w:iCs w:val="1"/>
          <w:color w:val="auto"/>
        </w:rPr>
        <w:t>Lancet Neurol</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8,</w:t>
      </w:r>
      <w:r>
        <w:rPr>
          <w:rFonts w:ascii="Times New Roman" w:cs="Times New Roman" w:eastAsia="Times New Roman" w:hAnsi="Times New Roman"/>
          <w:sz w:val="18"/>
          <w:szCs w:val="18"/>
          <w:color w:val="auto"/>
        </w:rPr>
        <w:t xml:space="preserve"> 464–474.</w:t>
      </w:r>
    </w:p>
    <w:p>
      <w:pPr>
        <w:spacing w:after="0" w:line="9" w:lineRule="exact"/>
        <w:rPr>
          <w:rFonts w:ascii="Times New Roman" w:cs="Times New Roman" w:eastAsia="Times New Roman" w:hAnsi="Times New Roman"/>
          <w:sz w:val="18"/>
          <w:szCs w:val="18"/>
          <w:color w:val="auto"/>
        </w:rPr>
      </w:pPr>
    </w:p>
    <w:p>
      <w:pPr>
        <w:jc w:val="both"/>
        <w:ind w:left="820" w:hanging="712"/>
        <w:spacing w:after="0" w:line="236"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Yarrow, S. (1999) Members' 1998 survey of the Parkinson Disease Society of the United Kingdom. In </w:t>
      </w:r>
      <w:r>
        <w:rPr>
          <w:rFonts w:ascii="Times New Roman" w:cs="Times New Roman" w:eastAsia="Times New Roman" w:hAnsi="Times New Roman"/>
          <w:sz w:val="18"/>
          <w:szCs w:val="18"/>
          <w:i w:val="1"/>
          <w:iCs w:val="1"/>
          <w:color w:val="auto"/>
        </w:rPr>
        <w:t>Parkinson's</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i w:val="1"/>
          <w:iCs w:val="1"/>
          <w:color w:val="auto"/>
        </w:rPr>
        <w:t>Disease: Studies in Psychological and Social Care</w:t>
      </w:r>
      <w:r>
        <w:rPr>
          <w:rFonts w:ascii="Times New Roman" w:cs="Times New Roman" w:eastAsia="Times New Roman" w:hAnsi="Times New Roman"/>
          <w:sz w:val="18"/>
          <w:szCs w:val="18"/>
          <w:color w:val="auto"/>
        </w:rPr>
        <w:t>. Percival, R. and Hobson, P., Eds. BPS Bookx, Leicester. pp. 79–</w:t>
      </w:r>
      <w:r>
        <w:rPr>
          <w:rFonts w:ascii="Times New Roman" w:cs="Times New Roman" w:eastAsia="Times New Roman" w:hAnsi="Times New Roman"/>
          <w:sz w:val="18"/>
          <w:szCs w:val="18"/>
          <w:i w:val="1"/>
          <w:iCs w:val="1"/>
          <w:color w:val="auto"/>
        </w:rPr>
        <w:t xml:space="preserve"> </w:t>
      </w:r>
      <w:r>
        <w:rPr>
          <w:rFonts w:ascii="Times New Roman" w:cs="Times New Roman" w:eastAsia="Times New Roman" w:hAnsi="Times New Roman"/>
          <w:sz w:val="18"/>
          <w:szCs w:val="18"/>
          <w:color w:val="auto"/>
        </w:rPr>
        <w:t>92.</w:t>
      </w:r>
    </w:p>
    <w:p>
      <w:pPr>
        <w:spacing w:after="0" w:line="1" w:lineRule="exact"/>
        <w:rPr>
          <w:rFonts w:ascii="Times New Roman" w:cs="Times New Roman" w:eastAsia="Times New Roman" w:hAnsi="Times New Roman"/>
          <w:sz w:val="18"/>
          <w:szCs w:val="18"/>
          <w:color w:val="auto"/>
        </w:rPr>
      </w:pPr>
    </w:p>
    <w:p>
      <w:pPr>
        <w:ind w:left="820" w:hanging="712"/>
        <w:spacing w:after="0"/>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Bohannon, R.W. (1993) Physical rehabilitation in neurologic diseases. </w:t>
      </w:r>
      <w:r>
        <w:rPr>
          <w:rFonts w:ascii="Times New Roman" w:cs="Times New Roman" w:eastAsia="Times New Roman" w:hAnsi="Times New Roman"/>
          <w:sz w:val="18"/>
          <w:szCs w:val="18"/>
          <w:i w:val="1"/>
          <w:iCs w:val="1"/>
          <w:color w:val="auto"/>
        </w:rPr>
        <w:t>Curr. Opin. Neurol</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6,</w:t>
      </w:r>
      <w:r>
        <w:rPr>
          <w:rFonts w:ascii="Times New Roman" w:cs="Times New Roman" w:eastAsia="Times New Roman" w:hAnsi="Times New Roman"/>
          <w:sz w:val="18"/>
          <w:szCs w:val="18"/>
          <w:color w:val="auto"/>
        </w:rPr>
        <w:t xml:space="preserve"> 765–772.</w:t>
      </w:r>
    </w:p>
    <w:p>
      <w:pPr>
        <w:spacing w:after="0" w:line="8" w:lineRule="exact"/>
        <w:rPr>
          <w:rFonts w:ascii="Times New Roman" w:cs="Times New Roman" w:eastAsia="Times New Roman" w:hAnsi="Times New Roman"/>
          <w:sz w:val="18"/>
          <w:szCs w:val="18"/>
          <w:color w:val="auto"/>
        </w:rPr>
      </w:pPr>
    </w:p>
    <w:p>
      <w:pPr>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Guo, L., Jiang, Y., Yatsuya, H., Yoshida, Y., and Sakamoto, J. (2009) Group education with personal rehabilitation for idiopathic Parkinson's disease. </w:t>
      </w:r>
      <w:r>
        <w:rPr>
          <w:rFonts w:ascii="Times New Roman" w:cs="Times New Roman" w:eastAsia="Times New Roman" w:hAnsi="Times New Roman"/>
          <w:sz w:val="18"/>
          <w:szCs w:val="18"/>
          <w:i w:val="1"/>
          <w:iCs w:val="1"/>
          <w:color w:val="auto"/>
        </w:rPr>
        <w:t>Can. J. Neurol. Sci.</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36,</w:t>
      </w:r>
      <w:r>
        <w:rPr>
          <w:rFonts w:ascii="Times New Roman" w:cs="Times New Roman" w:eastAsia="Times New Roman" w:hAnsi="Times New Roman"/>
          <w:sz w:val="18"/>
          <w:szCs w:val="18"/>
          <w:color w:val="auto"/>
        </w:rPr>
        <w:t xml:space="preserve"> 51–59.</w:t>
      </w:r>
    </w:p>
    <w:p>
      <w:pPr>
        <w:spacing w:after="0" w:line="9" w:lineRule="exact"/>
        <w:rPr>
          <w:rFonts w:ascii="Times New Roman" w:cs="Times New Roman" w:eastAsia="Times New Roman" w:hAnsi="Times New Roman"/>
          <w:sz w:val="18"/>
          <w:szCs w:val="18"/>
          <w:color w:val="auto"/>
        </w:rPr>
      </w:pPr>
    </w:p>
    <w:p>
      <w:pPr>
        <w:jc w:val="both"/>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Tassorelli, C., Buscone, S., Sandrini, G., Pacchetti, C., Furnari, A., Zangaglia, R., Bartolo, M., Nappi, G., and Martignoni, E. (2009) The role of rehabilitation in deep brain stimulation of the subthalamic nucleus for Parkinson's disease: a pilot study. </w:t>
      </w:r>
      <w:r>
        <w:rPr>
          <w:rFonts w:ascii="Times New Roman" w:cs="Times New Roman" w:eastAsia="Times New Roman" w:hAnsi="Times New Roman"/>
          <w:sz w:val="18"/>
          <w:szCs w:val="18"/>
          <w:i w:val="1"/>
          <w:iCs w:val="1"/>
          <w:color w:val="auto"/>
        </w:rPr>
        <w:t>Parkinsonism Relat. Disord.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15(9),</w:t>
      </w:r>
      <w:r>
        <w:rPr>
          <w:rFonts w:ascii="Times New Roman" w:cs="Times New Roman" w:eastAsia="Times New Roman" w:hAnsi="Times New Roman"/>
          <w:sz w:val="18"/>
          <w:szCs w:val="18"/>
          <w:color w:val="auto"/>
        </w:rPr>
        <w:t xml:space="preserve"> 675–681.</w:t>
      </w:r>
    </w:p>
    <w:p>
      <w:pPr>
        <w:spacing w:after="0" w:line="13" w:lineRule="exact"/>
        <w:rPr>
          <w:rFonts w:ascii="Times New Roman" w:cs="Times New Roman" w:eastAsia="Times New Roman" w:hAnsi="Times New Roman"/>
          <w:sz w:val="18"/>
          <w:szCs w:val="18"/>
          <w:color w:val="auto"/>
        </w:rPr>
      </w:pPr>
    </w:p>
    <w:p>
      <w:pPr>
        <w:jc w:val="both"/>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Tickle-Degnen, L., Ellis, T., Saint-Hilaire, M.H., Thomas, C.A., and Wagenaar, R.C. (2010) Self-management rehabilitation and health-related quality of life in Parkinson's disease: a randomized controlled trial. </w:t>
      </w:r>
      <w:r>
        <w:rPr>
          <w:rFonts w:ascii="Times New Roman" w:cs="Times New Roman" w:eastAsia="Times New Roman" w:hAnsi="Times New Roman"/>
          <w:sz w:val="18"/>
          <w:szCs w:val="18"/>
          <w:i w:val="1"/>
          <w:iCs w:val="1"/>
          <w:color w:val="auto"/>
        </w:rPr>
        <w:t>Mov. Disord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25,</w:t>
      </w:r>
      <w:r>
        <w:rPr>
          <w:rFonts w:ascii="Times New Roman" w:cs="Times New Roman" w:eastAsia="Times New Roman" w:hAnsi="Times New Roman"/>
          <w:sz w:val="18"/>
          <w:szCs w:val="18"/>
          <w:color w:val="auto"/>
        </w:rPr>
        <w:t xml:space="preserve"> 194–204.</w:t>
      </w:r>
    </w:p>
    <w:p>
      <w:pPr>
        <w:spacing w:after="0" w:line="11" w:lineRule="exact"/>
        <w:rPr>
          <w:rFonts w:ascii="Times New Roman" w:cs="Times New Roman" w:eastAsia="Times New Roman" w:hAnsi="Times New Roman"/>
          <w:sz w:val="18"/>
          <w:szCs w:val="18"/>
          <w:color w:val="auto"/>
        </w:rPr>
      </w:pPr>
    </w:p>
    <w:p>
      <w:pPr>
        <w:jc w:val="both"/>
        <w:ind w:left="820" w:hanging="712"/>
        <w:spacing w:after="0" w:line="236"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Carne, W., Cifu, D.X., Marcinko, P., Baron, M., Pickett, T., Qutubuddin, A., Calabrese, V., Roberge, P., Holloway, K., and Mutchler, B. (2005) Efficacy of multidisciplinary treatment program on long-term outcomes of individuals with Parkinson's disease. </w:t>
      </w:r>
      <w:r>
        <w:rPr>
          <w:rFonts w:ascii="Times New Roman" w:cs="Times New Roman" w:eastAsia="Times New Roman" w:hAnsi="Times New Roman"/>
          <w:sz w:val="18"/>
          <w:szCs w:val="18"/>
          <w:i w:val="1"/>
          <w:iCs w:val="1"/>
          <w:color w:val="auto"/>
        </w:rPr>
        <w:t>J. Rehabil. Res. Dev.</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42,</w:t>
      </w:r>
      <w:r>
        <w:rPr>
          <w:rFonts w:ascii="Times New Roman" w:cs="Times New Roman" w:eastAsia="Times New Roman" w:hAnsi="Times New Roman"/>
          <w:sz w:val="18"/>
          <w:szCs w:val="18"/>
          <w:color w:val="auto"/>
        </w:rPr>
        <w:t xml:space="preserve"> 779–786.</w:t>
      </w:r>
    </w:p>
    <w:p>
      <w:pPr>
        <w:spacing w:after="0" w:line="11"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Reuter, I., Engelhardt, M., Stecker, K., and Baas, H. (1999) Therapeutic value of exercise training in Parkinson's disease. </w:t>
      </w:r>
      <w:r>
        <w:rPr>
          <w:rFonts w:ascii="Times New Roman" w:cs="Times New Roman" w:eastAsia="Times New Roman" w:hAnsi="Times New Roman"/>
          <w:sz w:val="18"/>
          <w:szCs w:val="18"/>
          <w:i w:val="1"/>
          <w:iCs w:val="1"/>
          <w:color w:val="auto"/>
        </w:rPr>
        <w:t>Med. Sci. Sports Exerc</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31,</w:t>
      </w:r>
      <w:r>
        <w:rPr>
          <w:rFonts w:ascii="Times New Roman" w:cs="Times New Roman" w:eastAsia="Times New Roman" w:hAnsi="Times New Roman"/>
          <w:sz w:val="18"/>
          <w:szCs w:val="18"/>
          <w:color w:val="auto"/>
        </w:rPr>
        <w:t xml:space="preserve"> 1544–1549.</w:t>
      </w:r>
    </w:p>
    <w:p>
      <w:pPr>
        <w:spacing w:after="0" w:line="13"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Sproesser, E., Viana, M.A., Quagliato, E.M., and de Souza, E.A. (2010) The effect of psychotherapy in patients with PD: a controlled study. </w:t>
      </w:r>
      <w:r>
        <w:rPr>
          <w:rFonts w:ascii="Times New Roman" w:cs="Times New Roman" w:eastAsia="Times New Roman" w:hAnsi="Times New Roman"/>
          <w:sz w:val="18"/>
          <w:szCs w:val="18"/>
          <w:i w:val="1"/>
          <w:iCs w:val="1"/>
          <w:color w:val="auto"/>
        </w:rPr>
        <w:t>Parkinsonism Relat. Disord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16,</w:t>
      </w:r>
      <w:r>
        <w:rPr>
          <w:rFonts w:ascii="Times New Roman" w:cs="Times New Roman" w:eastAsia="Times New Roman" w:hAnsi="Times New Roman"/>
          <w:sz w:val="18"/>
          <w:szCs w:val="18"/>
          <w:color w:val="auto"/>
        </w:rPr>
        <w:t xml:space="preserve"> 298–300.</w:t>
      </w:r>
    </w:p>
    <w:p>
      <w:pPr>
        <w:spacing w:after="0" w:line="10"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Earhart, G.M. (2009) Dance as therapy for individuals with Parkinson disease. </w:t>
      </w:r>
      <w:r>
        <w:rPr>
          <w:rFonts w:ascii="Times New Roman" w:cs="Times New Roman" w:eastAsia="Times New Roman" w:hAnsi="Times New Roman"/>
          <w:sz w:val="18"/>
          <w:szCs w:val="18"/>
          <w:i w:val="1"/>
          <w:iCs w:val="1"/>
          <w:color w:val="auto"/>
        </w:rPr>
        <w:t>Eur. J. Phys. Rehabil. Med.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45,</w:t>
      </w:r>
      <w:r>
        <w:rPr>
          <w:rFonts w:ascii="Times New Roman" w:cs="Times New Roman" w:eastAsia="Times New Roman" w:hAnsi="Times New Roman"/>
          <w:sz w:val="18"/>
          <w:szCs w:val="18"/>
          <w:color w:val="auto"/>
        </w:rPr>
        <w:t xml:space="preserve"> 231– 238.</w:t>
      </w:r>
    </w:p>
    <w:p>
      <w:pPr>
        <w:spacing w:after="0" w:line="13"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Pacchetti, C., Mancini, F., Aglieri, R., Fundaro, C., Martignoni, E., and Nappi, G. (2000) Active music therapy in Parkinson's disease: an integrative method for motor and emotional rehabilitation. </w:t>
      </w:r>
      <w:r>
        <w:rPr>
          <w:rFonts w:ascii="Times New Roman" w:cs="Times New Roman" w:eastAsia="Times New Roman" w:hAnsi="Times New Roman"/>
          <w:sz w:val="18"/>
          <w:szCs w:val="18"/>
          <w:i w:val="1"/>
          <w:iCs w:val="1"/>
          <w:color w:val="auto"/>
        </w:rPr>
        <w:t>Psychosom. Med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62,</w:t>
      </w:r>
      <w:r>
        <w:rPr>
          <w:rFonts w:ascii="Times New Roman" w:cs="Times New Roman" w:eastAsia="Times New Roman" w:hAnsi="Times New Roman"/>
          <w:sz w:val="18"/>
          <w:szCs w:val="18"/>
          <w:color w:val="auto"/>
        </w:rPr>
        <w:t xml:space="preserve"> 386–393.</w:t>
      </w:r>
    </w:p>
    <w:p>
      <w:pPr>
        <w:spacing w:after="0" w:line="1" w:lineRule="exact"/>
        <w:rPr>
          <w:rFonts w:ascii="Times New Roman" w:cs="Times New Roman" w:eastAsia="Times New Roman" w:hAnsi="Times New Roman"/>
          <w:sz w:val="18"/>
          <w:szCs w:val="18"/>
          <w:color w:val="auto"/>
        </w:rPr>
      </w:pPr>
    </w:p>
    <w:p>
      <w:pPr>
        <w:ind w:left="820" w:hanging="712"/>
        <w:spacing w:after="0"/>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Reed, K.L. and Sanderson, S.N. (1992) </w:t>
      </w:r>
      <w:r>
        <w:rPr>
          <w:rFonts w:ascii="Times New Roman" w:cs="Times New Roman" w:eastAsia="Times New Roman" w:hAnsi="Times New Roman"/>
          <w:sz w:val="18"/>
          <w:szCs w:val="18"/>
          <w:i w:val="1"/>
          <w:iCs w:val="1"/>
          <w:color w:val="auto"/>
        </w:rPr>
        <w:t>Concepts of Occupational Therapy</w:t>
      </w:r>
      <w:r>
        <w:rPr>
          <w:rFonts w:ascii="Times New Roman" w:cs="Times New Roman" w:eastAsia="Times New Roman" w:hAnsi="Times New Roman"/>
          <w:sz w:val="18"/>
          <w:szCs w:val="18"/>
          <w:color w:val="auto"/>
        </w:rPr>
        <w:t>. Williams and Wilkins, Baltimore, MD.</w:t>
      </w:r>
    </w:p>
    <w:p>
      <w:pPr>
        <w:spacing w:after="0" w:line="8" w:lineRule="exact"/>
        <w:rPr>
          <w:rFonts w:ascii="Times New Roman" w:cs="Times New Roman" w:eastAsia="Times New Roman" w:hAnsi="Times New Roman"/>
          <w:sz w:val="18"/>
          <w:szCs w:val="18"/>
          <w:color w:val="auto"/>
        </w:rPr>
      </w:pPr>
    </w:p>
    <w:p>
      <w:pPr>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Dixon, L., Duncan, D., Johnson, P., Kirkby, L., O'Connell, H., Taylor, H., and Deane, K.H. (2007) Occupational therapy for patients with Parkinson's disease. </w:t>
      </w:r>
      <w:r>
        <w:rPr>
          <w:rFonts w:ascii="Times New Roman" w:cs="Times New Roman" w:eastAsia="Times New Roman" w:hAnsi="Times New Roman"/>
          <w:sz w:val="18"/>
          <w:szCs w:val="18"/>
          <w:i w:val="1"/>
          <w:iCs w:val="1"/>
          <w:color w:val="auto"/>
        </w:rPr>
        <w:t>Cochrane Database Syst. Rev.</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(3),</w:t>
      </w:r>
      <w:r>
        <w:rPr>
          <w:rFonts w:ascii="Times New Roman" w:cs="Times New Roman" w:eastAsia="Times New Roman" w:hAnsi="Times New Roman"/>
          <w:sz w:val="18"/>
          <w:szCs w:val="18"/>
          <w:color w:val="auto"/>
        </w:rPr>
        <w:t xml:space="preserve"> CD002813.</w:t>
      </w:r>
    </w:p>
    <w:p>
      <w:pPr>
        <w:spacing w:after="0" w:line="9"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Mazzoni, P., Hristova, A., and Krakauer, J.W. (2007) Why don't we move faster? Parkinson's disease, movement vigor, and implicit motivation. </w:t>
      </w:r>
      <w:r>
        <w:rPr>
          <w:rFonts w:ascii="Times New Roman" w:cs="Times New Roman" w:eastAsia="Times New Roman" w:hAnsi="Times New Roman"/>
          <w:sz w:val="18"/>
          <w:szCs w:val="18"/>
          <w:i w:val="1"/>
          <w:iCs w:val="1"/>
          <w:color w:val="auto"/>
        </w:rPr>
        <w:t>J. Neurosci</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27,</w:t>
      </w:r>
      <w:r>
        <w:rPr>
          <w:rFonts w:ascii="Times New Roman" w:cs="Times New Roman" w:eastAsia="Times New Roman" w:hAnsi="Times New Roman"/>
          <w:sz w:val="18"/>
          <w:szCs w:val="18"/>
          <w:color w:val="auto"/>
        </w:rPr>
        <w:t xml:space="preserve"> 7105–7116.</w:t>
      </w:r>
    </w:p>
    <w:p>
      <w:pPr>
        <w:spacing w:after="0" w:line="10" w:lineRule="exact"/>
        <w:rPr>
          <w:rFonts w:ascii="Times New Roman" w:cs="Times New Roman" w:eastAsia="Times New Roman" w:hAnsi="Times New Roman"/>
          <w:sz w:val="18"/>
          <w:szCs w:val="18"/>
          <w:color w:val="auto"/>
        </w:rPr>
      </w:pPr>
    </w:p>
    <w:p>
      <w:pPr>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Forsaa, E.B., Larsen, J.P., Wentzel-Larsen, T., Herlofson, K., and Alves, G. (2008) Predictors and course of health-related quality of life in Parkinson's disease. </w:t>
      </w:r>
      <w:r>
        <w:rPr>
          <w:rFonts w:ascii="Times New Roman" w:cs="Times New Roman" w:eastAsia="Times New Roman" w:hAnsi="Times New Roman"/>
          <w:sz w:val="18"/>
          <w:szCs w:val="18"/>
          <w:i w:val="1"/>
          <w:iCs w:val="1"/>
          <w:color w:val="auto"/>
        </w:rPr>
        <w:t>Mov. Disord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23,</w:t>
      </w:r>
      <w:r>
        <w:rPr>
          <w:rFonts w:ascii="Times New Roman" w:cs="Times New Roman" w:eastAsia="Times New Roman" w:hAnsi="Times New Roman"/>
          <w:sz w:val="18"/>
          <w:szCs w:val="18"/>
          <w:color w:val="auto"/>
        </w:rPr>
        <w:t xml:space="preserve"> 1420–1427.</w:t>
      </w:r>
    </w:p>
    <w:p>
      <w:pPr>
        <w:spacing w:after="0" w:line="9" w:lineRule="exact"/>
        <w:rPr>
          <w:rFonts w:ascii="Times New Roman" w:cs="Times New Roman" w:eastAsia="Times New Roman" w:hAnsi="Times New Roman"/>
          <w:sz w:val="18"/>
          <w:szCs w:val="18"/>
          <w:color w:val="auto"/>
        </w:rPr>
      </w:pPr>
    </w:p>
    <w:p>
      <w:pPr>
        <w:ind w:left="820" w:hanging="712"/>
        <w:spacing w:after="0" w:line="234"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Bonvin, C., Horvath, J., Christe, B., Landis, T., and Burkhard, P.R. (2007) Compulsive singing: another aspect of punding in Parkinson's disease. </w:t>
      </w:r>
      <w:r>
        <w:rPr>
          <w:rFonts w:ascii="Times New Roman" w:cs="Times New Roman" w:eastAsia="Times New Roman" w:hAnsi="Times New Roman"/>
          <w:sz w:val="18"/>
          <w:szCs w:val="18"/>
          <w:i w:val="1"/>
          <w:iCs w:val="1"/>
          <w:color w:val="auto"/>
        </w:rPr>
        <w:t>Ann. Neurol</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62,</w:t>
      </w:r>
      <w:r>
        <w:rPr>
          <w:rFonts w:ascii="Times New Roman" w:cs="Times New Roman" w:eastAsia="Times New Roman" w:hAnsi="Times New Roman"/>
          <w:sz w:val="18"/>
          <w:szCs w:val="18"/>
          <w:color w:val="auto"/>
        </w:rPr>
        <w:t xml:space="preserve"> 525–528.</w:t>
      </w:r>
    </w:p>
    <w:p>
      <w:pPr>
        <w:spacing w:after="0" w:line="9"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Evans, A.H., Strafella, A.P., Weintraub, D., and Stacy, M. (2009) Impulsive and compulsive behaviors in Parkinson's disease. </w:t>
      </w:r>
      <w:r>
        <w:rPr>
          <w:rFonts w:ascii="Times New Roman" w:cs="Times New Roman" w:eastAsia="Times New Roman" w:hAnsi="Times New Roman"/>
          <w:sz w:val="18"/>
          <w:szCs w:val="18"/>
          <w:i w:val="1"/>
          <w:iCs w:val="1"/>
          <w:color w:val="auto"/>
        </w:rPr>
        <w:t>Mov. Disord</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24,</w:t>
      </w:r>
      <w:r>
        <w:rPr>
          <w:rFonts w:ascii="Times New Roman" w:cs="Times New Roman" w:eastAsia="Times New Roman" w:hAnsi="Times New Roman"/>
          <w:sz w:val="18"/>
          <w:szCs w:val="18"/>
          <w:color w:val="auto"/>
        </w:rPr>
        <w:t xml:space="preserve"> 1561–1570.</w:t>
      </w:r>
    </w:p>
    <w:p>
      <w:pPr>
        <w:spacing w:after="0" w:line="13" w:lineRule="exact"/>
        <w:rPr>
          <w:rFonts w:ascii="Times New Roman" w:cs="Times New Roman" w:eastAsia="Times New Roman" w:hAnsi="Times New Roman"/>
          <w:sz w:val="18"/>
          <w:szCs w:val="18"/>
          <w:color w:val="auto"/>
        </w:rPr>
      </w:pPr>
    </w:p>
    <w:p>
      <w:pPr>
        <w:ind w:left="820" w:hanging="712"/>
        <w:spacing w:after="0" w:line="233"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Antonini, A. and Cilia, R. (2009) Behavioural adverse effects of dopaminergic treatments in Parkinson's disease: incidence, neurobiological basis, management and prevention. </w:t>
      </w:r>
      <w:r>
        <w:rPr>
          <w:rFonts w:ascii="Times New Roman" w:cs="Times New Roman" w:eastAsia="Times New Roman" w:hAnsi="Times New Roman"/>
          <w:sz w:val="18"/>
          <w:szCs w:val="18"/>
          <w:i w:val="1"/>
          <w:iCs w:val="1"/>
          <w:color w:val="auto"/>
        </w:rPr>
        <w:t>Drug Saf.</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32,</w:t>
      </w:r>
      <w:r>
        <w:rPr>
          <w:rFonts w:ascii="Times New Roman" w:cs="Times New Roman" w:eastAsia="Times New Roman" w:hAnsi="Times New Roman"/>
          <w:sz w:val="18"/>
          <w:szCs w:val="18"/>
          <w:color w:val="auto"/>
        </w:rPr>
        <w:t xml:space="preserve"> 475–488.</w:t>
      </w:r>
    </w:p>
    <w:p>
      <w:pPr>
        <w:spacing w:after="0" w:line="10" w:lineRule="exact"/>
        <w:rPr>
          <w:rFonts w:ascii="Times New Roman" w:cs="Times New Roman" w:eastAsia="Times New Roman" w:hAnsi="Times New Roman"/>
          <w:sz w:val="18"/>
          <w:szCs w:val="18"/>
          <w:color w:val="auto"/>
        </w:rPr>
      </w:pPr>
    </w:p>
    <w:p>
      <w:pPr>
        <w:jc w:val="both"/>
        <w:ind w:left="820" w:hanging="712"/>
        <w:spacing w:after="0" w:line="236"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Lemke, M.R., Brecht, H.M., Koester, J., Kraus, P.H., and Reichmann, H. (2005) Anhedonia, depression, and motor functioning in Parkinson's disease during treatment with pramipexole. </w:t>
      </w:r>
      <w:r>
        <w:rPr>
          <w:rFonts w:ascii="Times New Roman" w:cs="Times New Roman" w:eastAsia="Times New Roman" w:hAnsi="Times New Roman"/>
          <w:sz w:val="18"/>
          <w:szCs w:val="18"/>
          <w:i w:val="1"/>
          <w:iCs w:val="1"/>
          <w:color w:val="auto"/>
        </w:rPr>
        <w:t>J. Neuropsychiatry Clin. Neurosci</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17,</w:t>
      </w:r>
      <w:r>
        <w:rPr>
          <w:rFonts w:ascii="Times New Roman" w:cs="Times New Roman" w:eastAsia="Times New Roman" w:hAnsi="Times New Roman"/>
          <w:sz w:val="18"/>
          <w:szCs w:val="18"/>
          <w:color w:val="auto"/>
        </w:rPr>
        <w:t xml:space="preserve"> 214– 220.</w:t>
      </w:r>
    </w:p>
    <w:p>
      <w:pPr>
        <w:spacing w:after="0" w:line="10" w:lineRule="exact"/>
        <w:rPr>
          <w:rFonts w:ascii="Times New Roman" w:cs="Times New Roman" w:eastAsia="Times New Roman" w:hAnsi="Times New Roman"/>
          <w:sz w:val="18"/>
          <w:szCs w:val="18"/>
          <w:color w:val="auto"/>
        </w:rPr>
      </w:pPr>
    </w:p>
    <w:p>
      <w:pPr>
        <w:jc w:val="both"/>
        <w:ind w:left="820" w:hanging="712"/>
        <w:spacing w:after="0" w:line="235" w:lineRule="auto"/>
        <w:tabs>
          <w:tab w:leader="none" w:pos="820" w:val="left"/>
        </w:tabs>
        <w:numPr>
          <w:ilvl w:val="0"/>
          <w:numId w:val="9"/>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Herman, T., Giladi, N., Gruendlinger, L., and Hausdorff, J.M. (2007) Six weeks of intensive treadmill training improves gait and quality of life in patients with Parkinson's disease: a pilot study. </w:t>
      </w:r>
      <w:r>
        <w:rPr>
          <w:rFonts w:ascii="Times New Roman" w:cs="Times New Roman" w:eastAsia="Times New Roman" w:hAnsi="Times New Roman"/>
          <w:sz w:val="18"/>
          <w:szCs w:val="18"/>
          <w:i w:val="1"/>
          <w:iCs w:val="1"/>
          <w:color w:val="auto"/>
        </w:rPr>
        <w:t>Arch. Phys. Med. Rehabil</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88,</w:t>
      </w:r>
      <w:r>
        <w:rPr>
          <w:rFonts w:ascii="Times New Roman" w:cs="Times New Roman" w:eastAsia="Times New Roman" w:hAnsi="Times New Roman"/>
          <w:sz w:val="18"/>
          <w:szCs w:val="18"/>
          <w:color w:val="auto"/>
        </w:rPr>
        <w:t xml:space="preserve"> 1154–1158.</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708025</wp:posOffset>
                </wp:positionV>
                <wp:extent cx="594423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44235"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5.75pt" to="468.05pt,55.75pt" o:allowincell="f" strokecolor="#000000" strokeweight="0.23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100"/>
        <w:spacing w:after="0"/>
        <w:rPr>
          <w:sz w:val="20"/>
          <w:szCs w:val="20"/>
          <w:color w:val="auto"/>
        </w:rPr>
      </w:pPr>
      <w:r>
        <w:rPr>
          <w:rFonts w:ascii="Times New Roman" w:cs="Times New Roman" w:eastAsia="Times New Roman" w:hAnsi="Times New Roman"/>
          <w:sz w:val="18"/>
          <w:szCs w:val="18"/>
          <w:b w:val="1"/>
          <w:bCs w:val="1"/>
          <w:color w:val="auto"/>
        </w:rPr>
        <w:t>This article should be cited as follows:</w:t>
      </w:r>
    </w:p>
    <w:p>
      <w:pPr>
        <w:spacing w:after="0" w:line="125" w:lineRule="exact"/>
        <w:rPr>
          <w:sz w:val="20"/>
          <w:szCs w:val="20"/>
          <w:color w:val="auto"/>
        </w:rPr>
      </w:pPr>
    </w:p>
    <w:p>
      <w:pPr>
        <w:jc w:val="both"/>
        <w:ind w:left="100" w:right="100"/>
        <w:spacing w:after="0" w:line="235" w:lineRule="auto"/>
        <w:rPr>
          <w:sz w:val="20"/>
          <w:szCs w:val="20"/>
          <w:color w:val="auto"/>
        </w:rPr>
      </w:pPr>
      <w:r>
        <w:rPr>
          <w:rFonts w:ascii="Times New Roman" w:cs="Times New Roman" w:eastAsia="Times New Roman" w:hAnsi="Times New Roman"/>
          <w:sz w:val="18"/>
          <w:szCs w:val="18"/>
          <w:color w:val="auto"/>
        </w:rPr>
        <w:t xml:space="preserve">Modugno, N., Iaconelli, S., Fiorilli, M., Lena, F., Kusch, I., and Mirabella, G. (2010) Active theater as a complementary therapy for Parkinson‟s disease rehabilitation: a pilot study. </w:t>
      </w:r>
      <w:r>
        <w:rPr>
          <w:rFonts w:ascii="Times New Roman" w:cs="Times New Roman" w:eastAsia="Times New Roman" w:hAnsi="Times New Roman"/>
          <w:sz w:val="18"/>
          <w:szCs w:val="18"/>
          <w:i w:val="1"/>
          <w:iCs w:val="1"/>
          <w:color w:val="auto"/>
        </w:rPr>
        <w:t>TheScientificWorldJOURNAL</w:t>
      </w:r>
      <w:r>
        <w:rPr>
          <w:rFonts w:ascii="Times New Roman" w:cs="Times New Roman" w:eastAsia="Times New Roman" w:hAnsi="Times New Roman"/>
          <w:sz w:val="18"/>
          <w:szCs w:val="18"/>
          <w:color w:val="auto"/>
        </w:rPr>
        <w:t xml:space="preserve"> </w:t>
      </w:r>
      <w:r>
        <w:rPr>
          <w:rFonts w:ascii="Times New Roman" w:cs="Times New Roman" w:eastAsia="Times New Roman" w:hAnsi="Times New Roman"/>
          <w:sz w:val="18"/>
          <w:szCs w:val="18"/>
          <w:b w:val="1"/>
          <w:bCs w:val="1"/>
          <w:color w:val="auto"/>
        </w:rPr>
        <w:t>10</w:t>
      </w:r>
      <w:r>
        <w:rPr>
          <w:rFonts w:ascii="Times New Roman" w:cs="Times New Roman" w:eastAsia="Times New Roman" w:hAnsi="Times New Roman"/>
          <w:sz w:val="18"/>
          <w:szCs w:val="18"/>
          <w:color w:val="auto"/>
        </w:rPr>
        <w:t>, 2301–2313. DOI 10.1100/tsw.2010.221.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83185</wp:posOffset>
                </wp:positionV>
                <wp:extent cx="595249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2490" cy="4763"/>
                        </a:xfrm>
                        <a:prstGeom prst="line">
                          <a:avLst/>
                        </a:prstGeom>
                        <a:solidFill>
                          <a:srgbClr val="FFFFFF"/>
                        </a:solidFill>
                        <a:ln w="3047">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499pt,6.55pt" to="468.05pt,6.55pt" o:allowincell="f" strokecolor="#000000" strokeweight="0.23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8920"/>
        <w:spacing w:after="0"/>
        <w:rPr>
          <w:sz w:val="20"/>
          <w:szCs w:val="20"/>
          <w:color w:val="auto"/>
        </w:rPr>
      </w:pPr>
      <w:r>
        <w:rPr>
          <w:rFonts w:ascii="Arial" w:cs="Arial" w:eastAsia="Arial" w:hAnsi="Arial"/>
          <w:sz w:val="19"/>
          <w:szCs w:val="19"/>
          <w:b w:val="1"/>
          <w:bCs w:val="1"/>
          <w:color w:val="auto"/>
        </w:rPr>
        <w:t>2313</w:t>
      </w:r>
    </w:p>
    <w:p>
      <w:pPr>
        <w:sectPr>
          <w:pgSz w:w="12240" w:h="15840" w:orient="portrait"/>
          <w:cols w:equalWidth="0" w:num="1">
            <w:col w:w="9360"/>
          </w:cols>
          <w:pgMar w:left="1440" w:top="426" w:right="1440" w:bottom="196"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635000</wp:posOffset>
            </wp:positionV>
            <wp:extent cx="7620000" cy="20631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7620000" cy="2063115"/>
                    </a:xfrm>
                    <a:prstGeom prst="rect">
                      <a:avLst/>
                    </a:prstGeom>
                    <a:noFill/>
                  </pic:spPr>
                </pic:pic>
              </a:graphicData>
            </a:graphic>
          </wp:anchor>
        </w:drawing>
      </w:r>
    </w:p>
    <w:p>
      <w:pPr>
        <w:spacing w:after="0" w:line="31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6"/>
          <w:szCs w:val="26"/>
          <w:color w:val="191919"/>
        </w:rPr>
        <w:t>MEDIATORS</w:t>
      </w:r>
    </w:p>
    <w:p>
      <w:pPr>
        <w:jc w:val="center"/>
        <w:spacing w:after="0" w:line="224" w:lineRule="auto"/>
        <w:rPr>
          <w:sz w:val="20"/>
          <w:szCs w:val="20"/>
          <w:color w:val="auto"/>
        </w:rPr>
      </w:pPr>
      <w:r>
        <w:rPr>
          <w:rFonts w:ascii="Times New Roman" w:cs="Times New Roman" w:eastAsia="Times New Roman" w:hAnsi="Times New Roman"/>
          <w:sz w:val="4"/>
          <w:szCs w:val="4"/>
          <w:b w:val="1"/>
          <w:bCs w:val="1"/>
          <w:i w:val="1"/>
          <w:iCs w:val="1"/>
          <w:color w:val="191919"/>
        </w:rPr>
        <w:t>of</w:t>
      </w:r>
    </w:p>
    <w:p>
      <w:pPr>
        <w:ind w:left="4180"/>
        <w:spacing w:after="0"/>
        <w:rPr>
          <w:sz w:val="20"/>
          <w:szCs w:val="20"/>
          <w:color w:val="auto"/>
        </w:rPr>
      </w:pPr>
      <w:r>
        <w:rPr>
          <w:rFonts w:ascii="Times New Roman" w:cs="Times New Roman" w:eastAsia="Times New Roman" w:hAnsi="Times New Roman"/>
          <w:sz w:val="19"/>
          <w:szCs w:val="19"/>
          <w:color w:val="191919"/>
        </w:rPr>
        <w:t>INFLAMMATION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tbl>
      <w:tblPr>
        <w:tblLayout w:type="fixed"/>
        <w:tblInd w:w="0" w:type="dxa"/>
        <w:tblCellMar>
          <w:top w:w="0" w:type="dxa"/>
          <w:left w:w="0" w:type="dxa"/>
          <w:bottom w:w="0" w:type="dxa"/>
          <w:right w:w="0" w:type="dxa"/>
        </w:tblCellMar>
      </w:tblPr>
      <w:tr>
        <w:trPr>
          <w:trHeight w:val="283"/>
        </w:trPr>
        <w:tc>
          <w:tcPr>
            <w:tcW w:w="1820" w:type="dxa"/>
            <w:vAlign w:val="bottom"/>
            <w:gridSpan w:val="2"/>
          </w:tcPr>
          <w:p>
            <w:pPr>
              <w:spacing w:after="0"/>
              <w:rPr>
                <w:sz w:val="20"/>
                <w:szCs w:val="20"/>
                <w:color w:val="auto"/>
              </w:rPr>
            </w:pPr>
            <w:r>
              <w:rPr>
                <w:rFonts w:ascii="Arial" w:cs="Arial" w:eastAsia="Arial" w:hAnsi="Arial"/>
                <w:sz w:val="24"/>
                <w:szCs w:val="24"/>
                <w:b w:val="1"/>
                <w:bCs w:val="1"/>
                <w:color w:val="191919"/>
              </w:rPr>
              <w:t>The Scientific</w:t>
            </w:r>
          </w:p>
        </w:tc>
        <w:tc>
          <w:tcPr>
            <w:tcW w:w="1560" w:type="dxa"/>
            <w:vAlign w:val="bottom"/>
          </w:tcPr>
          <w:p>
            <w:pPr>
              <w:ind w:left="220"/>
              <w:spacing w:after="0"/>
              <w:rPr>
                <w:sz w:val="20"/>
                <w:szCs w:val="20"/>
                <w:color w:val="auto"/>
              </w:rPr>
            </w:pPr>
            <w:r>
              <w:rPr>
                <w:rFonts w:ascii="Arial" w:cs="Arial" w:eastAsia="Arial" w:hAnsi="Arial"/>
                <w:sz w:val="19"/>
                <w:szCs w:val="19"/>
                <w:color w:val="273D9B"/>
                <w:w w:val="90"/>
              </w:rPr>
              <w:t>Gastroenterology</w:t>
            </w:r>
          </w:p>
        </w:tc>
        <w:tc>
          <w:tcPr>
            <w:tcW w:w="52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240" w:type="dxa"/>
            <w:vAlign w:val="bottom"/>
          </w:tcPr>
          <w:p>
            <w:pPr>
              <w:ind w:left="300"/>
              <w:spacing w:after="0"/>
              <w:rPr>
                <w:sz w:val="20"/>
                <w:szCs w:val="20"/>
                <w:color w:val="auto"/>
              </w:rPr>
            </w:pPr>
            <w:r>
              <w:rPr>
                <w:rFonts w:ascii="Arial" w:cs="Arial" w:eastAsia="Arial" w:hAnsi="Arial"/>
                <w:sz w:val="14"/>
                <w:szCs w:val="14"/>
                <w:color w:val="191919"/>
              </w:rPr>
              <w:t>Journal of</w:t>
            </w:r>
          </w:p>
        </w:tc>
        <w:tc>
          <w:tcPr>
            <w:tcW w:w="86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6"/>
        </w:trPr>
        <w:tc>
          <w:tcPr>
            <w:tcW w:w="1820" w:type="dxa"/>
            <w:vAlign w:val="bottom"/>
            <w:gridSpan w:val="2"/>
          </w:tcPr>
          <w:p>
            <w:pPr>
              <w:spacing w:after="0"/>
              <w:rPr>
                <w:sz w:val="20"/>
                <w:szCs w:val="20"/>
                <w:color w:val="auto"/>
              </w:rPr>
            </w:pPr>
            <w:r>
              <w:rPr>
                <w:rFonts w:ascii="Arial" w:cs="Arial" w:eastAsia="Arial" w:hAnsi="Arial"/>
                <w:sz w:val="24"/>
                <w:szCs w:val="24"/>
                <w:b w:val="1"/>
                <w:bCs w:val="1"/>
                <w:color w:val="191919"/>
              </w:rPr>
              <w:t>World Journal</w:t>
            </w:r>
          </w:p>
        </w:tc>
        <w:tc>
          <w:tcPr>
            <w:tcW w:w="2080" w:type="dxa"/>
            <w:vAlign w:val="bottom"/>
            <w:gridSpan w:val="2"/>
          </w:tcPr>
          <w:p>
            <w:pPr>
              <w:ind w:left="220"/>
              <w:spacing w:after="0"/>
              <w:rPr>
                <w:sz w:val="20"/>
                <w:szCs w:val="20"/>
                <w:color w:val="auto"/>
              </w:rPr>
            </w:pPr>
            <w:r>
              <w:rPr>
                <w:rFonts w:ascii="Arial" w:cs="Arial" w:eastAsia="Arial" w:hAnsi="Arial"/>
                <w:sz w:val="19"/>
                <w:szCs w:val="19"/>
                <w:color w:val="273D9B"/>
                <w:w w:val="95"/>
              </w:rPr>
              <w:t>Research and Practice</w:t>
            </w:r>
          </w:p>
        </w:tc>
        <w:tc>
          <w:tcPr>
            <w:tcW w:w="1120" w:type="dxa"/>
            <w:vAlign w:val="bottom"/>
          </w:tcPr>
          <w:p>
            <w:pPr>
              <w:ind w:left="280"/>
              <w:spacing w:after="0"/>
              <w:rPr>
                <w:sz w:val="20"/>
                <w:szCs w:val="20"/>
                <w:color w:val="auto"/>
              </w:rPr>
            </w:pPr>
            <w:r>
              <w:rPr>
                <w:rFonts w:ascii="Times New Roman" w:cs="Times New Roman" w:eastAsia="Times New Roman" w:hAnsi="Times New Roman"/>
                <w:sz w:val="4"/>
                <w:szCs w:val="4"/>
                <w:color w:val="191919"/>
              </w:rPr>
              <w:t>Hindawi Publishing Corporation</w:t>
            </w:r>
          </w:p>
        </w:tc>
        <w:tc>
          <w:tcPr>
            <w:tcW w:w="820" w:type="dxa"/>
            <w:vAlign w:val="bottom"/>
          </w:tcPr>
          <w:p>
            <w:pPr>
              <w:spacing w:after="0"/>
              <w:rPr>
                <w:sz w:val="24"/>
                <w:szCs w:val="24"/>
                <w:color w:val="auto"/>
              </w:rPr>
            </w:pPr>
          </w:p>
        </w:tc>
        <w:tc>
          <w:tcPr>
            <w:tcW w:w="2100" w:type="dxa"/>
            <w:vAlign w:val="bottom"/>
            <w:gridSpan w:val="2"/>
          </w:tcPr>
          <w:p>
            <w:pPr>
              <w:ind w:left="280"/>
              <w:spacing w:after="0"/>
              <w:rPr>
                <w:sz w:val="20"/>
                <w:szCs w:val="20"/>
                <w:color w:val="auto"/>
              </w:rPr>
            </w:pPr>
            <w:r>
              <w:rPr>
                <w:rFonts w:ascii="Arial" w:cs="Arial" w:eastAsia="Arial" w:hAnsi="Arial"/>
                <w:sz w:val="23"/>
                <w:szCs w:val="23"/>
                <w:color w:val="191919"/>
                <w:w w:val="92"/>
              </w:rPr>
              <w:t>Diabetes Research</w:t>
            </w:r>
          </w:p>
        </w:tc>
        <w:tc>
          <w:tcPr>
            <w:tcW w:w="1800" w:type="dxa"/>
            <w:vAlign w:val="bottom"/>
            <w:gridSpan w:val="2"/>
          </w:tcPr>
          <w:p>
            <w:pPr>
              <w:ind w:left="220"/>
              <w:spacing w:after="0" w:line="276" w:lineRule="exact"/>
              <w:rPr>
                <w:sz w:val="20"/>
                <w:szCs w:val="20"/>
                <w:color w:val="auto"/>
              </w:rPr>
            </w:pPr>
            <w:r>
              <w:rPr>
                <w:rFonts w:ascii="Arial" w:cs="Arial" w:eastAsia="Arial" w:hAnsi="Arial"/>
                <w:sz w:val="25"/>
                <w:szCs w:val="25"/>
                <w:color w:val="0C1A80"/>
                <w:w w:val="83"/>
              </w:rPr>
              <w:t>Disease Markers</w:t>
            </w:r>
          </w:p>
        </w:tc>
        <w:tc>
          <w:tcPr>
            <w:tcW w:w="0" w:type="dxa"/>
            <w:vAlign w:val="bottom"/>
          </w:tcPr>
          <w:p>
            <w:pPr>
              <w:spacing w:after="0"/>
              <w:rPr>
                <w:sz w:val="1"/>
                <w:szCs w:val="1"/>
                <w:color w:val="auto"/>
              </w:rPr>
            </w:pPr>
          </w:p>
        </w:tc>
      </w:tr>
      <w:tr>
        <w:trPr>
          <w:trHeight w:val="42"/>
        </w:trPr>
        <w:tc>
          <w:tcPr>
            <w:tcW w:w="920" w:type="dxa"/>
            <w:vAlign w:val="bottom"/>
          </w:tcPr>
          <w:p>
            <w:pPr>
              <w:ind w:left="20"/>
              <w:spacing w:after="0"/>
              <w:rPr>
                <w:sz w:val="20"/>
                <w:szCs w:val="20"/>
                <w:color w:val="auto"/>
              </w:rPr>
            </w:pPr>
            <w:r>
              <w:rPr>
                <w:rFonts w:ascii="Arial" w:cs="Arial" w:eastAsia="Arial" w:hAnsi="Arial"/>
                <w:sz w:val="3"/>
                <w:szCs w:val="3"/>
                <w:color w:val="191919"/>
              </w:rPr>
              <w:t>Hindawi Publishing Corporation</w:t>
            </w:r>
          </w:p>
        </w:tc>
        <w:tc>
          <w:tcPr>
            <w:tcW w:w="900" w:type="dxa"/>
            <w:vAlign w:val="bottom"/>
            <w:vMerge w:val="restart"/>
          </w:tcPr>
          <w:p>
            <w:pPr>
              <w:ind w:left="480"/>
              <w:spacing w:after="0"/>
              <w:rPr>
                <w:sz w:val="20"/>
                <w:szCs w:val="20"/>
                <w:color w:val="auto"/>
              </w:rPr>
            </w:pPr>
            <w:r>
              <w:rPr>
                <w:rFonts w:ascii="Arial" w:cs="Arial" w:eastAsia="Arial" w:hAnsi="Arial"/>
                <w:sz w:val="3"/>
                <w:szCs w:val="3"/>
                <w:color w:val="191919"/>
              </w:rPr>
              <w:t>Volume 2014</w:t>
            </w:r>
          </w:p>
        </w:tc>
        <w:tc>
          <w:tcPr>
            <w:tcW w:w="1560" w:type="dxa"/>
            <w:vAlign w:val="bottom"/>
          </w:tcPr>
          <w:p>
            <w:pPr>
              <w:ind w:left="240"/>
              <w:spacing w:after="0"/>
              <w:rPr>
                <w:sz w:val="20"/>
                <w:szCs w:val="20"/>
                <w:color w:val="auto"/>
              </w:rPr>
            </w:pPr>
            <w:r>
              <w:rPr>
                <w:rFonts w:ascii="Arial" w:cs="Arial" w:eastAsia="Arial" w:hAnsi="Arial"/>
                <w:sz w:val="3"/>
                <w:szCs w:val="3"/>
                <w:color w:val="273D9B"/>
              </w:rPr>
              <w:t>Hindawi Publishing Corporation</w:t>
            </w:r>
          </w:p>
        </w:tc>
        <w:tc>
          <w:tcPr>
            <w:tcW w:w="520" w:type="dxa"/>
            <w:vAlign w:val="bottom"/>
            <w:vMerge w:val="restart"/>
          </w:tcPr>
          <w:p>
            <w:pPr>
              <w:ind w:left="60"/>
              <w:spacing w:after="0"/>
              <w:rPr>
                <w:sz w:val="20"/>
                <w:szCs w:val="20"/>
                <w:color w:val="auto"/>
              </w:rPr>
            </w:pPr>
            <w:r>
              <w:rPr>
                <w:rFonts w:ascii="Arial" w:cs="Arial" w:eastAsia="Arial" w:hAnsi="Arial"/>
                <w:sz w:val="3"/>
                <w:szCs w:val="3"/>
                <w:color w:val="273D9B"/>
              </w:rPr>
              <w:t>Volume 2014</w:t>
            </w:r>
          </w:p>
        </w:tc>
        <w:tc>
          <w:tcPr>
            <w:tcW w:w="1120" w:type="dxa"/>
            <w:vAlign w:val="bottom"/>
          </w:tcPr>
          <w:p>
            <w:pPr>
              <w:ind w:left="280"/>
              <w:spacing w:after="0" w:line="43" w:lineRule="exact"/>
              <w:rPr>
                <w:sz w:val="20"/>
                <w:szCs w:val="20"/>
                <w:color w:val="auto"/>
              </w:rPr>
            </w:pPr>
            <w:r>
              <w:rPr>
                <w:rFonts w:ascii="Times New Roman" w:cs="Times New Roman" w:eastAsia="Times New Roman" w:hAnsi="Times New Roman"/>
                <w:sz w:val="4"/>
                <w:szCs w:val="4"/>
                <w:color w:val="191919"/>
              </w:rPr>
              <w:t>http://www.hindawi.com</w:t>
            </w:r>
          </w:p>
        </w:tc>
        <w:tc>
          <w:tcPr>
            <w:tcW w:w="820" w:type="dxa"/>
            <w:vAlign w:val="bottom"/>
          </w:tcPr>
          <w:p>
            <w:pPr>
              <w:ind w:left="360"/>
              <w:spacing w:after="0" w:line="43" w:lineRule="exact"/>
              <w:rPr>
                <w:sz w:val="20"/>
                <w:szCs w:val="20"/>
                <w:color w:val="auto"/>
              </w:rPr>
            </w:pPr>
            <w:r>
              <w:rPr>
                <w:rFonts w:ascii="Times New Roman" w:cs="Times New Roman" w:eastAsia="Times New Roman" w:hAnsi="Times New Roman"/>
                <w:sz w:val="4"/>
                <w:szCs w:val="4"/>
                <w:color w:val="191919"/>
              </w:rPr>
              <w:t>Volume 201</w:t>
            </w:r>
            <w:r>
              <w:rPr>
                <w:rFonts w:ascii="Arial" w:cs="Arial" w:eastAsia="Arial" w:hAnsi="Arial"/>
                <w:sz w:val="4"/>
                <w:szCs w:val="4"/>
                <w:color w:val="191919"/>
              </w:rPr>
              <w:t>4</w:t>
            </w:r>
          </w:p>
        </w:tc>
        <w:tc>
          <w:tcPr>
            <w:tcW w:w="1240" w:type="dxa"/>
            <w:vAlign w:val="bottom"/>
          </w:tcPr>
          <w:p>
            <w:pPr>
              <w:ind w:left="300"/>
              <w:spacing w:after="0"/>
              <w:rPr>
                <w:sz w:val="20"/>
                <w:szCs w:val="20"/>
                <w:color w:val="auto"/>
              </w:rPr>
            </w:pPr>
            <w:r>
              <w:rPr>
                <w:rFonts w:ascii="Arial" w:cs="Arial" w:eastAsia="Arial" w:hAnsi="Arial"/>
                <w:sz w:val="3"/>
                <w:szCs w:val="3"/>
                <w:color w:val="191919"/>
              </w:rPr>
              <w:t>Hindawi Publishing Corporation</w:t>
            </w:r>
          </w:p>
        </w:tc>
        <w:tc>
          <w:tcPr>
            <w:tcW w:w="860" w:type="dxa"/>
            <w:vAlign w:val="bottom"/>
            <w:vMerge w:val="restart"/>
          </w:tcPr>
          <w:p>
            <w:pPr>
              <w:ind w:left="440"/>
              <w:spacing w:after="0"/>
              <w:rPr>
                <w:sz w:val="20"/>
                <w:szCs w:val="20"/>
                <w:color w:val="auto"/>
              </w:rPr>
            </w:pPr>
            <w:r>
              <w:rPr>
                <w:rFonts w:ascii="Arial" w:cs="Arial" w:eastAsia="Arial" w:hAnsi="Arial"/>
                <w:sz w:val="3"/>
                <w:szCs w:val="3"/>
                <w:color w:val="191919"/>
              </w:rPr>
              <w:t>Volume 2014</w:t>
            </w:r>
          </w:p>
        </w:tc>
        <w:tc>
          <w:tcPr>
            <w:tcW w:w="1160" w:type="dxa"/>
            <w:vAlign w:val="bottom"/>
          </w:tcPr>
          <w:p>
            <w:pPr>
              <w:ind w:left="240"/>
              <w:spacing w:after="0"/>
              <w:rPr>
                <w:sz w:val="20"/>
                <w:szCs w:val="20"/>
                <w:color w:val="auto"/>
              </w:rPr>
            </w:pPr>
            <w:r>
              <w:rPr>
                <w:rFonts w:ascii="Arial" w:cs="Arial" w:eastAsia="Arial" w:hAnsi="Arial"/>
                <w:sz w:val="3"/>
                <w:szCs w:val="3"/>
                <w:color w:val="0C1A80"/>
              </w:rPr>
              <w:t>Hindawi Publishing Corporation</w:t>
            </w:r>
          </w:p>
        </w:tc>
        <w:tc>
          <w:tcPr>
            <w:tcW w:w="640" w:type="dxa"/>
            <w:vAlign w:val="bottom"/>
            <w:vMerge w:val="restart"/>
          </w:tcPr>
          <w:p>
            <w:pPr>
              <w:ind w:left="460"/>
              <w:spacing w:after="0"/>
              <w:rPr>
                <w:sz w:val="20"/>
                <w:szCs w:val="20"/>
                <w:color w:val="auto"/>
              </w:rPr>
            </w:pPr>
            <w:r>
              <w:rPr>
                <w:rFonts w:ascii="Arial" w:cs="Arial" w:eastAsia="Arial" w:hAnsi="Arial"/>
                <w:sz w:val="3"/>
                <w:szCs w:val="3"/>
                <w:color w:val="0C1A80"/>
                <w:w w:val="90"/>
              </w:rPr>
              <w:t>Volume 2014</w:t>
            </w:r>
          </w:p>
        </w:tc>
        <w:tc>
          <w:tcPr>
            <w:tcW w:w="0" w:type="dxa"/>
            <w:vAlign w:val="bottom"/>
          </w:tcPr>
          <w:p>
            <w:pPr>
              <w:spacing w:after="0"/>
              <w:rPr>
                <w:sz w:val="1"/>
                <w:szCs w:val="1"/>
                <w:color w:val="auto"/>
              </w:rPr>
            </w:pPr>
          </w:p>
        </w:tc>
      </w:tr>
      <w:tr>
        <w:trPr>
          <w:trHeight w:val="40"/>
        </w:trPr>
        <w:tc>
          <w:tcPr>
            <w:tcW w:w="920" w:type="dxa"/>
            <w:vAlign w:val="bottom"/>
          </w:tcPr>
          <w:p>
            <w:pPr>
              <w:ind w:left="20"/>
              <w:spacing w:after="0"/>
              <w:rPr>
                <w:sz w:val="20"/>
                <w:szCs w:val="20"/>
                <w:color w:val="auto"/>
              </w:rPr>
            </w:pPr>
            <w:r>
              <w:rPr>
                <w:rFonts w:ascii="Arial" w:cs="Arial" w:eastAsia="Arial" w:hAnsi="Arial"/>
                <w:sz w:val="3"/>
                <w:szCs w:val="3"/>
                <w:color w:val="191919"/>
              </w:rPr>
              <w:t>http://www.hindawi.com</w:t>
            </w:r>
          </w:p>
        </w:tc>
        <w:tc>
          <w:tcPr>
            <w:tcW w:w="900" w:type="dxa"/>
            <w:vAlign w:val="bottom"/>
            <w:vMerge w:val="continue"/>
          </w:tcPr>
          <w:p>
            <w:pPr>
              <w:spacing w:after="0"/>
              <w:rPr>
                <w:sz w:val="3"/>
                <w:szCs w:val="3"/>
                <w:color w:val="auto"/>
              </w:rPr>
            </w:pPr>
          </w:p>
        </w:tc>
        <w:tc>
          <w:tcPr>
            <w:tcW w:w="1560" w:type="dxa"/>
            <w:vAlign w:val="bottom"/>
          </w:tcPr>
          <w:p>
            <w:pPr>
              <w:ind w:left="240"/>
              <w:spacing w:after="0"/>
              <w:rPr>
                <w:sz w:val="20"/>
                <w:szCs w:val="20"/>
                <w:color w:val="auto"/>
              </w:rPr>
            </w:pPr>
            <w:r>
              <w:rPr>
                <w:rFonts w:ascii="Arial" w:cs="Arial" w:eastAsia="Arial" w:hAnsi="Arial"/>
                <w:sz w:val="3"/>
                <w:szCs w:val="3"/>
                <w:color w:val="273D9B"/>
              </w:rPr>
              <w:t>http://www.hindawi.com</w:t>
            </w:r>
          </w:p>
        </w:tc>
        <w:tc>
          <w:tcPr>
            <w:tcW w:w="520" w:type="dxa"/>
            <w:vAlign w:val="bottom"/>
            <w:vMerge w:val="continue"/>
          </w:tcPr>
          <w:p>
            <w:pPr>
              <w:spacing w:after="0"/>
              <w:rPr>
                <w:sz w:val="3"/>
                <w:szCs w:val="3"/>
                <w:color w:val="auto"/>
              </w:rPr>
            </w:pPr>
          </w:p>
        </w:tc>
        <w:tc>
          <w:tcPr>
            <w:tcW w:w="1120" w:type="dxa"/>
            <w:vAlign w:val="bottom"/>
          </w:tcPr>
          <w:p>
            <w:pPr>
              <w:spacing w:after="0"/>
              <w:rPr>
                <w:sz w:val="3"/>
                <w:szCs w:val="3"/>
                <w:color w:val="auto"/>
              </w:rPr>
            </w:pPr>
          </w:p>
        </w:tc>
        <w:tc>
          <w:tcPr>
            <w:tcW w:w="820" w:type="dxa"/>
            <w:vAlign w:val="bottom"/>
          </w:tcPr>
          <w:p>
            <w:pPr>
              <w:spacing w:after="0"/>
              <w:rPr>
                <w:sz w:val="3"/>
                <w:szCs w:val="3"/>
                <w:color w:val="auto"/>
              </w:rPr>
            </w:pPr>
          </w:p>
        </w:tc>
        <w:tc>
          <w:tcPr>
            <w:tcW w:w="1240" w:type="dxa"/>
            <w:vAlign w:val="bottom"/>
          </w:tcPr>
          <w:p>
            <w:pPr>
              <w:ind w:left="300"/>
              <w:spacing w:after="0"/>
              <w:rPr>
                <w:sz w:val="20"/>
                <w:szCs w:val="20"/>
                <w:color w:val="auto"/>
              </w:rPr>
            </w:pPr>
            <w:r>
              <w:rPr>
                <w:rFonts w:ascii="Arial" w:cs="Arial" w:eastAsia="Arial" w:hAnsi="Arial"/>
                <w:sz w:val="3"/>
                <w:szCs w:val="3"/>
                <w:color w:val="191919"/>
              </w:rPr>
              <w:t>http://www.hindawi.com</w:t>
            </w:r>
          </w:p>
        </w:tc>
        <w:tc>
          <w:tcPr>
            <w:tcW w:w="860" w:type="dxa"/>
            <w:vAlign w:val="bottom"/>
            <w:vMerge w:val="continue"/>
          </w:tcPr>
          <w:p>
            <w:pPr>
              <w:spacing w:after="0"/>
              <w:rPr>
                <w:sz w:val="3"/>
                <w:szCs w:val="3"/>
                <w:color w:val="auto"/>
              </w:rPr>
            </w:pPr>
          </w:p>
        </w:tc>
        <w:tc>
          <w:tcPr>
            <w:tcW w:w="1160" w:type="dxa"/>
            <w:vAlign w:val="bottom"/>
          </w:tcPr>
          <w:p>
            <w:pPr>
              <w:ind w:left="240"/>
              <w:spacing w:after="0"/>
              <w:rPr>
                <w:sz w:val="20"/>
                <w:szCs w:val="20"/>
                <w:color w:val="auto"/>
              </w:rPr>
            </w:pPr>
            <w:r>
              <w:rPr>
                <w:rFonts w:ascii="Arial" w:cs="Arial" w:eastAsia="Arial" w:hAnsi="Arial"/>
                <w:sz w:val="3"/>
                <w:szCs w:val="3"/>
                <w:color w:val="0C1A80"/>
              </w:rPr>
              <w:t>http://www.hindawi.com</w:t>
            </w: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201295</wp:posOffset>
            </wp:positionV>
            <wp:extent cx="6351270" cy="32372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6351270" cy="3237230"/>
                    </a:xfrm>
                    <a:prstGeom prst="rect">
                      <a:avLst/>
                    </a:prstGeom>
                    <a:noFill/>
                  </pic:spPr>
                </pic:pic>
              </a:graphicData>
            </a:graphic>
          </wp:anchor>
        </w:drawing>
      </w:r>
    </w:p>
    <w:p>
      <w:pPr>
        <w:sectPr>
          <w:pgSz w:w="12000" w:h="15840" w:orient="portrait"/>
          <w:cols w:equalWidth="0" w:num="1">
            <w:col w:w="9760"/>
          </w:cols>
          <w:pgMar w:left="1120" w:top="1440" w:right="1120" w:bottom="55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Arial" w:cs="Arial" w:eastAsia="Arial" w:hAnsi="Arial"/>
          <w:sz w:val="14"/>
          <w:szCs w:val="14"/>
          <w:color w:val="FFFFFF"/>
        </w:rPr>
        <w:t>Journal of</w:t>
      </w:r>
    </w:p>
    <w:p>
      <w:pPr>
        <w:spacing w:after="0"/>
        <w:rPr>
          <w:sz w:val="20"/>
          <w:szCs w:val="20"/>
          <w:color w:val="auto"/>
        </w:rPr>
      </w:pPr>
      <w:r>
        <w:rPr>
          <w:rFonts w:ascii="Arial" w:cs="Arial" w:eastAsia="Arial" w:hAnsi="Arial"/>
          <w:sz w:val="15"/>
          <w:szCs w:val="15"/>
          <w:color w:val="FFFFFF"/>
        </w:rPr>
        <w:t>Immunology Research</w:t>
      </w:r>
    </w:p>
    <w:p>
      <w:pPr>
        <w:spacing w:after="0" w:line="77" w:lineRule="exact"/>
        <w:rPr>
          <w:sz w:val="20"/>
          <w:szCs w:val="20"/>
          <w:color w:val="auto"/>
        </w:rPr>
      </w:pPr>
    </w:p>
    <w:tbl>
      <w:tblPr>
        <w:tblLayout w:type="fixed"/>
        <w:tblInd w:w="20" w:type="dxa"/>
        <w:tblCellMar>
          <w:top w:w="0" w:type="dxa"/>
          <w:left w:w="0" w:type="dxa"/>
          <w:bottom w:w="0" w:type="dxa"/>
          <w:right w:w="0" w:type="dxa"/>
        </w:tblCellMar>
      </w:tblPr>
      <w:tr>
        <w:trPr>
          <w:trHeight w:val="37"/>
        </w:trPr>
        <w:tc>
          <w:tcPr>
            <w:tcW w:w="920" w:type="dxa"/>
            <w:vAlign w:val="bottom"/>
          </w:tcPr>
          <w:p>
            <w:pPr>
              <w:spacing w:after="0"/>
              <w:rPr>
                <w:sz w:val="20"/>
                <w:szCs w:val="20"/>
                <w:color w:val="auto"/>
              </w:rPr>
            </w:pPr>
            <w:r>
              <w:rPr>
                <w:rFonts w:ascii="Arial" w:cs="Arial" w:eastAsia="Arial" w:hAnsi="Arial"/>
                <w:sz w:val="3"/>
                <w:szCs w:val="3"/>
                <w:color w:val="FFFFFF"/>
              </w:rPr>
              <w:t>Hindawi Publishing Corporation</w:t>
            </w:r>
          </w:p>
        </w:tc>
        <w:tc>
          <w:tcPr>
            <w:tcW w:w="640" w:type="dxa"/>
            <w:vAlign w:val="bottom"/>
            <w:vMerge w:val="restart"/>
          </w:tcPr>
          <w:p>
            <w:pPr>
              <w:ind w:left="460"/>
              <w:spacing w:after="0"/>
              <w:rPr>
                <w:sz w:val="20"/>
                <w:szCs w:val="20"/>
                <w:color w:val="auto"/>
              </w:rPr>
            </w:pPr>
            <w:r>
              <w:rPr>
                <w:rFonts w:ascii="Arial" w:cs="Arial" w:eastAsia="Arial" w:hAnsi="Arial"/>
                <w:sz w:val="3"/>
                <w:szCs w:val="3"/>
                <w:color w:val="FFFFFF"/>
                <w:w w:val="90"/>
              </w:rPr>
              <w:t>Volume 2014</w:t>
            </w:r>
          </w:p>
        </w:tc>
        <w:tc>
          <w:tcPr>
            <w:tcW w:w="0" w:type="dxa"/>
            <w:vAlign w:val="bottom"/>
          </w:tcPr>
          <w:p>
            <w:pPr>
              <w:spacing w:after="0" w:line="20" w:lineRule="exact"/>
              <w:rPr>
                <w:sz w:val="1"/>
                <w:szCs w:val="1"/>
                <w:color w:val="auto"/>
              </w:rPr>
            </w:pPr>
          </w:p>
        </w:tc>
      </w:tr>
      <w:tr>
        <w:trPr>
          <w:trHeight w:val="38"/>
        </w:trPr>
        <w:tc>
          <w:tcPr>
            <w:tcW w:w="920" w:type="dxa"/>
            <w:vAlign w:val="bottom"/>
          </w:tcPr>
          <w:p>
            <w:pPr>
              <w:spacing w:after="0"/>
              <w:rPr>
                <w:sz w:val="20"/>
                <w:szCs w:val="20"/>
                <w:color w:val="auto"/>
              </w:rPr>
            </w:pPr>
            <w:r>
              <w:rPr>
                <w:rFonts w:ascii="Arial" w:cs="Arial" w:eastAsia="Arial" w:hAnsi="Arial"/>
                <w:sz w:val="3"/>
                <w:szCs w:val="3"/>
                <w:color w:val="FFFFFF"/>
              </w:rPr>
              <w:t>http://www.hindawi.com</w:t>
            </w: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wp:posOffset>
            </wp:positionH>
            <wp:positionV relativeFrom="paragraph">
              <wp:posOffset>204470</wp:posOffset>
            </wp:positionV>
            <wp:extent cx="1170305" cy="15563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extLst>
                    </a:blip>
                    <a:srcRect/>
                    <a:stretch>
                      <a:fillRect/>
                    </a:stretch>
                  </pic:blipFill>
                  <pic:spPr bwMode="auto">
                    <a:xfrm>
                      <a:off x="0" y="0"/>
                      <a:ext cx="1170305" cy="1556385"/>
                    </a:xfrm>
                    <a:prstGeom prst="rect">
                      <a:avLst/>
                    </a:prstGeom>
                    <a:noFill/>
                  </pic:spPr>
                </pic:pic>
              </a:graphicData>
            </a:graphic>
          </wp:anchor>
        </w:drawing>
        <w:drawing>
          <wp:anchor simplePos="0" relativeHeight="251657728" behindDoc="1" locked="0" layoutInCell="0" allowOverlap="1">
            <wp:simplePos x="0" y="0"/>
            <wp:positionH relativeFrom="column">
              <wp:posOffset>-76835</wp:posOffset>
            </wp:positionH>
            <wp:positionV relativeFrom="paragraph">
              <wp:posOffset>204470</wp:posOffset>
            </wp:positionV>
            <wp:extent cx="1170305" cy="15563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extLst>
                    </a:blip>
                    <a:srcRect/>
                    <a:stretch>
                      <a:fillRect/>
                    </a:stretch>
                  </pic:blipFill>
                  <pic:spPr bwMode="auto">
                    <a:xfrm>
                      <a:off x="0" y="0"/>
                      <a:ext cx="1170305" cy="15563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14"/>
          <w:szCs w:val="14"/>
          <w:color w:val="D9D9D9"/>
        </w:rPr>
        <w:t>International Journal of</w:t>
      </w:r>
    </w:p>
    <w:p>
      <w:pPr>
        <w:spacing w:after="0"/>
        <w:rPr>
          <w:sz w:val="20"/>
          <w:szCs w:val="20"/>
          <w:color w:val="auto"/>
        </w:rPr>
      </w:pPr>
      <w:r>
        <w:rPr>
          <w:rFonts w:ascii="Arial" w:cs="Arial" w:eastAsia="Arial" w:hAnsi="Arial"/>
          <w:sz w:val="24"/>
          <w:szCs w:val="24"/>
          <w:color w:val="D9D9D9"/>
        </w:rPr>
        <w:t>Endocrinology</w:t>
      </w:r>
    </w:p>
    <w:p>
      <w:pPr>
        <w:spacing w:after="0" w:line="26" w:lineRule="exact"/>
        <w:rPr>
          <w:sz w:val="20"/>
          <w:szCs w:val="20"/>
          <w:color w:val="auto"/>
        </w:rPr>
      </w:pPr>
    </w:p>
    <w:p>
      <w:pPr>
        <w:ind w:left="20"/>
        <w:spacing w:after="0"/>
        <w:rPr>
          <w:sz w:val="20"/>
          <w:szCs w:val="20"/>
          <w:color w:val="auto"/>
        </w:rPr>
      </w:pPr>
      <w:r>
        <w:rPr>
          <w:rFonts w:ascii="Arial" w:cs="Arial" w:eastAsia="Arial" w:hAnsi="Arial"/>
          <w:sz w:val="3"/>
          <w:szCs w:val="3"/>
          <w:color w:val="D9D9D9"/>
        </w:rPr>
        <w:t>Hindawi Publishing Corporation</w:t>
      </w:r>
    </w:p>
    <w:p>
      <w:pPr>
        <w:spacing w:after="0" w:line="3" w:lineRule="exact"/>
        <w:rPr>
          <w:sz w:val="20"/>
          <w:szCs w:val="20"/>
          <w:color w:val="auto"/>
        </w:rPr>
      </w:pPr>
    </w:p>
    <w:p>
      <w:pPr>
        <w:ind w:left="20"/>
        <w:spacing w:after="0"/>
        <w:tabs>
          <w:tab w:leader="none" w:pos="1380" w:val="left"/>
        </w:tabs>
        <w:rPr>
          <w:sz w:val="20"/>
          <w:szCs w:val="20"/>
          <w:color w:val="auto"/>
        </w:rPr>
      </w:pPr>
      <w:r>
        <w:rPr>
          <w:rFonts w:ascii="Arial" w:cs="Arial" w:eastAsia="Arial" w:hAnsi="Arial"/>
          <w:sz w:val="3"/>
          <w:szCs w:val="3"/>
          <w:color w:val="D9D9D9"/>
        </w:rPr>
        <w:t>http://www.hindawi.com</w:t>
      </w:r>
      <w:r>
        <w:rPr>
          <w:sz w:val="20"/>
          <w:szCs w:val="20"/>
          <w:color w:val="auto"/>
        </w:rPr>
        <w:tab/>
      </w:r>
      <w:r>
        <w:rPr>
          <w:rFonts w:ascii="Arial" w:cs="Arial" w:eastAsia="Arial" w:hAnsi="Arial"/>
          <w:sz w:val="3"/>
          <w:szCs w:val="3"/>
          <w:color w:val="D9D9D9"/>
        </w:rPr>
        <w:t>Volume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206375</wp:posOffset>
            </wp:positionV>
            <wp:extent cx="1169670" cy="15563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extLst>
                    </a:blip>
                    <a:srcRect/>
                    <a:stretch>
                      <a:fillRect/>
                    </a:stretch>
                  </pic:blipFill>
                  <pic:spPr bwMode="auto">
                    <a:xfrm>
                      <a:off x="0" y="0"/>
                      <a:ext cx="1169670" cy="1556385"/>
                    </a:xfrm>
                    <a:prstGeom prst="rect">
                      <a:avLst/>
                    </a:prstGeom>
                    <a:noFill/>
                  </pic:spPr>
                </pic:pic>
              </a:graphicData>
            </a:graphic>
          </wp:anchor>
        </w:drawing>
        <w:drawing>
          <wp:anchor simplePos="0" relativeHeight="251657728" behindDoc="1" locked="0" layoutInCell="0" allowOverlap="1">
            <wp:simplePos x="0" y="0"/>
            <wp:positionH relativeFrom="column">
              <wp:posOffset>-75565</wp:posOffset>
            </wp:positionH>
            <wp:positionV relativeFrom="paragraph">
              <wp:posOffset>206375</wp:posOffset>
            </wp:positionV>
            <wp:extent cx="1169670" cy="15563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extLst>
                    </a:blip>
                    <a:srcRect/>
                    <a:stretch>
                      <a:fillRect/>
                    </a:stretch>
                  </pic:blipFill>
                  <pic:spPr bwMode="auto">
                    <a:xfrm>
                      <a:off x="0" y="0"/>
                      <a:ext cx="1169670" cy="1556385"/>
                    </a:xfrm>
                    <a:prstGeom prst="rect">
                      <a:avLst/>
                    </a:prstGeom>
                    <a:noFill/>
                  </pic:spPr>
                </pic:pic>
              </a:graphicData>
            </a:graphic>
          </wp:anchor>
        </w:drawing>
      </w:r>
    </w:p>
    <w:p>
      <w:pPr>
        <w:spacing w:after="0" w:line="203" w:lineRule="exact"/>
        <w:rPr>
          <w:sz w:val="20"/>
          <w:szCs w:val="20"/>
          <w:color w:val="auto"/>
        </w:rPr>
      </w:pPr>
    </w:p>
    <w:p>
      <w:pPr>
        <w:sectPr>
          <w:pgSz w:w="12000" w:h="15840" w:orient="portrait"/>
          <w:cols w:equalWidth="0" w:num="2">
            <w:col w:w="7440" w:space="720"/>
            <w:col w:w="1600"/>
          </w:cols>
          <w:pgMar w:left="1120" w:top="1440" w:right="1120" w:bottom="55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Arial" w:cs="Arial" w:eastAsia="Arial" w:hAnsi="Arial"/>
          <w:sz w:val="21"/>
          <w:szCs w:val="21"/>
          <w:color w:val="E6E6E6"/>
        </w:rPr>
        <w:t>PPAR Research</w:t>
      </w:r>
    </w:p>
    <w:p>
      <w:pPr>
        <w:spacing w:after="0" w:line="60" w:lineRule="exact"/>
        <w:rPr>
          <w:sz w:val="20"/>
          <w:szCs w:val="20"/>
          <w:color w:val="auto"/>
        </w:rPr>
      </w:pPr>
    </w:p>
    <w:p>
      <w:pPr>
        <w:ind w:left="20"/>
        <w:spacing w:after="0"/>
        <w:rPr>
          <w:sz w:val="20"/>
          <w:szCs w:val="20"/>
          <w:color w:val="auto"/>
        </w:rPr>
      </w:pPr>
      <w:r>
        <w:rPr>
          <w:rFonts w:ascii="Arial" w:cs="Arial" w:eastAsia="Arial" w:hAnsi="Arial"/>
          <w:sz w:val="3"/>
          <w:szCs w:val="3"/>
          <w:color w:val="E6E6E6"/>
        </w:rPr>
        <w:t>Hindawi Publishing Corporation</w:t>
      </w:r>
    </w:p>
    <w:p>
      <w:pPr>
        <w:spacing w:after="0" w:line="3" w:lineRule="exact"/>
        <w:rPr>
          <w:sz w:val="20"/>
          <w:szCs w:val="20"/>
          <w:color w:val="auto"/>
        </w:rPr>
      </w:pPr>
    </w:p>
    <w:p>
      <w:pPr>
        <w:ind w:left="20"/>
        <w:spacing w:after="0"/>
        <w:tabs>
          <w:tab w:leader="none" w:pos="1380" w:val="left"/>
        </w:tabs>
        <w:rPr>
          <w:sz w:val="20"/>
          <w:szCs w:val="20"/>
          <w:color w:val="auto"/>
        </w:rPr>
      </w:pPr>
      <w:r>
        <w:rPr>
          <w:rFonts w:ascii="Arial" w:cs="Arial" w:eastAsia="Arial" w:hAnsi="Arial"/>
          <w:sz w:val="3"/>
          <w:szCs w:val="3"/>
          <w:color w:val="E6E6E6"/>
        </w:rPr>
        <w:t>http://www.hindawi.com</w:t>
      </w:r>
      <w:r>
        <w:rPr>
          <w:sz w:val="20"/>
          <w:szCs w:val="20"/>
          <w:color w:val="auto"/>
        </w:rPr>
        <w:tab/>
      </w:r>
      <w:r>
        <w:rPr>
          <w:rFonts w:ascii="Arial" w:cs="Arial" w:eastAsia="Arial" w:hAnsi="Arial"/>
          <w:sz w:val="3"/>
          <w:szCs w:val="3"/>
          <w:color w:val="E6E6E6"/>
        </w:rPr>
        <w:t>Volume 2014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206375</wp:posOffset>
            </wp:positionV>
            <wp:extent cx="1169670" cy="15563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extLst>
                    </a:blip>
                    <a:srcRect/>
                    <a:stretch>
                      <a:fillRect/>
                    </a:stretch>
                  </pic:blipFill>
                  <pic:spPr bwMode="auto">
                    <a:xfrm>
                      <a:off x="0" y="0"/>
                      <a:ext cx="1169670" cy="1556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rPr>
          <w:sz w:val="20"/>
          <w:szCs w:val="20"/>
          <w:color w:val="auto"/>
        </w:rPr>
      </w:pPr>
      <w:r>
        <w:rPr>
          <w:rFonts w:ascii="Arial" w:cs="Arial" w:eastAsia="Arial" w:hAnsi="Arial"/>
          <w:sz w:val="14"/>
          <w:szCs w:val="14"/>
          <w:color w:val="FFFFFF"/>
        </w:rPr>
        <w:t>Journal of</w:t>
      </w:r>
    </w:p>
    <w:p>
      <w:pPr>
        <w:spacing w:after="0"/>
        <w:rPr>
          <w:sz w:val="20"/>
          <w:szCs w:val="20"/>
          <w:color w:val="auto"/>
        </w:rPr>
      </w:pPr>
      <w:r>
        <w:rPr>
          <w:rFonts w:ascii="Arial" w:cs="Arial" w:eastAsia="Arial" w:hAnsi="Arial"/>
          <w:sz w:val="23"/>
          <w:szCs w:val="23"/>
          <w:color w:val="FFFFFF"/>
        </w:rPr>
        <w:t>Ophthalmology</w:t>
      </w:r>
    </w:p>
    <w:p>
      <w:pPr>
        <w:spacing w:after="0" w:line="37" w:lineRule="exact"/>
        <w:rPr>
          <w:sz w:val="20"/>
          <w:szCs w:val="20"/>
          <w:color w:val="auto"/>
        </w:rPr>
      </w:pPr>
    </w:p>
    <w:tbl>
      <w:tblPr>
        <w:tblLayout w:type="fixed"/>
        <w:tblInd w:w="20" w:type="dxa"/>
        <w:tblCellMar>
          <w:top w:w="0" w:type="dxa"/>
          <w:left w:w="0" w:type="dxa"/>
          <w:bottom w:w="0" w:type="dxa"/>
          <w:right w:w="0" w:type="dxa"/>
        </w:tblCellMar>
      </w:tblPr>
      <w:tr>
        <w:trPr>
          <w:trHeight w:val="37"/>
        </w:trPr>
        <w:tc>
          <w:tcPr>
            <w:tcW w:w="920" w:type="dxa"/>
            <w:vAlign w:val="bottom"/>
          </w:tcPr>
          <w:p>
            <w:pPr>
              <w:spacing w:after="0"/>
              <w:rPr>
                <w:sz w:val="20"/>
                <w:szCs w:val="20"/>
                <w:color w:val="auto"/>
              </w:rPr>
            </w:pPr>
            <w:r>
              <w:rPr>
                <w:rFonts w:ascii="Arial" w:cs="Arial" w:eastAsia="Arial" w:hAnsi="Arial"/>
                <w:sz w:val="3"/>
                <w:szCs w:val="3"/>
                <w:color w:val="FFFFFF"/>
              </w:rPr>
              <w:t>Hindawi Publishing Corporation</w:t>
            </w:r>
          </w:p>
        </w:tc>
        <w:tc>
          <w:tcPr>
            <w:tcW w:w="640" w:type="dxa"/>
            <w:vAlign w:val="bottom"/>
            <w:vMerge w:val="restart"/>
          </w:tcPr>
          <w:p>
            <w:pPr>
              <w:ind w:left="460"/>
              <w:spacing w:after="0"/>
              <w:rPr>
                <w:sz w:val="20"/>
                <w:szCs w:val="20"/>
                <w:color w:val="auto"/>
              </w:rPr>
            </w:pPr>
            <w:r>
              <w:rPr>
                <w:rFonts w:ascii="Arial" w:cs="Arial" w:eastAsia="Arial" w:hAnsi="Arial"/>
                <w:sz w:val="3"/>
                <w:szCs w:val="3"/>
                <w:color w:val="FFFFFF"/>
                <w:w w:val="90"/>
              </w:rPr>
              <w:t>Volume 2014</w:t>
            </w:r>
          </w:p>
        </w:tc>
        <w:tc>
          <w:tcPr>
            <w:tcW w:w="0" w:type="dxa"/>
            <w:vAlign w:val="bottom"/>
          </w:tcPr>
          <w:p>
            <w:pPr>
              <w:spacing w:after="0" w:line="20" w:lineRule="exact"/>
              <w:rPr>
                <w:sz w:val="1"/>
                <w:szCs w:val="1"/>
                <w:color w:val="auto"/>
              </w:rPr>
            </w:pPr>
          </w:p>
        </w:tc>
      </w:tr>
      <w:tr>
        <w:trPr>
          <w:trHeight w:val="38"/>
        </w:trPr>
        <w:tc>
          <w:tcPr>
            <w:tcW w:w="920" w:type="dxa"/>
            <w:vAlign w:val="bottom"/>
          </w:tcPr>
          <w:p>
            <w:pPr>
              <w:spacing w:after="0"/>
              <w:rPr>
                <w:sz w:val="20"/>
                <w:szCs w:val="20"/>
                <w:color w:val="auto"/>
              </w:rPr>
            </w:pPr>
            <w:r>
              <w:rPr>
                <w:rFonts w:ascii="Arial" w:cs="Arial" w:eastAsia="Arial" w:hAnsi="Arial"/>
                <w:sz w:val="3"/>
                <w:szCs w:val="3"/>
                <w:color w:val="FFFFFF"/>
              </w:rPr>
              <w:t>http://www.hindawi.com</w:t>
            </w: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wp:posOffset>
            </wp:positionH>
            <wp:positionV relativeFrom="paragraph">
              <wp:posOffset>204470</wp:posOffset>
            </wp:positionV>
            <wp:extent cx="1170305" cy="15563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extLst>
                    </a:blip>
                    <a:srcRect/>
                    <a:stretch>
                      <a:fillRect/>
                    </a:stretch>
                  </pic:blipFill>
                  <pic:spPr bwMode="auto">
                    <a:xfrm>
                      <a:off x="0" y="0"/>
                      <a:ext cx="1170305" cy="1556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firstLine="8"/>
        <w:spacing w:after="0" w:line="222" w:lineRule="auto"/>
        <w:rPr>
          <w:sz w:val="20"/>
          <w:szCs w:val="20"/>
          <w:color w:val="auto"/>
        </w:rPr>
      </w:pPr>
      <w:r>
        <w:rPr>
          <w:rFonts w:ascii="Arial" w:cs="Arial" w:eastAsia="Arial" w:hAnsi="Arial"/>
          <w:sz w:val="17"/>
          <w:szCs w:val="17"/>
          <w:color w:val="E6E6E6"/>
        </w:rPr>
        <w:t>Computational and Mathematical Methods in Medicine</w:t>
      </w:r>
    </w:p>
    <w:p>
      <w:pPr>
        <w:spacing w:after="0" w:line="41" w:lineRule="exact"/>
        <w:rPr>
          <w:sz w:val="20"/>
          <w:szCs w:val="20"/>
          <w:color w:val="auto"/>
        </w:rPr>
      </w:pPr>
    </w:p>
    <w:tbl>
      <w:tblPr>
        <w:tblLayout w:type="fixed"/>
        <w:tblInd w:w="20" w:type="dxa"/>
        <w:tblCellMar>
          <w:top w:w="0" w:type="dxa"/>
          <w:left w:w="0" w:type="dxa"/>
          <w:bottom w:w="0" w:type="dxa"/>
          <w:right w:w="0" w:type="dxa"/>
        </w:tblCellMar>
      </w:tblPr>
      <w:tr>
        <w:trPr>
          <w:trHeight w:val="37"/>
        </w:trPr>
        <w:tc>
          <w:tcPr>
            <w:tcW w:w="920" w:type="dxa"/>
            <w:vAlign w:val="bottom"/>
          </w:tcPr>
          <w:p>
            <w:pPr>
              <w:spacing w:after="0"/>
              <w:rPr>
                <w:sz w:val="20"/>
                <w:szCs w:val="20"/>
                <w:color w:val="auto"/>
              </w:rPr>
            </w:pPr>
            <w:r>
              <w:rPr>
                <w:rFonts w:ascii="Arial" w:cs="Arial" w:eastAsia="Arial" w:hAnsi="Arial"/>
                <w:sz w:val="3"/>
                <w:szCs w:val="3"/>
                <w:color w:val="E6E6E6"/>
              </w:rPr>
              <w:t>Hindawi Publishing Corporation</w:t>
            </w:r>
          </w:p>
        </w:tc>
        <w:tc>
          <w:tcPr>
            <w:tcW w:w="640" w:type="dxa"/>
            <w:vAlign w:val="bottom"/>
            <w:vMerge w:val="restart"/>
          </w:tcPr>
          <w:p>
            <w:pPr>
              <w:ind w:left="460"/>
              <w:spacing w:after="0"/>
              <w:rPr>
                <w:sz w:val="20"/>
                <w:szCs w:val="20"/>
                <w:color w:val="auto"/>
              </w:rPr>
            </w:pPr>
            <w:r>
              <w:rPr>
                <w:rFonts w:ascii="Arial" w:cs="Arial" w:eastAsia="Arial" w:hAnsi="Arial"/>
                <w:sz w:val="3"/>
                <w:szCs w:val="3"/>
                <w:color w:val="E6E6E6"/>
                <w:w w:val="90"/>
              </w:rPr>
              <w:t>Volume 2014</w:t>
            </w:r>
          </w:p>
        </w:tc>
        <w:tc>
          <w:tcPr>
            <w:tcW w:w="0" w:type="dxa"/>
            <w:vAlign w:val="bottom"/>
          </w:tcPr>
          <w:p>
            <w:pPr>
              <w:spacing w:after="0" w:line="20" w:lineRule="exact"/>
              <w:rPr>
                <w:sz w:val="1"/>
                <w:szCs w:val="1"/>
                <w:color w:val="auto"/>
              </w:rPr>
            </w:pPr>
          </w:p>
        </w:tc>
      </w:tr>
      <w:tr>
        <w:trPr>
          <w:trHeight w:val="38"/>
        </w:trPr>
        <w:tc>
          <w:tcPr>
            <w:tcW w:w="920" w:type="dxa"/>
            <w:vAlign w:val="bottom"/>
          </w:tcPr>
          <w:p>
            <w:pPr>
              <w:spacing w:after="0"/>
              <w:rPr>
                <w:sz w:val="20"/>
                <w:szCs w:val="20"/>
                <w:color w:val="auto"/>
              </w:rPr>
            </w:pPr>
            <w:r>
              <w:rPr>
                <w:rFonts w:ascii="Arial" w:cs="Arial" w:eastAsia="Arial" w:hAnsi="Arial"/>
                <w:sz w:val="3"/>
                <w:szCs w:val="3"/>
                <w:color w:val="E6E6E6"/>
              </w:rPr>
              <w:t>http://www.hindawi.com</w:t>
            </w: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2040"/>
        <w:spacing w:after="0"/>
        <w:rPr>
          <w:sz w:val="20"/>
          <w:szCs w:val="20"/>
          <w:color w:val="auto"/>
        </w:rPr>
      </w:pPr>
      <w:r>
        <w:rPr>
          <w:rFonts w:ascii="Arial" w:cs="Arial" w:eastAsia="Arial" w:hAnsi="Arial"/>
          <w:sz w:val="27"/>
          <w:szCs w:val="27"/>
          <w:color w:val="auto"/>
        </w:rPr>
        <w:t>Submit your manuscripts at</w:t>
      </w:r>
    </w:p>
    <w:p>
      <w:pPr>
        <w:spacing w:after="0" w:line="8" w:lineRule="exact"/>
        <w:rPr>
          <w:sz w:val="20"/>
          <w:szCs w:val="20"/>
          <w:color w:val="auto"/>
        </w:rPr>
      </w:pPr>
    </w:p>
    <w:p>
      <w:pPr>
        <w:jc w:val="center"/>
        <w:ind w:right="2040"/>
        <w:spacing w:after="0"/>
        <w:rPr>
          <w:sz w:val="20"/>
          <w:szCs w:val="20"/>
          <w:color w:val="auto"/>
        </w:rPr>
      </w:pPr>
      <w:r>
        <w:rPr>
          <w:rFonts w:ascii="Arial" w:cs="Arial" w:eastAsia="Arial" w:hAnsi="Arial"/>
          <w:sz w:val="27"/>
          <w:szCs w:val="27"/>
          <w:color w:val="auto"/>
        </w:rPr>
        <w:t>http://www.hindawi.com</w:t>
      </w:r>
    </w:p>
    <w:p>
      <w:pPr>
        <w:spacing w:after="0" w:line="200" w:lineRule="exact"/>
        <w:rPr>
          <w:sz w:val="20"/>
          <w:szCs w:val="20"/>
          <w:color w:val="auto"/>
        </w:rPr>
      </w:pPr>
    </w:p>
    <w:p>
      <w:pPr>
        <w:spacing w:after="0" w:line="297" w:lineRule="exact"/>
        <w:rPr>
          <w:sz w:val="20"/>
          <w:szCs w:val="20"/>
          <w:color w:val="auto"/>
        </w:rPr>
      </w:pPr>
    </w:p>
    <w:p>
      <w:pPr>
        <w:ind w:left="6120"/>
        <w:spacing w:after="0"/>
        <w:rPr>
          <w:sz w:val="20"/>
          <w:szCs w:val="20"/>
          <w:color w:val="auto"/>
        </w:rPr>
      </w:pPr>
      <w:r>
        <w:rPr>
          <w:rFonts w:ascii="Arial" w:cs="Arial" w:eastAsia="Arial" w:hAnsi="Arial"/>
          <w:sz w:val="19"/>
          <w:szCs w:val="19"/>
          <w:color w:val="FFFFFF"/>
        </w:rPr>
        <w:t>BioMed</w:t>
      </w:r>
    </w:p>
    <w:p>
      <w:pPr>
        <w:ind w:left="6120"/>
        <w:spacing w:after="0"/>
        <w:rPr>
          <w:sz w:val="20"/>
          <w:szCs w:val="20"/>
          <w:color w:val="auto"/>
        </w:rPr>
      </w:pPr>
      <w:r>
        <w:rPr>
          <w:rFonts w:ascii="Arial" w:cs="Arial" w:eastAsia="Arial" w:hAnsi="Arial"/>
          <w:sz w:val="15"/>
          <w:szCs w:val="15"/>
          <w:color w:val="FFFFFF"/>
        </w:rPr>
        <w:t>Research International</w:t>
      </w:r>
    </w:p>
    <w:p>
      <w:pPr>
        <w:spacing w:after="0" w:line="80" w:lineRule="exact"/>
        <w:rPr>
          <w:sz w:val="20"/>
          <w:szCs w:val="20"/>
          <w:color w:val="auto"/>
        </w:rPr>
      </w:pPr>
    </w:p>
    <w:tbl>
      <w:tblPr>
        <w:tblLayout w:type="fixed"/>
        <w:tblInd w:w="6140" w:type="dxa"/>
        <w:tblCellMar>
          <w:top w:w="0" w:type="dxa"/>
          <w:left w:w="0" w:type="dxa"/>
          <w:bottom w:w="0" w:type="dxa"/>
          <w:right w:w="0" w:type="dxa"/>
        </w:tblCellMar>
      </w:tblPr>
      <w:tr>
        <w:trPr>
          <w:trHeight w:val="37"/>
        </w:trPr>
        <w:tc>
          <w:tcPr>
            <w:tcW w:w="920" w:type="dxa"/>
            <w:vAlign w:val="bottom"/>
          </w:tcPr>
          <w:p>
            <w:pPr>
              <w:spacing w:after="0"/>
              <w:rPr>
                <w:sz w:val="20"/>
                <w:szCs w:val="20"/>
                <w:color w:val="auto"/>
              </w:rPr>
            </w:pPr>
            <w:r>
              <w:rPr>
                <w:rFonts w:ascii="Arial" w:cs="Arial" w:eastAsia="Arial" w:hAnsi="Arial"/>
                <w:sz w:val="3"/>
                <w:szCs w:val="3"/>
                <w:color w:val="FFFFFF"/>
              </w:rPr>
              <w:t>Hindawi Publishing Corporation</w:t>
            </w:r>
          </w:p>
        </w:tc>
        <w:tc>
          <w:tcPr>
            <w:tcW w:w="640" w:type="dxa"/>
            <w:vAlign w:val="bottom"/>
            <w:vMerge w:val="restart"/>
          </w:tcPr>
          <w:p>
            <w:pPr>
              <w:ind w:left="460"/>
              <w:spacing w:after="0"/>
              <w:rPr>
                <w:sz w:val="20"/>
                <w:szCs w:val="20"/>
                <w:color w:val="auto"/>
              </w:rPr>
            </w:pPr>
            <w:r>
              <w:rPr>
                <w:rFonts w:ascii="Arial" w:cs="Arial" w:eastAsia="Arial" w:hAnsi="Arial"/>
                <w:sz w:val="3"/>
                <w:szCs w:val="3"/>
                <w:color w:val="FFFFFF"/>
                <w:w w:val="90"/>
              </w:rPr>
              <w:t>Volume 2014</w:t>
            </w:r>
          </w:p>
        </w:tc>
        <w:tc>
          <w:tcPr>
            <w:tcW w:w="0" w:type="dxa"/>
            <w:vAlign w:val="bottom"/>
          </w:tcPr>
          <w:p>
            <w:pPr>
              <w:spacing w:after="0" w:line="20" w:lineRule="exact"/>
              <w:rPr>
                <w:sz w:val="1"/>
                <w:szCs w:val="1"/>
                <w:color w:val="auto"/>
              </w:rPr>
            </w:pPr>
          </w:p>
        </w:tc>
      </w:tr>
      <w:tr>
        <w:trPr>
          <w:trHeight w:val="38"/>
        </w:trPr>
        <w:tc>
          <w:tcPr>
            <w:tcW w:w="920" w:type="dxa"/>
            <w:vAlign w:val="bottom"/>
          </w:tcPr>
          <w:p>
            <w:pPr>
              <w:spacing w:after="0"/>
              <w:rPr>
                <w:sz w:val="20"/>
                <w:szCs w:val="20"/>
                <w:color w:val="auto"/>
              </w:rPr>
            </w:pPr>
            <w:r>
              <w:rPr>
                <w:rFonts w:ascii="Arial" w:cs="Arial" w:eastAsia="Arial" w:hAnsi="Arial"/>
                <w:sz w:val="3"/>
                <w:szCs w:val="3"/>
                <w:color w:val="FFFFFF"/>
              </w:rPr>
              <w:t>http://www.hindawi.com</w:t>
            </w:r>
          </w:p>
        </w:tc>
        <w:tc>
          <w:tcPr>
            <w:tcW w:w="64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203835</wp:posOffset>
            </wp:positionV>
            <wp:extent cx="5055870" cy="15563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5055870" cy="1556385"/>
                    </a:xfrm>
                    <a:prstGeom prst="rect">
                      <a:avLst/>
                    </a:prstGeom>
                    <a:noFill/>
                  </pic:spPr>
                </pic:pic>
              </a:graphicData>
            </a:graphic>
          </wp:anchor>
        </w:drawing>
      </w:r>
    </w:p>
    <w:p>
      <w:pPr>
        <w:spacing w:after="0" w:line="377" w:lineRule="exact"/>
        <w:rPr>
          <w:sz w:val="20"/>
          <w:szCs w:val="20"/>
          <w:color w:val="auto"/>
        </w:rPr>
      </w:pPr>
    </w:p>
    <w:p>
      <w:pPr>
        <w:ind w:left="4080"/>
        <w:spacing w:after="0"/>
        <w:rPr>
          <w:sz w:val="20"/>
          <w:szCs w:val="20"/>
          <w:color w:val="auto"/>
        </w:rPr>
      </w:pPr>
      <w:r>
        <w:rPr>
          <w:rFonts w:ascii="Arial" w:cs="Arial" w:eastAsia="Arial" w:hAnsi="Arial"/>
          <w:sz w:val="14"/>
          <w:szCs w:val="14"/>
          <w:color w:val="FDDFA3"/>
        </w:rPr>
        <w:t>Journal of</w:t>
      </w:r>
    </w:p>
    <w:p>
      <w:pPr>
        <w:ind w:left="4080"/>
        <w:spacing w:after="0" w:line="232" w:lineRule="auto"/>
        <w:rPr>
          <w:sz w:val="20"/>
          <w:szCs w:val="20"/>
          <w:color w:val="auto"/>
        </w:rPr>
      </w:pPr>
      <w:r>
        <w:rPr>
          <w:rFonts w:ascii="Arial" w:cs="Arial" w:eastAsia="Arial" w:hAnsi="Arial"/>
          <w:sz w:val="25"/>
          <w:szCs w:val="25"/>
          <w:color w:val="FDDFA3"/>
        </w:rPr>
        <w:t>Obesity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tbl>
      <w:tblPr>
        <w:tblLayout w:type="fixed"/>
        <w:tblInd w:w="0" w:type="dxa"/>
        <w:tblCellMar>
          <w:top w:w="0" w:type="dxa"/>
          <w:left w:w="0" w:type="dxa"/>
          <w:bottom w:w="0" w:type="dxa"/>
          <w:right w:w="0" w:type="dxa"/>
        </w:tblCellMar>
      </w:tblPr>
      <w:tr>
        <w:trPr>
          <w:trHeight w:val="218"/>
        </w:trPr>
        <w:tc>
          <w:tcPr>
            <w:tcW w:w="1240" w:type="dxa"/>
            <w:vAlign w:val="bottom"/>
            <w:vMerge w:val="restart"/>
          </w:tcPr>
          <w:p>
            <w:pPr>
              <w:spacing w:after="0"/>
              <w:rPr>
                <w:sz w:val="20"/>
                <w:szCs w:val="20"/>
                <w:color w:val="auto"/>
              </w:rPr>
            </w:pPr>
            <w:r>
              <w:rPr>
                <w:rFonts w:ascii="Arial" w:cs="Arial" w:eastAsia="Arial" w:hAnsi="Arial"/>
                <w:sz w:val="23"/>
                <w:szCs w:val="23"/>
                <w:color w:val="FFFFFF"/>
              </w:rPr>
              <w:t>Stem Cells</w:t>
            </w:r>
          </w:p>
        </w:tc>
        <w:tc>
          <w:tcPr>
            <w:tcW w:w="580" w:type="dxa"/>
            <w:vAlign w:val="bottom"/>
          </w:tcPr>
          <w:p>
            <w:pPr>
              <w:spacing w:after="0"/>
              <w:rPr>
                <w:sz w:val="19"/>
                <w:szCs w:val="19"/>
                <w:color w:val="auto"/>
              </w:rPr>
            </w:pPr>
          </w:p>
        </w:tc>
        <w:tc>
          <w:tcPr>
            <w:tcW w:w="1500" w:type="dxa"/>
            <w:vAlign w:val="bottom"/>
          </w:tcPr>
          <w:p>
            <w:pPr>
              <w:ind w:left="240"/>
              <w:spacing w:after="0"/>
              <w:rPr>
                <w:sz w:val="20"/>
                <w:szCs w:val="20"/>
                <w:color w:val="auto"/>
              </w:rPr>
            </w:pPr>
            <w:r>
              <w:rPr>
                <w:rFonts w:ascii="Arial" w:cs="Arial" w:eastAsia="Arial" w:hAnsi="Arial"/>
                <w:sz w:val="19"/>
                <w:szCs w:val="19"/>
                <w:color w:val="FFFFFF"/>
                <w:w w:val="89"/>
              </w:rPr>
              <w:t>Evidence-Based</w:t>
            </w:r>
          </w:p>
        </w:tc>
        <w:tc>
          <w:tcPr>
            <w:tcW w:w="540" w:type="dxa"/>
            <w:vAlign w:val="bottom"/>
          </w:tcPr>
          <w:p>
            <w:pPr>
              <w:spacing w:after="0"/>
              <w:rPr>
                <w:sz w:val="19"/>
                <w:szCs w:val="19"/>
                <w:color w:val="auto"/>
              </w:rPr>
            </w:pPr>
          </w:p>
        </w:tc>
        <w:tc>
          <w:tcPr>
            <w:tcW w:w="1160" w:type="dxa"/>
            <w:vAlign w:val="bottom"/>
          </w:tcPr>
          <w:p>
            <w:pPr>
              <w:spacing w:after="0"/>
              <w:rPr>
                <w:sz w:val="19"/>
                <w:szCs w:val="19"/>
                <w:color w:val="auto"/>
              </w:rPr>
            </w:pPr>
          </w:p>
        </w:tc>
        <w:tc>
          <w:tcPr>
            <w:tcW w:w="880" w:type="dxa"/>
            <w:vAlign w:val="bottom"/>
          </w:tcPr>
          <w:p>
            <w:pPr>
              <w:spacing w:after="0"/>
              <w:rPr>
                <w:sz w:val="19"/>
                <w:szCs w:val="19"/>
                <w:color w:val="auto"/>
              </w:rPr>
            </w:pPr>
          </w:p>
        </w:tc>
        <w:tc>
          <w:tcPr>
            <w:tcW w:w="138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9"/>
        </w:trPr>
        <w:tc>
          <w:tcPr>
            <w:tcW w:w="1240" w:type="dxa"/>
            <w:vAlign w:val="bottom"/>
            <w:vMerge w:val="continue"/>
          </w:tcPr>
          <w:p>
            <w:pPr>
              <w:spacing w:after="0"/>
              <w:rPr>
                <w:sz w:val="14"/>
                <w:szCs w:val="14"/>
                <w:color w:val="auto"/>
              </w:rPr>
            </w:pPr>
          </w:p>
        </w:tc>
        <w:tc>
          <w:tcPr>
            <w:tcW w:w="580" w:type="dxa"/>
            <w:vAlign w:val="bottom"/>
          </w:tcPr>
          <w:p>
            <w:pPr>
              <w:spacing w:after="0"/>
              <w:rPr>
                <w:sz w:val="14"/>
                <w:szCs w:val="14"/>
                <w:color w:val="auto"/>
              </w:rPr>
            </w:pPr>
          </w:p>
        </w:tc>
        <w:tc>
          <w:tcPr>
            <w:tcW w:w="2040" w:type="dxa"/>
            <w:vAlign w:val="bottom"/>
            <w:gridSpan w:val="2"/>
          </w:tcPr>
          <w:p>
            <w:pPr>
              <w:ind w:left="240"/>
              <w:spacing w:after="0" w:line="169" w:lineRule="exact"/>
              <w:rPr>
                <w:sz w:val="20"/>
                <w:szCs w:val="20"/>
                <w:color w:val="auto"/>
              </w:rPr>
            </w:pPr>
            <w:r>
              <w:rPr>
                <w:rFonts w:ascii="Arial" w:cs="Arial" w:eastAsia="Arial" w:hAnsi="Arial"/>
                <w:sz w:val="19"/>
                <w:szCs w:val="19"/>
                <w:color w:val="FFFFFF"/>
              </w:rPr>
              <w:t>Complementary and</w:t>
            </w:r>
          </w:p>
        </w:tc>
        <w:tc>
          <w:tcPr>
            <w:tcW w:w="1160" w:type="dxa"/>
            <w:vAlign w:val="bottom"/>
          </w:tcPr>
          <w:p>
            <w:pPr>
              <w:spacing w:after="0"/>
              <w:rPr>
                <w:sz w:val="14"/>
                <w:szCs w:val="14"/>
                <w:color w:val="auto"/>
              </w:rPr>
            </w:pPr>
          </w:p>
        </w:tc>
        <w:tc>
          <w:tcPr>
            <w:tcW w:w="880" w:type="dxa"/>
            <w:vAlign w:val="bottom"/>
          </w:tcPr>
          <w:p>
            <w:pPr>
              <w:spacing w:after="0"/>
              <w:rPr>
                <w:sz w:val="14"/>
                <w:szCs w:val="14"/>
                <w:color w:val="auto"/>
              </w:rPr>
            </w:pPr>
          </w:p>
        </w:tc>
        <w:tc>
          <w:tcPr>
            <w:tcW w:w="1380" w:type="dxa"/>
            <w:vAlign w:val="bottom"/>
          </w:tcPr>
          <w:p>
            <w:pPr>
              <w:ind w:left="220"/>
              <w:spacing w:after="0"/>
              <w:rPr>
                <w:sz w:val="20"/>
                <w:szCs w:val="20"/>
                <w:color w:val="auto"/>
              </w:rPr>
            </w:pPr>
            <w:r>
              <w:rPr>
                <w:rFonts w:ascii="Arial" w:cs="Arial" w:eastAsia="Arial" w:hAnsi="Arial"/>
                <w:sz w:val="14"/>
                <w:szCs w:val="14"/>
                <w:color w:val="FBFE86"/>
              </w:rPr>
              <w:t>Journal of</w:t>
            </w:r>
          </w:p>
        </w:tc>
        <w:tc>
          <w:tcPr>
            <w:tcW w:w="4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75"/>
        </w:trPr>
        <w:tc>
          <w:tcPr>
            <w:tcW w:w="1240" w:type="dxa"/>
            <w:vAlign w:val="bottom"/>
          </w:tcPr>
          <w:p>
            <w:pPr>
              <w:spacing w:after="0" w:line="258" w:lineRule="exact"/>
              <w:rPr>
                <w:sz w:val="20"/>
                <w:szCs w:val="20"/>
                <w:color w:val="auto"/>
              </w:rPr>
            </w:pPr>
            <w:r>
              <w:rPr>
                <w:rFonts w:ascii="Arial" w:cs="Arial" w:eastAsia="Arial" w:hAnsi="Arial"/>
                <w:sz w:val="23"/>
                <w:szCs w:val="23"/>
                <w:color w:val="FFFFFF"/>
                <w:w w:val="96"/>
              </w:rPr>
              <w:t>International</w:t>
            </w:r>
          </w:p>
        </w:tc>
        <w:tc>
          <w:tcPr>
            <w:tcW w:w="580" w:type="dxa"/>
            <w:vAlign w:val="bottom"/>
          </w:tcPr>
          <w:p>
            <w:pPr>
              <w:spacing w:after="0"/>
              <w:rPr>
                <w:sz w:val="23"/>
                <w:szCs w:val="23"/>
                <w:color w:val="auto"/>
              </w:rPr>
            </w:pPr>
          </w:p>
        </w:tc>
        <w:tc>
          <w:tcPr>
            <w:tcW w:w="2040" w:type="dxa"/>
            <w:vAlign w:val="bottom"/>
            <w:gridSpan w:val="2"/>
          </w:tcPr>
          <w:p>
            <w:pPr>
              <w:ind w:left="240"/>
              <w:spacing w:after="0"/>
              <w:rPr>
                <w:sz w:val="20"/>
                <w:szCs w:val="20"/>
                <w:color w:val="auto"/>
              </w:rPr>
            </w:pPr>
            <w:r>
              <w:rPr>
                <w:rFonts w:ascii="Arial" w:cs="Arial" w:eastAsia="Arial" w:hAnsi="Arial"/>
                <w:sz w:val="19"/>
                <w:szCs w:val="19"/>
                <w:color w:val="FFFFFF"/>
              </w:rPr>
              <w:t>Alternative Medicine</w:t>
            </w:r>
          </w:p>
        </w:tc>
        <w:tc>
          <w:tcPr>
            <w:tcW w:w="116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1380" w:type="dxa"/>
            <w:vAlign w:val="bottom"/>
          </w:tcPr>
          <w:p>
            <w:pPr>
              <w:ind w:left="220"/>
              <w:spacing w:after="0" w:line="275" w:lineRule="exact"/>
              <w:rPr>
                <w:sz w:val="20"/>
                <w:szCs w:val="20"/>
                <w:color w:val="auto"/>
              </w:rPr>
            </w:pPr>
            <w:r>
              <w:rPr>
                <w:rFonts w:ascii="Arial" w:cs="Arial" w:eastAsia="Arial" w:hAnsi="Arial"/>
                <w:sz w:val="25"/>
                <w:szCs w:val="25"/>
                <w:color w:val="FBFE86"/>
              </w:rPr>
              <w:t>Oncology</w:t>
            </w:r>
          </w:p>
        </w:tc>
        <w:tc>
          <w:tcPr>
            <w:tcW w:w="4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
        </w:trPr>
        <w:tc>
          <w:tcPr>
            <w:tcW w:w="1240" w:type="dxa"/>
            <w:vAlign w:val="bottom"/>
          </w:tcPr>
          <w:p>
            <w:pPr>
              <w:ind w:left="20"/>
              <w:spacing w:after="0"/>
              <w:rPr>
                <w:sz w:val="20"/>
                <w:szCs w:val="20"/>
                <w:color w:val="auto"/>
              </w:rPr>
            </w:pPr>
            <w:r>
              <w:rPr>
                <w:rFonts w:ascii="Arial" w:cs="Arial" w:eastAsia="Arial" w:hAnsi="Arial"/>
                <w:sz w:val="3"/>
                <w:szCs w:val="3"/>
                <w:color w:val="FFFFFF"/>
              </w:rPr>
              <w:t>Hindawi Publishing Corporation</w:t>
            </w:r>
          </w:p>
        </w:tc>
        <w:tc>
          <w:tcPr>
            <w:tcW w:w="580" w:type="dxa"/>
            <w:vAlign w:val="bottom"/>
            <w:vMerge w:val="restart"/>
          </w:tcPr>
          <w:p>
            <w:pPr>
              <w:ind w:left="160"/>
              <w:spacing w:after="0"/>
              <w:rPr>
                <w:sz w:val="20"/>
                <w:szCs w:val="20"/>
                <w:color w:val="auto"/>
              </w:rPr>
            </w:pPr>
            <w:r>
              <w:rPr>
                <w:rFonts w:ascii="Arial" w:cs="Arial" w:eastAsia="Arial" w:hAnsi="Arial"/>
                <w:sz w:val="3"/>
                <w:szCs w:val="3"/>
                <w:color w:val="FFFFFF"/>
              </w:rPr>
              <w:t>Volume 2014</w:t>
            </w:r>
          </w:p>
        </w:tc>
        <w:tc>
          <w:tcPr>
            <w:tcW w:w="1500" w:type="dxa"/>
            <w:vAlign w:val="bottom"/>
          </w:tcPr>
          <w:p>
            <w:pPr>
              <w:ind w:left="240"/>
              <w:spacing w:after="0"/>
              <w:rPr>
                <w:sz w:val="20"/>
                <w:szCs w:val="20"/>
                <w:color w:val="auto"/>
              </w:rPr>
            </w:pPr>
            <w:r>
              <w:rPr>
                <w:rFonts w:ascii="Arial" w:cs="Arial" w:eastAsia="Arial" w:hAnsi="Arial"/>
                <w:sz w:val="3"/>
                <w:szCs w:val="3"/>
                <w:color w:val="FFFFFF"/>
              </w:rPr>
              <w:t>Hindawi Publishing Corporation</w:t>
            </w:r>
          </w:p>
        </w:tc>
        <w:tc>
          <w:tcPr>
            <w:tcW w:w="540" w:type="dxa"/>
            <w:vAlign w:val="bottom"/>
            <w:vMerge w:val="restart"/>
          </w:tcPr>
          <w:p>
            <w:pPr>
              <w:ind w:left="120"/>
              <w:spacing w:after="0"/>
              <w:rPr>
                <w:sz w:val="20"/>
                <w:szCs w:val="20"/>
                <w:color w:val="auto"/>
              </w:rPr>
            </w:pPr>
            <w:r>
              <w:rPr>
                <w:rFonts w:ascii="Arial" w:cs="Arial" w:eastAsia="Arial" w:hAnsi="Arial"/>
                <w:sz w:val="3"/>
                <w:szCs w:val="3"/>
                <w:color w:val="FFFFFF"/>
              </w:rPr>
              <w:t>Volume 2014</w:t>
            </w:r>
          </w:p>
        </w:tc>
        <w:tc>
          <w:tcPr>
            <w:tcW w:w="1160" w:type="dxa"/>
            <w:vAlign w:val="bottom"/>
          </w:tcPr>
          <w:p>
            <w:pPr>
              <w:ind w:left="240"/>
              <w:spacing w:after="0"/>
              <w:rPr>
                <w:sz w:val="20"/>
                <w:szCs w:val="20"/>
                <w:color w:val="auto"/>
              </w:rPr>
            </w:pPr>
            <w:r>
              <w:rPr>
                <w:rFonts w:ascii="Arial" w:cs="Arial" w:eastAsia="Arial" w:hAnsi="Arial"/>
                <w:sz w:val="3"/>
                <w:szCs w:val="3"/>
                <w:color w:val="FDDFA3"/>
              </w:rPr>
              <w:t>Hindawi Publishing Corporation</w:t>
            </w:r>
          </w:p>
        </w:tc>
        <w:tc>
          <w:tcPr>
            <w:tcW w:w="880" w:type="dxa"/>
            <w:vAlign w:val="bottom"/>
            <w:vMerge w:val="restart"/>
          </w:tcPr>
          <w:p>
            <w:pPr>
              <w:ind w:left="460"/>
              <w:spacing w:after="0"/>
              <w:rPr>
                <w:sz w:val="20"/>
                <w:szCs w:val="20"/>
                <w:color w:val="auto"/>
              </w:rPr>
            </w:pPr>
            <w:r>
              <w:rPr>
                <w:rFonts w:ascii="Arial" w:cs="Arial" w:eastAsia="Arial" w:hAnsi="Arial"/>
                <w:sz w:val="3"/>
                <w:szCs w:val="3"/>
                <w:color w:val="FDDFA3"/>
              </w:rPr>
              <w:t>Volume 2014</w:t>
            </w:r>
          </w:p>
        </w:tc>
        <w:tc>
          <w:tcPr>
            <w:tcW w:w="1380" w:type="dxa"/>
            <w:vAlign w:val="bottom"/>
          </w:tcPr>
          <w:p>
            <w:pPr>
              <w:ind w:left="240"/>
              <w:spacing w:after="0"/>
              <w:rPr>
                <w:sz w:val="20"/>
                <w:szCs w:val="20"/>
                <w:color w:val="auto"/>
              </w:rPr>
            </w:pPr>
            <w:r>
              <w:rPr>
                <w:rFonts w:ascii="Arial" w:cs="Arial" w:eastAsia="Arial" w:hAnsi="Arial"/>
                <w:sz w:val="3"/>
                <w:szCs w:val="3"/>
                <w:color w:val="FBFE86"/>
              </w:rPr>
              <w:t>Hindawi Publishing Corporation</w:t>
            </w:r>
          </w:p>
        </w:tc>
        <w:tc>
          <w:tcPr>
            <w:tcW w:w="420" w:type="dxa"/>
            <w:vAlign w:val="bottom"/>
            <w:vMerge w:val="restart"/>
          </w:tcPr>
          <w:p>
            <w:pPr>
              <w:ind w:left="240"/>
              <w:spacing w:after="0"/>
              <w:rPr>
                <w:sz w:val="20"/>
                <w:szCs w:val="20"/>
                <w:color w:val="auto"/>
              </w:rPr>
            </w:pPr>
            <w:r>
              <w:rPr>
                <w:rFonts w:ascii="Arial" w:cs="Arial" w:eastAsia="Arial" w:hAnsi="Arial"/>
                <w:sz w:val="3"/>
                <w:szCs w:val="3"/>
                <w:color w:val="FBFE86"/>
                <w:w w:val="90"/>
              </w:rPr>
              <w:t>Volume 2014</w:t>
            </w:r>
          </w:p>
        </w:tc>
        <w:tc>
          <w:tcPr>
            <w:tcW w:w="0" w:type="dxa"/>
            <w:vAlign w:val="bottom"/>
          </w:tcPr>
          <w:p>
            <w:pPr>
              <w:spacing w:after="0" w:line="20" w:lineRule="exact"/>
              <w:rPr>
                <w:sz w:val="1"/>
                <w:szCs w:val="1"/>
                <w:color w:val="auto"/>
              </w:rPr>
            </w:pPr>
          </w:p>
        </w:tc>
      </w:tr>
      <w:tr>
        <w:trPr>
          <w:trHeight w:val="38"/>
        </w:trPr>
        <w:tc>
          <w:tcPr>
            <w:tcW w:w="1240" w:type="dxa"/>
            <w:vAlign w:val="bottom"/>
          </w:tcPr>
          <w:p>
            <w:pPr>
              <w:ind w:left="20"/>
              <w:spacing w:after="0"/>
              <w:rPr>
                <w:sz w:val="20"/>
                <w:szCs w:val="20"/>
                <w:color w:val="auto"/>
              </w:rPr>
            </w:pPr>
            <w:r>
              <w:rPr>
                <w:rFonts w:ascii="Arial" w:cs="Arial" w:eastAsia="Arial" w:hAnsi="Arial"/>
                <w:sz w:val="3"/>
                <w:szCs w:val="3"/>
                <w:color w:val="FFFFFF"/>
              </w:rPr>
              <w:t>http://www.hindawi.com</w:t>
            </w:r>
          </w:p>
        </w:tc>
        <w:tc>
          <w:tcPr>
            <w:tcW w:w="580" w:type="dxa"/>
            <w:vAlign w:val="bottom"/>
            <w:vMerge w:val="continue"/>
          </w:tcPr>
          <w:p>
            <w:pPr>
              <w:spacing w:after="0"/>
              <w:rPr>
                <w:sz w:val="3"/>
                <w:szCs w:val="3"/>
                <w:color w:val="auto"/>
              </w:rPr>
            </w:pPr>
          </w:p>
        </w:tc>
        <w:tc>
          <w:tcPr>
            <w:tcW w:w="1500" w:type="dxa"/>
            <w:vAlign w:val="bottom"/>
          </w:tcPr>
          <w:p>
            <w:pPr>
              <w:ind w:left="240"/>
              <w:spacing w:after="0"/>
              <w:rPr>
                <w:sz w:val="20"/>
                <w:szCs w:val="20"/>
                <w:color w:val="auto"/>
              </w:rPr>
            </w:pPr>
            <w:r>
              <w:rPr>
                <w:rFonts w:ascii="Arial" w:cs="Arial" w:eastAsia="Arial" w:hAnsi="Arial"/>
                <w:sz w:val="3"/>
                <w:szCs w:val="3"/>
                <w:color w:val="FFFFFF"/>
              </w:rPr>
              <w:t>http://www.hindawi.com</w:t>
            </w:r>
          </w:p>
        </w:tc>
        <w:tc>
          <w:tcPr>
            <w:tcW w:w="540" w:type="dxa"/>
            <w:vAlign w:val="bottom"/>
            <w:vMerge w:val="continue"/>
          </w:tcPr>
          <w:p>
            <w:pPr>
              <w:spacing w:after="0"/>
              <w:rPr>
                <w:sz w:val="3"/>
                <w:szCs w:val="3"/>
                <w:color w:val="auto"/>
              </w:rPr>
            </w:pPr>
          </w:p>
        </w:tc>
        <w:tc>
          <w:tcPr>
            <w:tcW w:w="1160" w:type="dxa"/>
            <w:vAlign w:val="bottom"/>
          </w:tcPr>
          <w:p>
            <w:pPr>
              <w:ind w:left="240"/>
              <w:spacing w:after="0"/>
              <w:rPr>
                <w:sz w:val="20"/>
                <w:szCs w:val="20"/>
                <w:color w:val="auto"/>
              </w:rPr>
            </w:pPr>
            <w:r>
              <w:rPr>
                <w:rFonts w:ascii="Arial" w:cs="Arial" w:eastAsia="Arial" w:hAnsi="Arial"/>
                <w:sz w:val="3"/>
                <w:szCs w:val="3"/>
                <w:color w:val="FDDFA3"/>
              </w:rPr>
              <w:t>http://www.hindawi.com</w:t>
            </w:r>
          </w:p>
        </w:tc>
        <w:tc>
          <w:tcPr>
            <w:tcW w:w="880" w:type="dxa"/>
            <w:vAlign w:val="bottom"/>
            <w:vMerge w:val="continue"/>
          </w:tcPr>
          <w:p>
            <w:pPr>
              <w:spacing w:after="0"/>
              <w:rPr>
                <w:sz w:val="3"/>
                <w:szCs w:val="3"/>
                <w:color w:val="auto"/>
              </w:rPr>
            </w:pPr>
          </w:p>
        </w:tc>
        <w:tc>
          <w:tcPr>
            <w:tcW w:w="1380" w:type="dxa"/>
            <w:vAlign w:val="bottom"/>
          </w:tcPr>
          <w:p>
            <w:pPr>
              <w:ind w:left="240"/>
              <w:spacing w:after="0"/>
              <w:rPr>
                <w:sz w:val="20"/>
                <w:szCs w:val="20"/>
                <w:color w:val="auto"/>
              </w:rPr>
            </w:pPr>
            <w:r>
              <w:rPr>
                <w:rFonts w:ascii="Arial" w:cs="Arial" w:eastAsia="Arial" w:hAnsi="Arial"/>
                <w:sz w:val="3"/>
                <w:szCs w:val="3"/>
                <w:color w:val="FBFE86"/>
              </w:rPr>
              <w:t>http://www.hindawi.com</w:t>
            </w:r>
          </w:p>
        </w:tc>
        <w:tc>
          <w:tcPr>
            <w:tcW w:w="42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wp:posOffset>
            </wp:positionH>
            <wp:positionV relativeFrom="paragraph">
              <wp:posOffset>204470</wp:posOffset>
            </wp:positionV>
            <wp:extent cx="5056505" cy="15563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extLst>
                    </a:blip>
                    <a:srcRect/>
                    <a:stretch>
                      <a:fillRect/>
                    </a:stretch>
                  </pic:blipFill>
                  <pic:spPr bwMode="auto">
                    <a:xfrm>
                      <a:off x="0" y="0"/>
                      <a:ext cx="5056505" cy="1556385"/>
                    </a:xfrm>
                    <a:prstGeom prst="rect">
                      <a:avLst/>
                    </a:prstGeom>
                    <a:noFill/>
                  </pic:spPr>
                </pic:pic>
              </a:graphicData>
            </a:graphic>
          </wp:anchor>
        </w:drawing>
      </w:r>
    </w:p>
    <w:p>
      <w:pPr>
        <w:spacing w:after="0" w:line="361" w:lineRule="exact"/>
        <w:rPr>
          <w:sz w:val="20"/>
          <w:szCs w:val="20"/>
          <w:color w:val="auto"/>
        </w:rPr>
      </w:pPr>
    </w:p>
    <w:p>
      <w:pPr>
        <w:ind w:left="2040"/>
        <w:spacing w:after="0"/>
        <w:rPr>
          <w:sz w:val="20"/>
          <w:szCs w:val="20"/>
          <w:color w:val="auto"/>
        </w:rPr>
      </w:pPr>
      <w:r>
        <w:rPr>
          <w:rFonts w:ascii="Arial" w:cs="Arial" w:eastAsia="Arial" w:hAnsi="Arial"/>
          <w:sz w:val="25"/>
          <w:szCs w:val="25"/>
          <w:color w:val="FFFFFF"/>
        </w:rPr>
        <w:t>Parkinson’s</w:t>
      </w:r>
    </w:p>
    <w:p>
      <w:pPr>
        <w:ind w:left="2040"/>
        <w:spacing w:after="0" w:line="232" w:lineRule="auto"/>
        <w:rPr>
          <w:sz w:val="20"/>
          <w:szCs w:val="20"/>
          <w:color w:val="auto"/>
        </w:rPr>
      </w:pPr>
      <w:r>
        <w:rPr>
          <w:rFonts w:ascii="Arial" w:cs="Arial" w:eastAsia="Arial" w:hAnsi="Arial"/>
          <w:sz w:val="25"/>
          <w:szCs w:val="25"/>
          <w:color w:val="FFFFFF"/>
        </w:rPr>
        <w:t>Disease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tbl>
      <w:tblPr>
        <w:tblLayout w:type="fixed"/>
        <w:tblInd w:w="0" w:type="dxa"/>
        <w:tblCellMar>
          <w:top w:w="0" w:type="dxa"/>
          <w:left w:w="0" w:type="dxa"/>
          <w:bottom w:w="0" w:type="dxa"/>
          <w:right w:w="0" w:type="dxa"/>
        </w:tblCellMar>
      </w:tblPr>
      <w:tr>
        <w:trPr>
          <w:trHeight w:val="425"/>
        </w:trPr>
        <w:tc>
          <w:tcPr>
            <w:tcW w:w="1240" w:type="dxa"/>
            <w:vAlign w:val="bottom"/>
          </w:tcPr>
          <w:p>
            <w:pPr>
              <w:spacing w:after="0"/>
              <w:rPr>
                <w:sz w:val="20"/>
                <w:szCs w:val="20"/>
                <w:color w:val="auto"/>
              </w:rPr>
            </w:pPr>
            <w:r>
              <w:rPr>
                <w:rFonts w:ascii="Arial" w:cs="Arial" w:eastAsia="Arial" w:hAnsi="Arial"/>
                <w:sz w:val="25"/>
                <w:szCs w:val="25"/>
                <w:color w:val="E6E6E6"/>
                <w:w w:val="92"/>
              </w:rPr>
              <w:t>Behavioural</w:t>
            </w:r>
          </w:p>
        </w:tc>
        <w:tc>
          <w:tcPr>
            <w:tcW w:w="58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260" w:type="dxa"/>
            <w:vAlign w:val="bottom"/>
          </w:tcPr>
          <w:p>
            <w:pPr>
              <w:ind w:left="220"/>
              <w:spacing w:after="0"/>
              <w:rPr>
                <w:sz w:val="20"/>
                <w:szCs w:val="20"/>
                <w:color w:val="auto"/>
              </w:rPr>
            </w:pPr>
            <w:r>
              <w:rPr>
                <w:rFonts w:ascii="Arial" w:cs="Arial" w:eastAsia="Arial" w:hAnsi="Arial"/>
                <w:sz w:val="37"/>
                <w:szCs w:val="37"/>
                <w:color w:val="FEED75"/>
              </w:rPr>
              <w:t>AIDS</w:t>
            </w:r>
          </w:p>
        </w:tc>
        <w:tc>
          <w:tcPr>
            <w:tcW w:w="780" w:type="dxa"/>
            <w:vAlign w:val="bottom"/>
          </w:tcPr>
          <w:p>
            <w:pPr>
              <w:spacing w:after="0"/>
              <w:rPr>
                <w:sz w:val="24"/>
                <w:szCs w:val="24"/>
                <w:color w:val="auto"/>
              </w:rPr>
            </w:pPr>
          </w:p>
        </w:tc>
        <w:tc>
          <w:tcPr>
            <w:tcW w:w="1820" w:type="dxa"/>
            <w:vAlign w:val="bottom"/>
            <w:gridSpan w:val="2"/>
          </w:tcPr>
          <w:p>
            <w:pPr>
              <w:ind w:left="220"/>
              <w:spacing w:after="0"/>
              <w:rPr>
                <w:sz w:val="20"/>
                <w:szCs w:val="20"/>
                <w:color w:val="auto"/>
              </w:rPr>
            </w:pPr>
            <w:r>
              <w:rPr>
                <w:rFonts w:ascii="Arial" w:cs="Arial" w:eastAsia="Arial" w:hAnsi="Arial"/>
                <w:sz w:val="18"/>
                <w:szCs w:val="18"/>
                <w:color w:val="E6E6E6"/>
                <w:w w:val="84"/>
              </w:rPr>
              <w:t>Oxidative Medicine and</w:t>
            </w:r>
          </w:p>
        </w:tc>
        <w:tc>
          <w:tcPr>
            <w:tcW w:w="0" w:type="dxa"/>
            <w:vAlign w:val="bottom"/>
          </w:tcPr>
          <w:p>
            <w:pPr>
              <w:spacing w:after="0"/>
              <w:rPr>
                <w:sz w:val="1"/>
                <w:szCs w:val="1"/>
                <w:color w:val="auto"/>
              </w:rPr>
            </w:pPr>
          </w:p>
        </w:tc>
      </w:tr>
      <w:tr>
        <w:trPr>
          <w:trHeight w:val="253"/>
        </w:trPr>
        <w:tc>
          <w:tcPr>
            <w:tcW w:w="1240" w:type="dxa"/>
            <w:vAlign w:val="bottom"/>
          </w:tcPr>
          <w:p>
            <w:pPr>
              <w:spacing w:after="0" w:line="253" w:lineRule="exact"/>
              <w:rPr>
                <w:sz w:val="20"/>
                <w:szCs w:val="20"/>
                <w:color w:val="auto"/>
              </w:rPr>
            </w:pPr>
            <w:r>
              <w:rPr>
                <w:rFonts w:ascii="Arial" w:cs="Arial" w:eastAsia="Arial" w:hAnsi="Arial"/>
                <w:sz w:val="25"/>
                <w:szCs w:val="25"/>
                <w:color w:val="E6E6E6"/>
              </w:rPr>
              <w:t>Neurology</w:t>
            </w:r>
          </w:p>
        </w:tc>
        <w:tc>
          <w:tcPr>
            <w:tcW w:w="580" w:type="dxa"/>
            <w:vAlign w:val="bottom"/>
          </w:tcPr>
          <w:p>
            <w:pPr>
              <w:spacing w:after="0"/>
              <w:rPr>
                <w:sz w:val="22"/>
                <w:szCs w:val="22"/>
                <w:color w:val="auto"/>
              </w:rPr>
            </w:pPr>
          </w:p>
        </w:tc>
        <w:tc>
          <w:tcPr>
            <w:tcW w:w="116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2040" w:type="dxa"/>
            <w:vAlign w:val="bottom"/>
            <w:gridSpan w:val="2"/>
          </w:tcPr>
          <w:p>
            <w:pPr>
              <w:ind w:left="220"/>
              <w:spacing w:after="0"/>
              <w:rPr>
                <w:sz w:val="20"/>
                <w:szCs w:val="20"/>
                <w:color w:val="auto"/>
              </w:rPr>
            </w:pPr>
            <w:r>
              <w:rPr>
                <w:rFonts w:ascii="Arial" w:cs="Arial" w:eastAsia="Arial" w:hAnsi="Arial"/>
                <w:sz w:val="17"/>
                <w:szCs w:val="17"/>
                <w:color w:val="FEED75"/>
                <w:w w:val="95"/>
              </w:rPr>
              <w:t>Research and Treatment</w:t>
            </w:r>
          </w:p>
        </w:tc>
        <w:tc>
          <w:tcPr>
            <w:tcW w:w="1520" w:type="dxa"/>
            <w:vAlign w:val="bottom"/>
          </w:tcPr>
          <w:p>
            <w:pPr>
              <w:ind w:left="220"/>
              <w:spacing w:after="0"/>
              <w:rPr>
                <w:sz w:val="20"/>
                <w:szCs w:val="20"/>
                <w:color w:val="auto"/>
              </w:rPr>
            </w:pPr>
            <w:r>
              <w:rPr>
                <w:rFonts w:ascii="Arial" w:cs="Arial" w:eastAsia="Arial" w:hAnsi="Arial"/>
                <w:sz w:val="18"/>
                <w:szCs w:val="18"/>
                <w:color w:val="E6E6E6"/>
                <w:w w:val="89"/>
              </w:rPr>
              <w:t>Cellular Longevity</w:t>
            </w:r>
          </w:p>
        </w:tc>
        <w:tc>
          <w:tcPr>
            <w:tcW w:w="3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7"/>
        </w:trPr>
        <w:tc>
          <w:tcPr>
            <w:tcW w:w="1240" w:type="dxa"/>
            <w:vAlign w:val="bottom"/>
          </w:tcPr>
          <w:p>
            <w:pPr>
              <w:ind w:left="20"/>
              <w:spacing w:after="0"/>
              <w:rPr>
                <w:sz w:val="20"/>
                <w:szCs w:val="20"/>
                <w:color w:val="auto"/>
              </w:rPr>
            </w:pPr>
            <w:r>
              <w:rPr>
                <w:rFonts w:ascii="Arial" w:cs="Arial" w:eastAsia="Arial" w:hAnsi="Arial"/>
                <w:sz w:val="3"/>
                <w:szCs w:val="3"/>
                <w:color w:val="E6E6E6"/>
              </w:rPr>
              <w:t>Hindawi Publishing Corporation</w:t>
            </w:r>
          </w:p>
        </w:tc>
        <w:tc>
          <w:tcPr>
            <w:tcW w:w="580" w:type="dxa"/>
            <w:vAlign w:val="bottom"/>
          </w:tcPr>
          <w:p>
            <w:pPr>
              <w:spacing w:after="0"/>
              <w:rPr>
                <w:sz w:val="3"/>
                <w:szCs w:val="3"/>
                <w:color w:val="auto"/>
              </w:rPr>
            </w:pPr>
          </w:p>
        </w:tc>
        <w:tc>
          <w:tcPr>
            <w:tcW w:w="1160" w:type="dxa"/>
            <w:vAlign w:val="bottom"/>
          </w:tcPr>
          <w:p>
            <w:pPr>
              <w:ind w:left="240"/>
              <w:spacing w:after="0"/>
              <w:rPr>
                <w:sz w:val="20"/>
                <w:szCs w:val="20"/>
                <w:color w:val="auto"/>
              </w:rPr>
            </w:pPr>
            <w:r>
              <w:rPr>
                <w:rFonts w:ascii="Arial" w:cs="Arial" w:eastAsia="Arial" w:hAnsi="Arial"/>
                <w:sz w:val="3"/>
                <w:szCs w:val="3"/>
                <w:color w:val="FFFFFF"/>
              </w:rPr>
              <w:t>Hindawi Publishing Corporation</w:t>
            </w:r>
          </w:p>
        </w:tc>
        <w:tc>
          <w:tcPr>
            <w:tcW w:w="880" w:type="dxa"/>
            <w:vAlign w:val="bottom"/>
          </w:tcPr>
          <w:p>
            <w:pPr>
              <w:spacing w:after="0"/>
              <w:rPr>
                <w:sz w:val="3"/>
                <w:szCs w:val="3"/>
                <w:color w:val="auto"/>
              </w:rPr>
            </w:pPr>
          </w:p>
        </w:tc>
        <w:tc>
          <w:tcPr>
            <w:tcW w:w="1260" w:type="dxa"/>
            <w:vAlign w:val="bottom"/>
          </w:tcPr>
          <w:p>
            <w:pPr>
              <w:ind w:left="240"/>
              <w:spacing w:after="0"/>
              <w:rPr>
                <w:sz w:val="20"/>
                <w:szCs w:val="20"/>
                <w:color w:val="auto"/>
              </w:rPr>
            </w:pPr>
            <w:r>
              <w:rPr>
                <w:rFonts w:ascii="Arial" w:cs="Arial" w:eastAsia="Arial" w:hAnsi="Arial"/>
                <w:sz w:val="3"/>
                <w:szCs w:val="3"/>
                <w:color w:val="FEED75"/>
              </w:rPr>
              <w:t>Hindawi Publishing Corporation</w:t>
            </w:r>
          </w:p>
        </w:tc>
        <w:tc>
          <w:tcPr>
            <w:tcW w:w="780" w:type="dxa"/>
            <w:vAlign w:val="bottom"/>
            <w:vMerge w:val="restart"/>
          </w:tcPr>
          <w:p>
            <w:pPr>
              <w:ind w:left="360"/>
              <w:spacing w:after="0"/>
              <w:rPr>
                <w:sz w:val="20"/>
                <w:szCs w:val="20"/>
                <w:color w:val="auto"/>
              </w:rPr>
            </w:pPr>
            <w:r>
              <w:rPr>
                <w:rFonts w:ascii="Arial" w:cs="Arial" w:eastAsia="Arial" w:hAnsi="Arial"/>
                <w:sz w:val="3"/>
                <w:szCs w:val="3"/>
                <w:color w:val="FEED75"/>
              </w:rPr>
              <w:t>Volume 2014</w:t>
            </w:r>
          </w:p>
        </w:tc>
        <w:tc>
          <w:tcPr>
            <w:tcW w:w="1520" w:type="dxa"/>
            <w:vAlign w:val="bottom"/>
          </w:tcPr>
          <w:p>
            <w:pPr>
              <w:ind w:left="240"/>
              <w:spacing w:after="0"/>
              <w:rPr>
                <w:sz w:val="20"/>
                <w:szCs w:val="20"/>
                <w:color w:val="auto"/>
              </w:rPr>
            </w:pPr>
            <w:r>
              <w:rPr>
                <w:rFonts w:ascii="Arial" w:cs="Arial" w:eastAsia="Arial" w:hAnsi="Arial"/>
                <w:sz w:val="3"/>
                <w:szCs w:val="3"/>
                <w:color w:val="E6E6E6"/>
              </w:rPr>
              <w:t>Hindawi Publishing Corporation</w:t>
            </w:r>
          </w:p>
        </w:tc>
        <w:tc>
          <w:tcPr>
            <w:tcW w:w="3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1"/>
        </w:trPr>
        <w:tc>
          <w:tcPr>
            <w:tcW w:w="1240" w:type="dxa"/>
            <w:vAlign w:val="bottom"/>
          </w:tcPr>
          <w:p>
            <w:pPr>
              <w:ind w:left="20"/>
              <w:spacing w:after="0"/>
              <w:rPr>
                <w:sz w:val="20"/>
                <w:szCs w:val="20"/>
                <w:color w:val="auto"/>
              </w:rPr>
            </w:pPr>
            <w:r>
              <w:rPr>
                <w:rFonts w:ascii="Arial" w:cs="Arial" w:eastAsia="Arial" w:hAnsi="Arial"/>
                <w:sz w:val="3"/>
                <w:szCs w:val="3"/>
                <w:color w:val="E6E6E6"/>
              </w:rPr>
              <w:t>http://www.hindawi.com</w:t>
            </w:r>
          </w:p>
        </w:tc>
        <w:tc>
          <w:tcPr>
            <w:tcW w:w="580" w:type="dxa"/>
            <w:vAlign w:val="bottom"/>
          </w:tcPr>
          <w:p>
            <w:pPr>
              <w:ind w:left="160"/>
              <w:spacing w:after="0"/>
              <w:rPr>
                <w:sz w:val="20"/>
                <w:szCs w:val="20"/>
                <w:color w:val="auto"/>
              </w:rPr>
            </w:pPr>
            <w:r>
              <w:rPr>
                <w:rFonts w:ascii="Arial" w:cs="Arial" w:eastAsia="Arial" w:hAnsi="Arial"/>
                <w:sz w:val="3"/>
                <w:szCs w:val="3"/>
                <w:color w:val="E6E6E6"/>
              </w:rPr>
              <w:t>Volume 2014</w:t>
            </w:r>
          </w:p>
        </w:tc>
        <w:tc>
          <w:tcPr>
            <w:tcW w:w="1160" w:type="dxa"/>
            <w:vAlign w:val="bottom"/>
          </w:tcPr>
          <w:p>
            <w:pPr>
              <w:ind w:left="240"/>
              <w:spacing w:after="0"/>
              <w:rPr>
                <w:sz w:val="20"/>
                <w:szCs w:val="20"/>
                <w:color w:val="auto"/>
              </w:rPr>
            </w:pPr>
            <w:r>
              <w:rPr>
                <w:rFonts w:ascii="Arial" w:cs="Arial" w:eastAsia="Arial" w:hAnsi="Arial"/>
                <w:sz w:val="3"/>
                <w:szCs w:val="3"/>
                <w:color w:val="FFFFFF"/>
              </w:rPr>
              <w:t>http://www.hindawi.com</w:t>
            </w:r>
          </w:p>
        </w:tc>
        <w:tc>
          <w:tcPr>
            <w:tcW w:w="880" w:type="dxa"/>
            <w:vAlign w:val="bottom"/>
          </w:tcPr>
          <w:p>
            <w:pPr>
              <w:ind w:left="460"/>
              <w:spacing w:after="0"/>
              <w:rPr>
                <w:sz w:val="20"/>
                <w:szCs w:val="20"/>
                <w:color w:val="auto"/>
              </w:rPr>
            </w:pPr>
            <w:r>
              <w:rPr>
                <w:rFonts w:ascii="Arial" w:cs="Arial" w:eastAsia="Arial" w:hAnsi="Arial"/>
                <w:sz w:val="3"/>
                <w:szCs w:val="3"/>
                <w:color w:val="FFFFFF"/>
              </w:rPr>
              <w:t>Volume 2014</w:t>
            </w:r>
          </w:p>
        </w:tc>
        <w:tc>
          <w:tcPr>
            <w:tcW w:w="1260" w:type="dxa"/>
            <w:vAlign w:val="bottom"/>
          </w:tcPr>
          <w:p>
            <w:pPr>
              <w:ind w:left="240"/>
              <w:spacing w:after="0"/>
              <w:rPr>
                <w:sz w:val="20"/>
                <w:szCs w:val="20"/>
                <w:color w:val="auto"/>
              </w:rPr>
            </w:pPr>
            <w:r>
              <w:rPr>
                <w:rFonts w:ascii="Arial" w:cs="Arial" w:eastAsia="Arial" w:hAnsi="Arial"/>
                <w:sz w:val="3"/>
                <w:szCs w:val="3"/>
                <w:color w:val="FEED75"/>
              </w:rPr>
              <w:t>http://www.hindawi.com</w:t>
            </w:r>
          </w:p>
        </w:tc>
        <w:tc>
          <w:tcPr>
            <w:tcW w:w="780" w:type="dxa"/>
            <w:vAlign w:val="bottom"/>
            <w:vMerge w:val="continue"/>
          </w:tcPr>
          <w:p>
            <w:pPr>
              <w:spacing w:after="0"/>
              <w:rPr>
                <w:sz w:val="3"/>
                <w:szCs w:val="3"/>
                <w:color w:val="auto"/>
              </w:rPr>
            </w:pPr>
          </w:p>
        </w:tc>
        <w:tc>
          <w:tcPr>
            <w:tcW w:w="1520" w:type="dxa"/>
            <w:vAlign w:val="bottom"/>
          </w:tcPr>
          <w:p>
            <w:pPr>
              <w:ind w:left="240"/>
              <w:spacing w:after="0"/>
              <w:rPr>
                <w:sz w:val="20"/>
                <w:szCs w:val="20"/>
                <w:color w:val="auto"/>
              </w:rPr>
            </w:pPr>
            <w:r>
              <w:rPr>
                <w:rFonts w:ascii="Arial" w:cs="Arial" w:eastAsia="Arial" w:hAnsi="Arial"/>
                <w:sz w:val="3"/>
                <w:szCs w:val="3"/>
                <w:color w:val="E6E6E6"/>
              </w:rPr>
              <w:t>http://www.hindawi.com</w:t>
            </w:r>
          </w:p>
        </w:tc>
        <w:tc>
          <w:tcPr>
            <w:tcW w:w="300" w:type="dxa"/>
            <w:vAlign w:val="bottom"/>
          </w:tcPr>
          <w:p>
            <w:pPr>
              <w:ind w:left="100"/>
              <w:spacing w:after="0"/>
              <w:rPr>
                <w:sz w:val="20"/>
                <w:szCs w:val="20"/>
                <w:color w:val="auto"/>
              </w:rPr>
            </w:pPr>
            <w:r>
              <w:rPr>
                <w:rFonts w:ascii="Arial" w:cs="Arial" w:eastAsia="Arial" w:hAnsi="Arial"/>
                <w:sz w:val="3"/>
                <w:szCs w:val="3"/>
                <w:color w:val="E6E6E6"/>
              </w:rPr>
              <w:t>Volume 2014</w:t>
            </w:r>
          </w:p>
        </w:tc>
        <w:tc>
          <w:tcPr>
            <w:tcW w:w="0" w:type="dxa"/>
            <w:vAlign w:val="bottom"/>
          </w:tcPr>
          <w:p>
            <w:pPr>
              <w:spacing w:after="0"/>
              <w:rPr>
                <w:sz w:val="1"/>
                <w:szCs w:val="1"/>
                <w:color w:val="auto"/>
              </w:rPr>
            </w:pPr>
          </w:p>
        </w:tc>
      </w:tr>
    </w:tbl>
    <w:p>
      <w:pPr>
        <w:spacing w:after="0" w:line="1" w:lineRule="exact"/>
        <w:rPr>
          <w:sz w:val="20"/>
          <w:szCs w:val="20"/>
          <w:color w:val="auto"/>
        </w:rPr>
      </w:pPr>
    </w:p>
    <w:sectPr>
      <w:pgSz w:w="12000" w:h="15840" w:orient="portrait"/>
      <w:cols w:equalWidth="0" w:num="2">
        <w:col w:w="1600" w:space="440"/>
        <w:col w:w="7720"/>
      </w:cols>
      <w:pgMar w:left="1120" w:top="1440" w:right="1120" w:bottom="55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Symbol">
    <w:panose1 w:val="05050102010706020507"/>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46E87CCD"/>
    <w:multiLevelType w:val="hybridMultilevel"/>
    <w:lvl w:ilvl="0">
      <w:lvlJc w:val="left"/>
      <w:lvlText w:val="*"/>
      <w:numFmt w:val="bullet"/>
      <w:start w:val="1"/>
    </w:lvl>
  </w:abstractNum>
  <w:abstractNum w:abstractNumId="1">
    <w:nsid w:val="3D1B58BA"/>
    <w:multiLevelType w:val="hybridMultilevel"/>
    <w:lvl w:ilvl="0">
      <w:lvlJc w:val="left"/>
      <w:lvlText w:val="*"/>
      <w:numFmt w:val="bullet"/>
      <w:start w:val="1"/>
    </w:lvl>
  </w:abstractNum>
  <w:abstractNum w:abstractNumId="2">
    <w:nsid w:val="507ED7AB"/>
    <w:multiLevelType w:val="hybridMultilevel"/>
    <w:lvl w:ilvl="0">
      <w:lvlJc w:val="left"/>
      <w:lvlText w:val="*"/>
      <w:numFmt w:val="bullet"/>
      <w:start w:val="1"/>
    </w:lvl>
  </w:abstractNum>
  <w:abstractNum w:abstractNumId="3">
    <w:nsid w:val="2EB141F2"/>
    <w:multiLevelType w:val="hybridMultilevel"/>
    <w:lvl w:ilvl="0">
      <w:lvlJc w:val="left"/>
      <w:lvlText w:val="*"/>
      <w:numFmt w:val="bullet"/>
      <w:start w:val="1"/>
    </w:lvl>
  </w:abstractNum>
  <w:abstractNum w:abstractNumId="4">
    <w:nsid w:val="41B71EFB"/>
    <w:multiLevelType w:val="hybridMultilevel"/>
    <w:lvl w:ilvl="0">
      <w:lvlJc w:val="left"/>
      <w:lvlText w:val="**"/>
      <w:numFmt w:val="bullet"/>
      <w:start w:val="1"/>
    </w:lvl>
  </w:abstractNum>
  <w:abstractNum w:abstractNumId="5">
    <w:nsid w:val="79E2A9E3"/>
    <w:multiLevelType w:val="hybridMultilevel"/>
    <w:lvl w:ilvl="0">
      <w:lvlJc w:val="left"/>
      <w:lvlText w:val="*"/>
      <w:numFmt w:val="bullet"/>
      <w:start w:val="1"/>
    </w:lvl>
  </w:abstractNum>
  <w:abstractNum w:abstractNumId="6">
    <w:nsid w:val="7545E146"/>
    <w:multiLevelType w:val="hybridMultilevel"/>
    <w:lvl w:ilvl="0">
      <w:lvlJc w:val="left"/>
      <w:lvlText w:val="*"/>
      <w:numFmt w:val="bullet"/>
      <w:start w:val="1"/>
    </w:lvl>
  </w:abstractNum>
  <w:abstractNum w:abstractNumId="7">
    <w:nsid w:val="515F007C"/>
    <w:multiLevelType w:val="hybridMultilevel"/>
    <w:lvl w:ilvl="0">
      <w:lvlJc w:val="left"/>
      <w:lvlText w:val="**"/>
      <w:numFmt w:val="bullet"/>
      <w:start w:val="1"/>
    </w:lvl>
  </w:abstractNum>
  <w:abstractNum w:abstractNumId="8">
    <w:nsid w:val="5BD062C2"/>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9" Type="http://schemas.openxmlformats.org/officeDocument/2006/relationships/hyperlink" Target="mailto:giovanni.mirabella@uniroma1.it" TargetMode="External"/><Relationship Id="rId12" Type="http://schemas.openxmlformats.org/officeDocument/2006/relationships/hyperlink" Target="http://www.sign.ac.uk/%0bindex.html" TargetMode="External"/><Relationship Id="rId13" Type="http://schemas.openxmlformats.org/officeDocument/2006/relationships/hyperlink" Target="http://www.thescientificworld.com/supplements/2010.01.221/movie_1.wmv" TargetMode="External"/><Relationship Id="rId14" Type="http://schemas.openxmlformats.org/officeDocument/2006/relationships/hyperlink" Target="http://www.thescientificworld.com/supplements/2010.01.221/movie_2.wmv" TargetMode="External"/><Relationship Id="rId15" Type="http://schemas.openxmlformats.org/officeDocument/2006/relationships/hyperlink" Target="http://www.thescientificworld.com/supplements/2010.01.221/movie_3.wmv" TargetMode="External"/><Relationship Id="rId16" Type="http://schemas.openxmlformats.org/officeDocument/2006/relationships/hyperlink" Target="http://www.thescientificworld.com/supplements/2010.01.221/movie_4.wmv" TargetMode="External"/><Relationship Id="rId19" Type="http://schemas.openxmlformats.org/officeDocument/2006/relationships/hyperlink" Target="http://www.klesidra.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2020-09-15T05:15:27Z</dcterms:created>
  <dcterms:modified xsi:type="dcterms:W3CDTF">2020-09-15T05:15:27Z</dcterms:modified>
</cp:coreProperties>
</file>