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tbl>
      <w:tblPr>
        <w:tblLayout w:type="fixed"/>
        <w:tblInd w:w="0" w:type="dxa"/>
        <w:tblCellMar>
          <w:top w:w="0" w:type="dxa"/>
          <w:left w:w="0" w:type="dxa"/>
          <w:bottom w:w="0" w:type="dxa"/>
          <w:right w:w="0" w:type="dxa"/>
        </w:tblCellMar>
      </w:tblPr>
      <w:tr>
        <w:trPr>
          <w:trHeight w:val="229"/>
        </w:trPr>
        <w:tc>
          <w:tcPr>
            <w:tcW w:w="2600" w:type="dxa"/>
            <w:vAlign w:val="bottom"/>
          </w:tcPr>
          <w:p>
            <w:pPr>
              <w:spacing w:after="0"/>
              <w:rPr>
                <w:sz w:val="19"/>
                <w:szCs w:val="19"/>
                <w:color w:val="auto"/>
              </w:rPr>
            </w:pPr>
          </w:p>
        </w:tc>
        <w:tc>
          <w:tcPr>
            <w:tcW w:w="6540" w:type="dxa"/>
            <w:vAlign w:val="bottom"/>
          </w:tcPr>
          <w:p>
            <w:pPr>
              <w:jc w:val="right"/>
              <w:ind w:right="4325"/>
              <w:spacing w:after="0"/>
              <w:rPr>
                <w:sz w:val="20"/>
                <w:szCs w:val="20"/>
                <w:color w:val="auto"/>
              </w:rPr>
            </w:pPr>
            <w:r>
              <w:rPr>
                <w:rFonts w:ascii="Arial Narrow" w:cs="Arial Narrow" w:eastAsia="Arial Narrow" w:hAnsi="Arial Narrow"/>
                <w:sz w:val="20"/>
                <w:szCs w:val="20"/>
                <w:color w:val="auto"/>
              </w:rPr>
              <w:t>110</w:t>
            </w:r>
          </w:p>
        </w:tc>
        <w:tc>
          <w:tcPr>
            <w:tcW w:w="120" w:type="dxa"/>
            <w:vAlign w:val="bottom"/>
          </w:tcPr>
          <w:p>
            <w:pPr>
              <w:spacing w:after="0"/>
              <w:rPr>
                <w:sz w:val="19"/>
                <w:szCs w:val="19"/>
                <w:color w:val="auto"/>
              </w:rPr>
            </w:pPr>
          </w:p>
        </w:tc>
      </w:tr>
      <w:tr>
        <w:trPr>
          <w:trHeight w:val="230"/>
        </w:trPr>
        <w:tc>
          <w:tcPr>
            <w:tcW w:w="260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660" w:type="dxa"/>
            <w:vAlign w:val="bottom"/>
            <w:gridSpan w:val="2"/>
          </w:tcPr>
          <w:p>
            <w:pPr>
              <w:ind w:left="450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600" w:type="dxa"/>
            <w:vAlign w:val="bottom"/>
            <w:tcBorders>
              <w:bottom w:val="single" w:sz="8" w:color="auto"/>
            </w:tcBorders>
          </w:tcPr>
          <w:p>
            <w:pPr>
              <w:spacing w:after="0"/>
              <w:rPr>
                <w:sz w:val="20"/>
                <w:szCs w:val="20"/>
                <w:color w:val="auto"/>
              </w:rPr>
            </w:pPr>
          </w:p>
        </w:tc>
        <w:tc>
          <w:tcPr>
            <w:tcW w:w="6540" w:type="dxa"/>
            <w:vAlign w:val="bottom"/>
            <w:tcBorders>
              <w:bottom w:val="single" w:sz="8" w:color="auto"/>
            </w:tcBorders>
          </w:tcPr>
          <w:p>
            <w:pPr>
              <w:ind w:left="1880"/>
              <w:spacing w:after="0"/>
              <w:rPr>
                <w:sz w:val="20"/>
                <w:szCs w:val="20"/>
                <w:color w:val="auto"/>
              </w:rPr>
            </w:pPr>
            <w:r>
              <w:rPr>
                <w:rFonts w:ascii="Garamond" w:cs="Garamond" w:eastAsia="Garamond" w:hAnsi="Garamond"/>
                <w:sz w:val="20"/>
                <w:szCs w:val="20"/>
                <w:b w:val="1"/>
                <w:bCs w:val="1"/>
                <w:color w:val="auto"/>
              </w:rPr>
              <w:t>RECENT ISSUES IN SOCIOLOGICAL RESEARCH</w:t>
            </w:r>
          </w:p>
        </w:tc>
        <w:tc>
          <w:tcPr>
            <w:tcW w:w="120" w:type="dxa"/>
            <w:vAlign w:val="bottom"/>
          </w:tcPr>
          <w:p>
            <w:pPr>
              <w:spacing w:after="0"/>
              <w:rPr>
                <w:sz w:val="20"/>
                <w:szCs w:val="20"/>
                <w:color w:val="auto"/>
              </w:rPr>
            </w:pPr>
          </w:p>
        </w:tc>
      </w:tr>
      <w:tr>
        <w:trPr>
          <w:trHeight w:val="559"/>
        </w:trPr>
        <w:tc>
          <w:tcPr>
            <w:tcW w:w="2600" w:type="dxa"/>
            <w:vAlign w:val="bottom"/>
          </w:tcPr>
          <w:p>
            <w:pPr>
              <w:spacing w:after="0"/>
              <w:rPr>
                <w:sz w:val="24"/>
                <w:szCs w:val="24"/>
                <w:color w:val="auto"/>
              </w:rPr>
            </w:pPr>
          </w:p>
        </w:tc>
        <w:tc>
          <w:tcPr>
            <w:tcW w:w="6660" w:type="dxa"/>
            <w:vAlign w:val="bottom"/>
            <w:gridSpan w:val="2"/>
          </w:tcPr>
          <w:p>
            <w:pPr>
              <w:ind w:left="1100"/>
              <w:spacing w:after="0"/>
              <w:rPr>
                <w:sz w:val="20"/>
                <w:szCs w:val="20"/>
                <w:color w:val="auto"/>
              </w:rPr>
            </w:pPr>
            <w:r>
              <w:rPr>
                <w:rFonts w:ascii="Garamond" w:cs="Garamond" w:eastAsia="Garamond" w:hAnsi="Garamond"/>
                <w:sz w:val="18"/>
                <w:szCs w:val="18"/>
                <w:color w:val="auto"/>
              </w:rPr>
              <w:t>Yurtseven, Ç. (2020). Enlargement and transformation of the movie theater</w:t>
            </w:r>
          </w:p>
        </w:tc>
      </w:tr>
      <w:tr>
        <w:trPr>
          <w:trHeight w:val="202"/>
        </w:trPr>
        <w:tc>
          <w:tcPr>
            <w:tcW w:w="2600" w:type="dxa"/>
            <w:vAlign w:val="bottom"/>
          </w:tcPr>
          <w:p>
            <w:pPr>
              <w:spacing w:after="0"/>
              <w:rPr>
                <w:sz w:val="17"/>
                <w:szCs w:val="17"/>
                <w:color w:val="auto"/>
              </w:rPr>
            </w:pPr>
          </w:p>
        </w:tc>
        <w:tc>
          <w:tcPr>
            <w:tcW w:w="6660" w:type="dxa"/>
            <w:vAlign w:val="bottom"/>
            <w:gridSpan w:val="2"/>
          </w:tcPr>
          <w:p>
            <w:pPr>
              <w:ind w:left="1100"/>
              <w:spacing w:after="0"/>
              <w:rPr>
                <w:sz w:val="20"/>
                <w:szCs w:val="20"/>
                <w:color w:val="auto"/>
              </w:rPr>
            </w:pPr>
            <w:r>
              <w:rPr>
                <w:rFonts w:ascii="Garamond" w:cs="Garamond" w:eastAsia="Garamond" w:hAnsi="Garamond"/>
                <w:sz w:val="18"/>
                <w:szCs w:val="18"/>
                <w:color w:val="auto"/>
              </w:rPr>
              <w:t xml:space="preserve">industry in Turkey. </w:t>
            </w:r>
            <w:r>
              <w:rPr>
                <w:rFonts w:ascii="Garamond" w:cs="Garamond" w:eastAsia="Garamond" w:hAnsi="Garamond"/>
                <w:sz w:val="18"/>
                <w:szCs w:val="18"/>
                <w:i w:val="1"/>
                <w:iCs w:val="1"/>
                <w:color w:val="auto"/>
              </w:rPr>
              <w:t>Economics and Sociology</w:t>
            </w:r>
            <w:r>
              <w:rPr>
                <w:rFonts w:ascii="Garamond" w:cs="Garamond" w:eastAsia="Garamond" w:hAnsi="Garamond"/>
                <w:sz w:val="18"/>
                <w:szCs w:val="18"/>
                <w:color w:val="auto"/>
              </w:rPr>
              <w:t xml:space="preserve">, </w:t>
            </w:r>
            <w:r>
              <w:rPr>
                <w:rFonts w:ascii="Garamond" w:cs="Garamond" w:eastAsia="Garamond" w:hAnsi="Garamond"/>
                <w:sz w:val="18"/>
                <w:szCs w:val="18"/>
                <w:i w:val="1"/>
                <w:iCs w:val="1"/>
                <w:color w:val="auto"/>
              </w:rPr>
              <w:t>13(</w:t>
            </w:r>
            <w:r>
              <w:rPr>
                <w:rFonts w:ascii="Garamond" w:cs="Garamond" w:eastAsia="Garamond" w:hAnsi="Garamond"/>
                <w:sz w:val="18"/>
                <w:szCs w:val="18"/>
                <w:color w:val="auto"/>
              </w:rPr>
              <w:t>2), 110-122. doi:10.14254/2071-</w:t>
            </w:r>
          </w:p>
        </w:tc>
      </w:tr>
      <w:tr>
        <w:trPr>
          <w:trHeight w:val="206"/>
        </w:trPr>
        <w:tc>
          <w:tcPr>
            <w:tcW w:w="2600" w:type="dxa"/>
            <w:vAlign w:val="bottom"/>
          </w:tcPr>
          <w:p>
            <w:pPr>
              <w:spacing w:after="0"/>
              <w:rPr>
                <w:sz w:val="17"/>
                <w:szCs w:val="17"/>
                <w:color w:val="auto"/>
              </w:rPr>
            </w:pPr>
          </w:p>
        </w:tc>
        <w:tc>
          <w:tcPr>
            <w:tcW w:w="6660" w:type="dxa"/>
            <w:vAlign w:val="bottom"/>
            <w:gridSpan w:val="2"/>
          </w:tcPr>
          <w:p>
            <w:pPr>
              <w:ind w:left="1100"/>
              <w:spacing w:after="0"/>
              <w:rPr>
                <w:sz w:val="20"/>
                <w:szCs w:val="20"/>
                <w:color w:val="auto"/>
              </w:rPr>
            </w:pPr>
            <w:r>
              <w:rPr>
                <w:rFonts w:ascii="Garamond" w:cs="Garamond" w:eastAsia="Garamond" w:hAnsi="Garamond"/>
                <w:sz w:val="18"/>
                <w:szCs w:val="18"/>
                <w:color w:val="auto"/>
              </w:rPr>
              <w:t>789X.2020/13-2/8</w:t>
            </w: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98425</wp:posOffset>
            </wp:positionH>
            <wp:positionV relativeFrom="paragraph">
              <wp:posOffset>-428625</wp:posOffset>
            </wp:positionV>
            <wp:extent cx="1809750" cy="9144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809750" cy="91440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tbl>
      <w:tblPr>
        <w:tblLayout w:type="fixed"/>
        <w:tblInd w:w="500" w:type="dxa"/>
        <w:tblCellMar>
          <w:top w:w="0" w:type="dxa"/>
          <w:left w:w="0" w:type="dxa"/>
          <w:bottom w:w="0" w:type="dxa"/>
          <w:right w:w="0" w:type="dxa"/>
        </w:tblCellMar>
      </w:tblPr>
      <w:tr>
        <w:trPr>
          <w:trHeight w:val="360"/>
        </w:trPr>
        <w:tc>
          <w:tcPr>
            <w:tcW w:w="6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6220" w:type="dxa"/>
            <w:vAlign w:val="bottom"/>
          </w:tcPr>
          <w:p>
            <w:pPr>
              <w:jc w:val="center"/>
              <w:ind w:left="499"/>
              <w:spacing w:after="0"/>
              <w:rPr>
                <w:sz w:val="20"/>
                <w:szCs w:val="20"/>
                <w:color w:val="auto"/>
              </w:rPr>
            </w:pPr>
            <w:r>
              <w:rPr>
                <w:rFonts w:ascii="Garamond" w:cs="Garamond" w:eastAsia="Garamond" w:hAnsi="Garamond"/>
                <w:sz w:val="32"/>
                <w:szCs w:val="32"/>
                <w:b w:val="1"/>
                <w:bCs w:val="1"/>
                <w:color w:val="auto"/>
                <w:w w:val="99"/>
              </w:rPr>
              <w:t>ENLARGEMENT AND</w:t>
            </w:r>
          </w:p>
        </w:tc>
        <w:tc>
          <w:tcPr>
            <w:tcW w:w="0" w:type="dxa"/>
            <w:vAlign w:val="bottom"/>
          </w:tcPr>
          <w:p>
            <w:pPr>
              <w:spacing w:after="0"/>
              <w:rPr>
                <w:sz w:val="1"/>
                <w:szCs w:val="1"/>
                <w:color w:val="auto"/>
              </w:rPr>
            </w:pPr>
          </w:p>
        </w:tc>
      </w:tr>
      <w:tr>
        <w:trPr>
          <w:trHeight w:val="360"/>
        </w:trPr>
        <w:tc>
          <w:tcPr>
            <w:tcW w:w="6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6220" w:type="dxa"/>
            <w:vAlign w:val="bottom"/>
          </w:tcPr>
          <w:p>
            <w:pPr>
              <w:jc w:val="center"/>
              <w:ind w:left="479"/>
              <w:spacing w:after="0"/>
              <w:rPr>
                <w:sz w:val="20"/>
                <w:szCs w:val="20"/>
                <w:color w:val="auto"/>
              </w:rPr>
            </w:pPr>
            <w:r>
              <w:rPr>
                <w:rFonts w:ascii="Garamond" w:cs="Garamond" w:eastAsia="Garamond" w:hAnsi="Garamond"/>
                <w:sz w:val="32"/>
                <w:szCs w:val="32"/>
                <w:b w:val="1"/>
                <w:bCs w:val="1"/>
                <w:color w:val="auto"/>
                <w:w w:val="99"/>
              </w:rPr>
              <w:t>TRANSFORMATION OF THE MOVIE</w:t>
            </w:r>
          </w:p>
        </w:tc>
        <w:tc>
          <w:tcPr>
            <w:tcW w:w="0" w:type="dxa"/>
            <w:vAlign w:val="bottom"/>
          </w:tcPr>
          <w:p>
            <w:pPr>
              <w:spacing w:after="0"/>
              <w:rPr>
                <w:sz w:val="1"/>
                <w:szCs w:val="1"/>
                <w:color w:val="auto"/>
              </w:rPr>
            </w:pPr>
          </w:p>
        </w:tc>
      </w:tr>
      <w:tr>
        <w:trPr>
          <w:trHeight w:val="360"/>
        </w:trPr>
        <w:tc>
          <w:tcPr>
            <w:tcW w:w="640" w:type="dxa"/>
            <w:vAlign w:val="bottom"/>
          </w:tcPr>
          <w:p>
            <w:pPr>
              <w:spacing w:after="0"/>
              <w:rPr>
                <w:sz w:val="24"/>
                <w:szCs w:val="24"/>
                <w:color w:val="auto"/>
              </w:rPr>
            </w:pPr>
          </w:p>
        </w:tc>
        <w:tc>
          <w:tcPr>
            <w:tcW w:w="1740" w:type="dxa"/>
            <w:vAlign w:val="bottom"/>
          </w:tcPr>
          <w:p>
            <w:pPr>
              <w:spacing w:after="0"/>
              <w:rPr>
                <w:sz w:val="24"/>
                <w:szCs w:val="24"/>
                <w:color w:val="auto"/>
              </w:rPr>
            </w:pPr>
          </w:p>
        </w:tc>
        <w:tc>
          <w:tcPr>
            <w:tcW w:w="6220" w:type="dxa"/>
            <w:vAlign w:val="bottom"/>
          </w:tcPr>
          <w:p>
            <w:pPr>
              <w:jc w:val="center"/>
              <w:ind w:left="499"/>
              <w:spacing w:after="0"/>
              <w:rPr>
                <w:sz w:val="20"/>
                <w:szCs w:val="20"/>
                <w:color w:val="auto"/>
              </w:rPr>
            </w:pPr>
            <w:r>
              <w:rPr>
                <w:rFonts w:ascii="Garamond" w:cs="Garamond" w:eastAsia="Garamond" w:hAnsi="Garamond"/>
                <w:sz w:val="32"/>
                <w:szCs w:val="32"/>
                <w:b w:val="1"/>
                <w:bCs w:val="1"/>
                <w:color w:val="auto"/>
                <w:w w:val="99"/>
              </w:rPr>
              <w:t>THEATER INDUSTRY IN TURKEY</w:t>
            </w:r>
          </w:p>
        </w:tc>
        <w:tc>
          <w:tcPr>
            <w:tcW w:w="0" w:type="dxa"/>
            <w:vAlign w:val="bottom"/>
          </w:tcPr>
          <w:p>
            <w:pPr>
              <w:spacing w:after="0"/>
              <w:rPr>
                <w:sz w:val="1"/>
                <w:szCs w:val="1"/>
                <w:color w:val="auto"/>
              </w:rPr>
            </w:pPr>
          </w:p>
        </w:tc>
      </w:tr>
      <w:tr>
        <w:trPr>
          <w:trHeight w:val="492"/>
        </w:trPr>
        <w:tc>
          <w:tcPr>
            <w:tcW w:w="2380" w:type="dxa"/>
            <w:vAlign w:val="bottom"/>
            <w:gridSpan w:val="2"/>
          </w:tcPr>
          <w:p>
            <w:pPr>
              <w:spacing w:after="0"/>
              <w:rPr>
                <w:sz w:val="20"/>
                <w:szCs w:val="20"/>
                <w:color w:val="auto"/>
              </w:rPr>
            </w:pPr>
            <w:r>
              <w:rPr>
                <w:rFonts w:ascii="Garamond" w:cs="Garamond" w:eastAsia="Garamond" w:hAnsi="Garamond"/>
                <w:sz w:val="22"/>
                <w:szCs w:val="22"/>
                <w:b w:val="1"/>
                <w:bCs w:val="1"/>
                <w:color w:val="auto"/>
              </w:rPr>
              <w:t>Çağlar Yurtseven</w:t>
            </w:r>
          </w:p>
        </w:tc>
        <w:tc>
          <w:tcPr>
            <w:tcW w:w="6220" w:type="dxa"/>
            <w:vAlign w:val="bottom"/>
          </w:tcPr>
          <w:p>
            <w:pPr>
              <w:ind w:left="500"/>
              <w:spacing w:after="0"/>
              <w:rPr>
                <w:sz w:val="20"/>
                <w:szCs w:val="20"/>
                <w:color w:val="auto"/>
              </w:rPr>
            </w:pPr>
            <w:r>
              <w:rPr>
                <w:rFonts w:ascii="Garamond" w:cs="Garamond" w:eastAsia="Garamond" w:hAnsi="Garamond"/>
                <w:sz w:val="22"/>
                <w:szCs w:val="22"/>
                <w:b w:val="1"/>
                <w:bCs w:val="1"/>
                <w:color w:val="auto"/>
              </w:rPr>
              <w:t>ABSTRACT</w:t>
            </w:r>
            <w:r>
              <w:rPr>
                <w:rFonts w:ascii="Garamond" w:cs="Garamond" w:eastAsia="Garamond" w:hAnsi="Garamond"/>
                <w:sz w:val="22"/>
                <w:szCs w:val="22"/>
                <w:color w:val="auto"/>
              </w:rPr>
              <w:t>. Turkey has experienced a boom in its movie</w:t>
            </w:r>
          </w:p>
        </w:tc>
        <w:tc>
          <w:tcPr>
            <w:tcW w:w="0" w:type="dxa"/>
            <w:vAlign w:val="bottom"/>
          </w:tcPr>
          <w:p>
            <w:pPr>
              <w:spacing w:after="0"/>
              <w:rPr>
                <w:sz w:val="1"/>
                <w:szCs w:val="1"/>
                <w:color w:val="auto"/>
              </w:rPr>
            </w:pPr>
          </w:p>
        </w:tc>
      </w:tr>
      <w:tr>
        <w:trPr>
          <w:trHeight w:val="248"/>
        </w:trPr>
        <w:tc>
          <w:tcPr>
            <w:tcW w:w="2380" w:type="dxa"/>
            <w:vAlign w:val="bottom"/>
            <w:gridSpan w:val="2"/>
          </w:tcPr>
          <w:p>
            <w:pPr>
              <w:spacing w:after="0"/>
              <w:rPr>
                <w:sz w:val="20"/>
                <w:szCs w:val="20"/>
                <w:color w:val="auto"/>
              </w:rPr>
            </w:pPr>
            <w:r>
              <w:rPr>
                <w:rFonts w:ascii="Garamond" w:cs="Garamond" w:eastAsia="Garamond" w:hAnsi="Garamond"/>
                <w:sz w:val="20"/>
                <w:szCs w:val="20"/>
                <w:i w:val="1"/>
                <w:iCs w:val="1"/>
                <w:color w:val="auto"/>
              </w:rPr>
              <w:t>Bahçeşehir University</w:t>
            </w:r>
            <w:r>
              <w:rPr>
                <w:rFonts w:ascii="Garamond" w:cs="Garamond" w:eastAsia="Garamond" w:hAnsi="Garamond"/>
                <w:sz w:val="22"/>
                <w:szCs w:val="22"/>
                <w:i w:val="1"/>
                <w:iCs w:val="1"/>
                <w:color w:val="auto"/>
              </w:rPr>
              <w:t>,</w:t>
            </w:r>
          </w:p>
        </w:tc>
        <w:tc>
          <w:tcPr>
            <w:tcW w:w="6220" w:type="dxa"/>
            <w:vAlign w:val="bottom"/>
          </w:tcPr>
          <w:p>
            <w:pPr>
              <w:jc w:val="center"/>
              <w:ind w:left="439"/>
              <w:spacing w:after="0"/>
              <w:rPr>
                <w:sz w:val="20"/>
                <w:szCs w:val="20"/>
                <w:color w:val="auto"/>
              </w:rPr>
            </w:pPr>
            <w:r>
              <w:rPr>
                <w:rFonts w:ascii="Garamond" w:cs="Garamond" w:eastAsia="Garamond" w:hAnsi="Garamond"/>
                <w:sz w:val="22"/>
                <w:szCs w:val="22"/>
                <w:color w:val="auto"/>
              </w:rPr>
              <w:t>industry  since  the  beginning  of  2000s.  The  number  of</w:t>
            </w:r>
          </w:p>
        </w:tc>
        <w:tc>
          <w:tcPr>
            <w:tcW w:w="0" w:type="dxa"/>
            <w:vAlign w:val="bottom"/>
          </w:tcPr>
          <w:p>
            <w:pPr>
              <w:spacing w:after="0"/>
              <w:rPr>
                <w:sz w:val="1"/>
                <w:szCs w:val="1"/>
                <w:color w:val="auto"/>
              </w:rPr>
            </w:pPr>
          </w:p>
        </w:tc>
      </w:tr>
      <w:tr>
        <w:trPr>
          <w:trHeight w:val="248"/>
        </w:trPr>
        <w:tc>
          <w:tcPr>
            <w:tcW w:w="2380" w:type="dxa"/>
            <w:vAlign w:val="bottom"/>
            <w:gridSpan w:val="2"/>
          </w:tcPr>
          <w:p>
            <w:pPr>
              <w:spacing w:after="0"/>
              <w:rPr>
                <w:sz w:val="20"/>
                <w:szCs w:val="20"/>
                <w:color w:val="auto"/>
              </w:rPr>
            </w:pPr>
            <w:r>
              <w:rPr>
                <w:rFonts w:ascii="Garamond" w:cs="Garamond" w:eastAsia="Garamond" w:hAnsi="Garamond"/>
                <w:sz w:val="22"/>
                <w:szCs w:val="22"/>
                <w:i w:val="1"/>
                <w:iCs w:val="1"/>
                <w:color w:val="auto"/>
              </w:rPr>
              <w:t>Turkey</w:t>
            </w:r>
          </w:p>
        </w:tc>
        <w:tc>
          <w:tcPr>
            <w:tcW w:w="6220" w:type="dxa"/>
            <w:vAlign w:val="bottom"/>
          </w:tcPr>
          <w:p>
            <w:pPr>
              <w:jc w:val="center"/>
              <w:ind w:left="439"/>
              <w:spacing w:after="0"/>
              <w:rPr>
                <w:sz w:val="20"/>
                <w:szCs w:val="20"/>
                <w:color w:val="auto"/>
              </w:rPr>
            </w:pPr>
            <w:r>
              <w:rPr>
                <w:rFonts w:ascii="Garamond" w:cs="Garamond" w:eastAsia="Garamond" w:hAnsi="Garamond"/>
                <w:sz w:val="22"/>
                <w:szCs w:val="22"/>
                <w:color w:val="auto"/>
              </w:rPr>
              <w:t>movie viewers in the movie theaters has increased by 360</w:t>
            </w:r>
          </w:p>
        </w:tc>
        <w:tc>
          <w:tcPr>
            <w:tcW w:w="0" w:type="dxa"/>
            <w:vAlign w:val="bottom"/>
          </w:tcPr>
          <w:p>
            <w:pPr>
              <w:spacing w:after="0"/>
              <w:rPr>
                <w:sz w:val="1"/>
                <w:szCs w:val="1"/>
                <w:color w:val="auto"/>
              </w:rPr>
            </w:pPr>
          </w:p>
        </w:tc>
      </w:tr>
      <w:tr>
        <w:trPr>
          <w:trHeight w:val="208"/>
        </w:trPr>
        <w:tc>
          <w:tcPr>
            <w:tcW w:w="2380" w:type="dxa"/>
            <w:vAlign w:val="bottom"/>
            <w:gridSpan w:val="2"/>
          </w:tcPr>
          <w:p>
            <w:pPr>
              <w:spacing w:after="0" w:line="208" w:lineRule="exact"/>
              <w:rPr>
                <w:rFonts w:ascii="Garamond" w:cs="Garamond" w:eastAsia="Garamond" w:hAnsi="Garamond"/>
                <w:sz w:val="22"/>
                <w:szCs w:val="22"/>
                <w:i w:val="1"/>
                <w:iCs w:val="1"/>
                <w:color w:val="auto"/>
                <w:w w:val="99"/>
              </w:rPr>
            </w:pPr>
            <w:r>
              <w:rPr>
                <w:rFonts w:ascii="Garamond" w:cs="Garamond" w:eastAsia="Garamond" w:hAnsi="Garamond"/>
                <w:sz w:val="22"/>
                <w:szCs w:val="22"/>
                <w:i w:val="1"/>
                <w:iCs w:val="1"/>
                <w:color w:val="auto"/>
                <w:w w:val="99"/>
              </w:rPr>
              <w:t xml:space="preserve">E-mail: </w:t>
            </w:r>
            <w:hyperlink r:id="rId9">
              <w:r>
                <w:rPr>
                  <w:rFonts w:ascii="Garamond" w:cs="Garamond" w:eastAsia="Garamond" w:hAnsi="Garamond"/>
                  <w:sz w:val="22"/>
                  <w:szCs w:val="22"/>
                  <w:i w:val="1"/>
                  <w:iCs w:val="1"/>
                  <w:color w:val="0000FF"/>
                  <w:w w:val="99"/>
                </w:rPr>
                <w:t>cayurtseven@yahoo.com</w:t>
              </w:r>
            </w:hyperlink>
          </w:p>
        </w:tc>
        <w:tc>
          <w:tcPr>
            <w:tcW w:w="6220" w:type="dxa"/>
            <w:vAlign w:val="bottom"/>
          </w:tcPr>
          <w:p>
            <w:pPr>
              <w:jc w:val="center"/>
              <w:ind w:left="439"/>
              <w:spacing w:after="0" w:line="208" w:lineRule="exact"/>
              <w:rPr>
                <w:sz w:val="20"/>
                <w:szCs w:val="20"/>
                <w:color w:val="auto"/>
              </w:rPr>
            </w:pPr>
            <w:r>
              <w:rPr>
                <w:rFonts w:ascii="Garamond" w:cs="Garamond" w:eastAsia="Garamond" w:hAnsi="Garamond"/>
                <w:sz w:val="22"/>
                <w:szCs w:val="22"/>
                <w:color w:val="auto"/>
              </w:rPr>
              <w:t>per  cent  in  the  last  15  years.  This  paper  attempts  to</w:t>
            </w:r>
          </w:p>
        </w:tc>
        <w:tc>
          <w:tcPr>
            <w:tcW w:w="0" w:type="dxa"/>
            <w:vAlign w:val="bottom"/>
          </w:tcPr>
          <w:p>
            <w:pPr>
              <w:spacing w:after="0"/>
              <w:rPr>
                <w:sz w:val="1"/>
                <w:szCs w:val="1"/>
                <w:color w:val="auto"/>
              </w:rPr>
            </w:pPr>
          </w:p>
        </w:tc>
      </w:tr>
      <w:tr>
        <w:trPr>
          <w:trHeight w:val="266"/>
        </w:trPr>
        <w:tc>
          <w:tcPr>
            <w:tcW w:w="640" w:type="dxa"/>
            <w:vAlign w:val="bottom"/>
          </w:tcPr>
          <w:p>
            <w:pPr>
              <w:spacing w:after="0"/>
              <w:rPr>
                <w:sz w:val="23"/>
                <w:szCs w:val="23"/>
                <w:color w:val="auto"/>
              </w:rPr>
            </w:pPr>
          </w:p>
        </w:tc>
        <w:tc>
          <w:tcPr>
            <w:tcW w:w="1740" w:type="dxa"/>
            <w:vAlign w:val="bottom"/>
            <w:tcBorders>
              <w:top w:val="single" w:sz="8" w:color="0000FF"/>
            </w:tcBorders>
          </w:tcPr>
          <w:p>
            <w:pPr>
              <w:spacing w:after="0"/>
              <w:rPr>
                <w:sz w:val="23"/>
                <w:szCs w:val="23"/>
                <w:color w:val="auto"/>
              </w:rPr>
            </w:pPr>
          </w:p>
        </w:tc>
        <w:tc>
          <w:tcPr>
            <w:tcW w:w="6220" w:type="dxa"/>
            <w:vAlign w:val="bottom"/>
          </w:tcPr>
          <w:p>
            <w:pPr>
              <w:jc w:val="center"/>
              <w:ind w:left="439"/>
              <w:spacing w:after="0"/>
              <w:rPr>
                <w:sz w:val="20"/>
                <w:szCs w:val="20"/>
                <w:color w:val="auto"/>
              </w:rPr>
            </w:pPr>
            <w:r>
              <w:rPr>
                <w:rFonts w:ascii="Garamond" w:cs="Garamond" w:eastAsia="Garamond" w:hAnsi="Garamond"/>
                <w:sz w:val="22"/>
                <w:szCs w:val="22"/>
                <w:color w:val="auto"/>
              </w:rPr>
              <w:t>comprehend and analyze the determining socioeconomic</w:t>
            </w:r>
          </w:p>
        </w:tc>
        <w:tc>
          <w:tcPr>
            <w:tcW w:w="0" w:type="dxa"/>
            <w:vAlign w:val="bottom"/>
          </w:tcPr>
          <w:p>
            <w:pPr>
              <w:spacing w:after="0"/>
              <w:rPr>
                <w:sz w:val="1"/>
                <w:szCs w:val="1"/>
                <w:color w:val="auto"/>
              </w:rPr>
            </w:pPr>
          </w:p>
        </w:tc>
      </w:tr>
      <w:tr>
        <w:trPr>
          <w:trHeight w:val="248"/>
        </w:trPr>
        <w:tc>
          <w:tcPr>
            <w:tcW w:w="640" w:type="dxa"/>
            <w:vAlign w:val="bottom"/>
          </w:tcPr>
          <w:p>
            <w:pPr>
              <w:spacing w:after="0"/>
              <w:rPr>
                <w:sz w:val="21"/>
                <w:szCs w:val="21"/>
                <w:color w:val="auto"/>
              </w:rPr>
            </w:pPr>
          </w:p>
        </w:tc>
        <w:tc>
          <w:tcPr>
            <w:tcW w:w="1740" w:type="dxa"/>
            <w:vAlign w:val="bottom"/>
          </w:tcPr>
          <w:p>
            <w:pPr>
              <w:spacing w:after="0"/>
              <w:rPr>
                <w:sz w:val="21"/>
                <w:szCs w:val="21"/>
                <w:color w:val="auto"/>
              </w:rPr>
            </w:pPr>
          </w:p>
        </w:tc>
        <w:tc>
          <w:tcPr>
            <w:tcW w:w="6220" w:type="dxa"/>
            <w:vAlign w:val="bottom"/>
          </w:tcPr>
          <w:p>
            <w:pPr>
              <w:jc w:val="center"/>
              <w:ind w:left="439"/>
              <w:spacing w:after="0"/>
              <w:rPr>
                <w:sz w:val="20"/>
                <w:szCs w:val="20"/>
                <w:color w:val="auto"/>
              </w:rPr>
            </w:pPr>
            <w:r>
              <w:rPr>
                <w:rFonts w:ascii="Garamond" w:cs="Garamond" w:eastAsia="Garamond" w:hAnsi="Garamond"/>
                <w:sz w:val="22"/>
                <w:szCs w:val="22"/>
                <w:color w:val="auto"/>
              </w:rPr>
              <w:t>background of this enlargement. We use a unique data set</w:t>
            </w:r>
          </w:p>
        </w:tc>
        <w:tc>
          <w:tcPr>
            <w:tcW w:w="0" w:type="dxa"/>
            <w:vAlign w:val="bottom"/>
          </w:tcPr>
          <w:p>
            <w:pPr>
              <w:spacing w:after="0"/>
              <w:rPr>
                <w:sz w:val="1"/>
                <w:szCs w:val="1"/>
                <w:color w:val="auto"/>
              </w:rPr>
            </w:pPr>
          </w:p>
        </w:tc>
      </w:tr>
      <w:tr>
        <w:trPr>
          <w:trHeight w:val="248"/>
        </w:trPr>
        <w:tc>
          <w:tcPr>
            <w:tcW w:w="2380" w:type="dxa"/>
            <w:vAlign w:val="bottom"/>
            <w:gridSpan w:val="2"/>
          </w:tcPr>
          <w:p>
            <w:pPr>
              <w:spacing w:after="0"/>
              <w:rPr>
                <w:sz w:val="20"/>
                <w:szCs w:val="20"/>
                <w:color w:val="auto"/>
              </w:rPr>
            </w:pPr>
            <w:r>
              <w:rPr>
                <w:rFonts w:ascii="Garamond" w:cs="Garamond" w:eastAsia="Garamond" w:hAnsi="Garamond"/>
                <w:sz w:val="22"/>
                <w:szCs w:val="22"/>
                <w:i w:val="1"/>
                <w:iCs w:val="1"/>
                <w:color w:val="auto"/>
              </w:rPr>
              <w:t>Received</w:t>
            </w:r>
            <w:r>
              <w:rPr>
                <w:rFonts w:ascii="Garamond" w:cs="Garamond" w:eastAsia="Garamond" w:hAnsi="Garamond"/>
                <w:sz w:val="22"/>
                <w:szCs w:val="22"/>
                <w:color w:val="auto"/>
              </w:rPr>
              <w:t>: May, 2019</w:t>
            </w:r>
          </w:p>
        </w:tc>
        <w:tc>
          <w:tcPr>
            <w:tcW w:w="6220" w:type="dxa"/>
            <w:vAlign w:val="bottom"/>
          </w:tcPr>
          <w:p>
            <w:pPr>
              <w:jc w:val="center"/>
              <w:ind w:left="439"/>
              <w:spacing w:after="0"/>
              <w:rPr>
                <w:sz w:val="20"/>
                <w:szCs w:val="20"/>
                <w:color w:val="auto"/>
              </w:rPr>
            </w:pPr>
            <w:r>
              <w:rPr>
                <w:rFonts w:ascii="Garamond" w:cs="Garamond" w:eastAsia="Garamond" w:hAnsi="Garamond"/>
                <w:sz w:val="22"/>
                <w:szCs w:val="22"/>
                <w:color w:val="auto"/>
              </w:rPr>
              <w:t>and implement dynamic panel data estimation methods.</w:t>
            </w:r>
          </w:p>
        </w:tc>
        <w:tc>
          <w:tcPr>
            <w:tcW w:w="0" w:type="dxa"/>
            <w:vAlign w:val="bottom"/>
          </w:tcPr>
          <w:p>
            <w:pPr>
              <w:spacing w:after="0"/>
              <w:rPr>
                <w:sz w:val="1"/>
                <w:szCs w:val="1"/>
                <w:color w:val="auto"/>
              </w:rPr>
            </w:pPr>
          </w:p>
        </w:tc>
      </w:tr>
      <w:tr>
        <w:trPr>
          <w:trHeight w:val="248"/>
        </w:trPr>
        <w:tc>
          <w:tcPr>
            <w:tcW w:w="2380" w:type="dxa"/>
            <w:vAlign w:val="bottom"/>
            <w:gridSpan w:val="2"/>
          </w:tcPr>
          <w:p>
            <w:pPr>
              <w:spacing w:after="0"/>
              <w:rPr>
                <w:sz w:val="20"/>
                <w:szCs w:val="20"/>
                <w:color w:val="auto"/>
              </w:rPr>
            </w:pPr>
            <w:r>
              <w:rPr>
                <w:rFonts w:ascii="Garamond" w:cs="Garamond" w:eastAsia="Garamond" w:hAnsi="Garamond"/>
                <w:sz w:val="22"/>
                <w:szCs w:val="22"/>
                <w:i w:val="1"/>
                <w:iCs w:val="1"/>
                <w:color w:val="auto"/>
              </w:rPr>
              <w:t>1st Revision</w:t>
            </w:r>
            <w:r>
              <w:rPr>
                <w:rFonts w:ascii="Garamond" w:cs="Garamond" w:eastAsia="Garamond" w:hAnsi="Garamond"/>
                <w:sz w:val="22"/>
                <w:szCs w:val="22"/>
                <w:color w:val="auto"/>
              </w:rPr>
              <w:t>: July, 2019</w:t>
            </w:r>
          </w:p>
        </w:tc>
        <w:tc>
          <w:tcPr>
            <w:tcW w:w="6220" w:type="dxa"/>
            <w:vAlign w:val="bottom"/>
          </w:tcPr>
          <w:p>
            <w:pPr>
              <w:jc w:val="center"/>
              <w:ind w:left="439"/>
              <w:spacing w:after="0"/>
              <w:rPr>
                <w:sz w:val="20"/>
                <w:szCs w:val="20"/>
                <w:color w:val="auto"/>
              </w:rPr>
            </w:pPr>
            <w:r>
              <w:rPr>
                <w:rFonts w:ascii="Garamond" w:cs="Garamond" w:eastAsia="Garamond" w:hAnsi="Garamond"/>
                <w:sz w:val="22"/>
                <w:szCs w:val="22"/>
                <w:color w:val="auto"/>
              </w:rPr>
              <w:t>The results suggest, as expected, that the control variables,</w:t>
            </w:r>
          </w:p>
        </w:tc>
        <w:tc>
          <w:tcPr>
            <w:tcW w:w="0" w:type="dxa"/>
            <w:vAlign w:val="bottom"/>
          </w:tcPr>
          <w:p>
            <w:pPr>
              <w:spacing w:after="0"/>
              <w:rPr>
                <w:sz w:val="1"/>
                <w:szCs w:val="1"/>
                <w:color w:val="auto"/>
              </w:rPr>
            </w:pPr>
          </w:p>
        </w:tc>
      </w:tr>
      <w:tr>
        <w:trPr>
          <w:trHeight w:val="246"/>
        </w:trPr>
        <w:tc>
          <w:tcPr>
            <w:tcW w:w="2380" w:type="dxa"/>
            <w:vAlign w:val="bottom"/>
            <w:gridSpan w:val="2"/>
          </w:tcPr>
          <w:p>
            <w:pPr>
              <w:spacing w:after="0" w:line="246" w:lineRule="exact"/>
              <w:rPr>
                <w:sz w:val="20"/>
                <w:szCs w:val="20"/>
                <w:color w:val="auto"/>
              </w:rPr>
            </w:pPr>
            <w:r>
              <w:rPr>
                <w:rFonts w:ascii="Garamond" w:cs="Garamond" w:eastAsia="Garamond" w:hAnsi="Garamond"/>
                <w:sz w:val="22"/>
                <w:szCs w:val="22"/>
                <w:i w:val="1"/>
                <w:iCs w:val="1"/>
                <w:color w:val="auto"/>
              </w:rPr>
              <w:t>Accepted</w:t>
            </w:r>
            <w:r>
              <w:rPr>
                <w:rFonts w:ascii="Garamond" w:cs="Garamond" w:eastAsia="Garamond" w:hAnsi="Garamond"/>
                <w:sz w:val="22"/>
                <w:szCs w:val="22"/>
                <w:color w:val="auto"/>
              </w:rPr>
              <w:t>: February, 2020</w:t>
            </w:r>
          </w:p>
        </w:tc>
        <w:tc>
          <w:tcPr>
            <w:tcW w:w="6220" w:type="dxa"/>
            <w:vAlign w:val="bottom"/>
          </w:tcPr>
          <w:p>
            <w:pPr>
              <w:jc w:val="center"/>
              <w:ind w:left="439"/>
              <w:spacing w:after="0" w:line="246" w:lineRule="exact"/>
              <w:rPr>
                <w:sz w:val="20"/>
                <w:szCs w:val="20"/>
                <w:color w:val="auto"/>
              </w:rPr>
            </w:pPr>
            <w:r>
              <w:rPr>
                <w:rFonts w:ascii="Garamond" w:cs="Garamond" w:eastAsia="Garamond" w:hAnsi="Garamond"/>
                <w:sz w:val="22"/>
                <w:szCs w:val="22"/>
                <w:color w:val="auto"/>
              </w:rPr>
              <w:t>such as education, income, number of college students and</w:t>
            </w:r>
          </w:p>
        </w:tc>
        <w:tc>
          <w:tcPr>
            <w:tcW w:w="0" w:type="dxa"/>
            <w:vAlign w:val="bottom"/>
          </w:tcPr>
          <w:p>
            <w:pPr>
              <w:spacing w:after="0"/>
              <w:rPr>
                <w:sz w:val="1"/>
                <w:szCs w:val="1"/>
                <w:color w:val="auto"/>
              </w:rPr>
            </w:pPr>
          </w:p>
        </w:tc>
      </w:tr>
      <w:tr>
        <w:trPr>
          <w:trHeight w:val="248"/>
        </w:trPr>
        <w:tc>
          <w:tcPr>
            <w:tcW w:w="640" w:type="dxa"/>
            <w:vAlign w:val="bottom"/>
          </w:tcPr>
          <w:p>
            <w:pPr>
              <w:spacing w:after="0"/>
              <w:rPr>
                <w:sz w:val="21"/>
                <w:szCs w:val="21"/>
                <w:color w:val="auto"/>
              </w:rPr>
            </w:pPr>
          </w:p>
        </w:tc>
        <w:tc>
          <w:tcPr>
            <w:tcW w:w="1740" w:type="dxa"/>
            <w:vAlign w:val="bottom"/>
          </w:tcPr>
          <w:p>
            <w:pPr>
              <w:spacing w:after="0"/>
              <w:rPr>
                <w:sz w:val="21"/>
                <w:szCs w:val="21"/>
                <w:color w:val="auto"/>
              </w:rPr>
            </w:pPr>
          </w:p>
        </w:tc>
        <w:tc>
          <w:tcPr>
            <w:tcW w:w="6220" w:type="dxa"/>
            <w:vAlign w:val="bottom"/>
          </w:tcPr>
          <w:p>
            <w:pPr>
              <w:jc w:val="center"/>
              <w:ind w:left="439"/>
              <w:spacing w:after="0"/>
              <w:rPr>
                <w:sz w:val="20"/>
                <w:szCs w:val="20"/>
                <w:color w:val="auto"/>
              </w:rPr>
            </w:pPr>
            <w:r>
              <w:rPr>
                <w:rFonts w:ascii="Garamond" w:cs="Garamond" w:eastAsia="Garamond" w:hAnsi="Garamond"/>
                <w:sz w:val="22"/>
                <w:szCs w:val="22"/>
                <w:color w:val="auto"/>
                <w:w w:val="98"/>
              </w:rPr>
              <w:t>the expansion in the mall industry help us to understand the</w:t>
            </w:r>
          </w:p>
        </w:tc>
        <w:tc>
          <w:tcPr>
            <w:tcW w:w="0" w:type="dxa"/>
            <w:vAlign w:val="bottom"/>
          </w:tcPr>
          <w:p>
            <w:pPr>
              <w:spacing w:after="0"/>
              <w:rPr>
                <w:sz w:val="1"/>
                <w:szCs w:val="1"/>
                <w:color w:val="auto"/>
              </w:rPr>
            </w:pPr>
          </w:p>
        </w:tc>
      </w:tr>
      <w:tr>
        <w:trPr>
          <w:trHeight w:val="249"/>
        </w:trPr>
        <w:tc>
          <w:tcPr>
            <w:tcW w:w="2380" w:type="dxa"/>
            <w:vAlign w:val="bottom"/>
            <w:gridSpan w:val="2"/>
            <w:vMerge w:val="restart"/>
          </w:tcPr>
          <w:p>
            <w:pPr>
              <w:spacing w:after="0"/>
              <w:rPr>
                <w:sz w:val="20"/>
                <w:szCs w:val="20"/>
                <w:color w:val="auto"/>
              </w:rPr>
            </w:pPr>
            <w:r>
              <w:rPr>
                <w:rFonts w:ascii="Garamond" w:cs="Garamond" w:eastAsia="Garamond" w:hAnsi="Garamond"/>
                <w:sz w:val="22"/>
                <w:szCs w:val="22"/>
                <w:color w:val="auto"/>
              </w:rPr>
              <w:t>DOI: 10.14254/2071-</w:t>
            </w:r>
          </w:p>
        </w:tc>
        <w:tc>
          <w:tcPr>
            <w:tcW w:w="6220" w:type="dxa"/>
            <w:vAlign w:val="bottom"/>
          </w:tcPr>
          <w:p>
            <w:pPr>
              <w:ind w:left="880"/>
              <w:spacing w:after="0"/>
              <w:rPr>
                <w:sz w:val="20"/>
                <w:szCs w:val="20"/>
                <w:color w:val="auto"/>
              </w:rPr>
            </w:pPr>
            <w:r>
              <w:rPr>
                <w:rFonts w:ascii="Garamond" w:cs="Garamond" w:eastAsia="Garamond" w:hAnsi="Garamond"/>
                <w:sz w:val="22"/>
                <w:szCs w:val="22"/>
                <w:color w:val="auto"/>
              </w:rPr>
              <w:t>increasing numbers of visitors in Turkish movie theaters.</w:t>
            </w:r>
          </w:p>
        </w:tc>
        <w:tc>
          <w:tcPr>
            <w:tcW w:w="0" w:type="dxa"/>
            <w:vAlign w:val="bottom"/>
          </w:tcPr>
          <w:p>
            <w:pPr>
              <w:spacing w:after="0"/>
              <w:rPr>
                <w:sz w:val="1"/>
                <w:szCs w:val="1"/>
                <w:color w:val="auto"/>
              </w:rPr>
            </w:pPr>
          </w:p>
        </w:tc>
      </w:tr>
      <w:tr>
        <w:trPr>
          <w:trHeight w:val="112"/>
        </w:trPr>
        <w:tc>
          <w:tcPr>
            <w:tcW w:w="2380" w:type="dxa"/>
            <w:vAlign w:val="bottom"/>
            <w:gridSpan w:val="2"/>
            <w:vMerge w:val="continue"/>
          </w:tcPr>
          <w:p>
            <w:pPr>
              <w:spacing w:after="0"/>
              <w:rPr>
                <w:sz w:val="9"/>
                <w:szCs w:val="9"/>
                <w:color w:val="auto"/>
              </w:rPr>
            </w:pPr>
          </w:p>
        </w:tc>
        <w:tc>
          <w:tcPr>
            <w:tcW w:w="622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48"/>
        </w:trPr>
        <w:tc>
          <w:tcPr>
            <w:tcW w:w="2380" w:type="dxa"/>
            <w:vAlign w:val="bottom"/>
            <w:gridSpan w:val="2"/>
          </w:tcPr>
          <w:p>
            <w:pPr>
              <w:spacing w:after="0"/>
              <w:rPr>
                <w:sz w:val="20"/>
                <w:szCs w:val="20"/>
                <w:color w:val="auto"/>
              </w:rPr>
            </w:pPr>
            <w:r>
              <w:rPr>
                <w:rFonts w:ascii="Garamond" w:cs="Garamond" w:eastAsia="Garamond" w:hAnsi="Garamond"/>
                <w:sz w:val="22"/>
                <w:szCs w:val="22"/>
                <w:color w:val="auto"/>
              </w:rPr>
              <w:t>789X.2020/13-2/8</w:t>
            </w:r>
          </w:p>
        </w:tc>
        <w:tc>
          <w:tcPr>
            <w:tcW w:w="622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361" w:lineRule="exact"/>
        <w:rPr>
          <w:sz w:val="24"/>
          <w:szCs w:val="24"/>
          <w:color w:val="auto"/>
        </w:rPr>
      </w:pPr>
    </w:p>
    <w:p>
      <w:pPr>
        <w:ind w:left="500"/>
        <w:spacing w:after="0"/>
        <w:tabs>
          <w:tab w:leader="none" w:pos="3360" w:val="left"/>
        </w:tabs>
        <w:rPr>
          <w:sz w:val="20"/>
          <w:szCs w:val="20"/>
          <w:color w:val="auto"/>
        </w:rPr>
      </w:pPr>
      <w:r>
        <w:rPr>
          <w:rFonts w:ascii="Garamond" w:cs="Garamond" w:eastAsia="Garamond" w:hAnsi="Garamond"/>
          <w:sz w:val="22"/>
          <w:szCs w:val="22"/>
          <w:b w:val="1"/>
          <w:bCs w:val="1"/>
          <w:i w:val="1"/>
          <w:iCs w:val="1"/>
          <w:color w:val="auto"/>
        </w:rPr>
        <w:t>JEL Classification</w:t>
      </w:r>
      <w:r>
        <w:rPr>
          <w:rFonts w:ascii="Garamond" w:cs="Garamond" w:eastAsia="Garamond" w:hAnsi="Garamond"/>
          <w:sz w:val="22"/>
          <w:szCs w:val="22"/>
          <w:i w:val="1"/>
          <w:iCs w:val="1"/>
          <w:color w:val="auto"/>
        </w:rPr>
        <w:t>:</w:t>
      </w:r>
      <w:r>
        <w:rPr>
          <w:rFonts w:ascii="Garamond" w:cs="Garamond" w:eastAsia="Garamond" w:hAnsi="Garamond"/>
          <w:sz w:val="22"/>
          <w:szCs w:val="22"/>
          <w:b w:val="1"/>
          <w:bCs w:val="1"/>
          <w:i w:val="1"/>
          <w:iCs w:val="1"/>
          <w:color w:val="auto"/>
        </w:rPr>
        <w:t xml:space="preserve"> </w:t>
      </w:r>
      <w:r>
        <w:rPr>
          <w:rFonts w:ascii="Garamond" w:cs="Garamond" w:eastAsia="Garamond" w:hAnsi="Garamond"/>
          <w:sz w:val="22"/>
          <w:szCs w:val="22"/>
          <w:color w:val="auto"/>
        </w:rPr>
        <w:t>R58, L82,</w:t>
      </w:r>
      <w:r>
        <w:rPr>
          <w:rFonts w:ascii="Garamond" w:cs="Garamond" w:eastAsia="Garamond" w:hAnsi="Garamond"/>
          <w:sz w:val="22"/>
          <w:szCs w:val="22"/>
          <w:b w:val="1"/>
          <w:bCs w:val="1"/>
          <w:i w:val="1"/>
          <w:iCs w:val="1"/>
          <w:color w:val="auto"/>
        </w:rPr>
        <w:tab/>
        <w:t>Keywords</w:t>
      </w:r>
      <w:r>
        <w:rPr>
          <w:rFonts w:ascii="Garamond" w:cs="Garamond" w:eastAsia="Garamond" w:hAnsi="Garamond"/>
          <w:sz w:val="22"/>
          <w:szCs w:val="22"/>
          <w:color w:val="auto"/>
        </w:rPr>
        <w:t>: movie theater, Turkey, entertainment, socio-economic,</w:t>
      </w:r>
    </w:p>
    <w:p>
      <w:pPr>
        <w:ind w:left="500"/>
        <w:spacing w:after="0" w:line="238" w:lineRule="auto"/>
        <w:tabs>
          <w:tab w:leader="none" w:pos="3360" w:val="left"/>
        </w:tabs>
        <w:rPr>
          <w:sz w:val="20"/>
          <w:szCs w:val="20"/>
          <w:color w:val="auto"/>
        </w:rPr>
      </w:pPr>
      <w:r>
        <w:rPr>
          <w:rFonts w:ascii="Garamond" w:cs="Garamond" w:eastAsia="Garamond" w:hAnsi="Garamond"/>
          <w:sz w:val="22"/>
          <w:szCs w:val="22"/>
          <w:color w:val="auto"/>
        </w:rPr>
        <w:t>Z11</w:t>
      </w:r>
      <w:r>
        <w:rPr>
          <w:sz w:val="20"/>
          <w:szCs w:val="20"/>
          <w:color w:val="auto"/>
        </w:rPr>
        <w:tab/>
      </w:r>
      <w:r>
        <w:rPr>
          <w:rFonts w:ascii="Garamond" w:cs="Garamond" w:eastAsia="Garamond" w:hAnsi="Garamond"/>
          <w:sz w:val="22"/>
          <w:szCs w:val="22"/>
          <w:color w:val="auto"/>
        </w:rPr>
        <w:t>dynamic panel data</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69" w:lineRule="exact"/>
        <w:rPr>
          <w:sz w:val="24"/>
          <w:szCs w:val="24"/>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Introduction</w:t>
      </w:r>
    </w:p>
    <w:p>
      <w:pPr>
        <w:spacing w:after="0" w:line="246" w:lineRule="exact"/>
        <w:rPr>
          <w:sz w:val="24"/>
          <w:szCs w:val="24"/>
          <w:color w:val="auto"/>
        </w:rPr>
      </w:pPr>
    </w:p>
    <w:p>
      <w:pPr>
        <w:jc w:val="both"/>
        <w:ind w:left="40" w:right="160" w:firstLine="708"/>
        <w:spacing w:after="0" w:line="238" w:lineRule="auto"/>
        <w:rPr>
          <w:sz w:val="20"/>
          <w:szCs w:val="20"/>
          <w:color w:val="auto"/>
        </w:rPr>
      </w:pPr>
      <w:r>
        <w:rPr>
          <w:rFonts w:ascii="Times New Roman" w:cs="Times New Roman" w:eastAsia="Times New Roman" w:hAnsi="Times New Roman"/>
          <w:sz w:val="24"/>
          <w:szCs w:val="24"/>
          <w:color w:val="212121"/>
        </w:rPr>
        <w:t>This paper examines the enlargement of the movie theater industry in Turkey. We first analyze the rapid increase in the number of movie viewers in the last 15 years by means of econometric analysis. We try to comprehend the socioeconomic determinants behind the increase in the number of viewers. In addition to the usual demand side variables, such as income, education, the number of college students, prices of tickets (acts as supply-side variables) and trend, we also include the effect of rise in mall theaters, which is also a supply-side variable.</w:t>
      </w:r>
    </w:p>
    <w:p>
      <w:pPr>
        <w:spacing w:after="0" w:line="17" w:lineRule="exact"/>
        <w:rPr>
          <w:sz w:val="24"/>
          <w:szCs w:val="24"/>
          <w:color w:val="auto"/>
        </w:rPr>
      </w:pPr>
    </w:p>
    <w:p>
      <w:pPr>
        <w:jc w:val="both"/>
        <w:ind w:left="40" w:right="140" w:firstLine="708"/>
        <w:spacing w:after="0" w:line="238" w:lineRule="auto"/>
        <w:rPr>
          <w:sz w:val="20"/>
          <w:szCs w:val="20"/>
          <w:color w:val="auto"/>
        </w:rPr>
      </w:pPr>
      <w:r>
        <w:rPr>
          <w:rFonts w:ascii="Times New Roman" w:cs="Times New Roman" w:eastAsia="Times New Roman" w:hAnsi="Times New Roman"/>
          <w:sz w:val="24"/>
          <w:szCs w:val="24"/>
          <w:color w:val="212121"/>
        </w:rPr>
        <w:t>The reason for the inclusion of the effect of new supply-side variable in the analysis can be explained by an example: Up to 2000s, when two friends in Turkey, as in many emerging countries, decide to go to the movies, they first travel to the city center, walk around, visit local shops and buy their tickets from a city theater. If two friends in Turkey decide to go to the movies in the 2010s though, they first travel to a mall, shop there and then they buy their tickets from the mall theater. This experience will be familiar for millions of people, not only in Turkey but also in many other developing countries.</w:t>
      </w:r>
    </w:p>
    <w:p>
      <w:pPr>
        <w:spacing w:after="0" w:line="16" w:lineRule="exact"/>
        <w:rPr>
          <w:sz w:val="24"/>
          <w:szCs w:val="24"/>
          <w:color w:val="auto"/>
        </w:rPr>
      </w:pPr>
    </w:p>
    <w:p>
      <w:pPr>
        <w:jc w:val="both"/>
        <w:ind w:left="40" w:right="160" w:firstLine="708"/>
        <w:spacing w:after="0" w:line="250" w:lineRule="auto"/>
        <w:rPr>
          <w:sz w:val="20"/>
          <w:szCs w:val="20"/>
          <w:color w:val="auto"/>
        </w:rPr>
      </w:pPr>
      <w:r>
        <w:rPr>
          <w:rFonts w:ascii="Times New Roman" w:cs="Times New Roman" w:eastAsia="Times New Roman" w:hAnsi="Times New Roman"/>
          <w:sz w:val="23"/>
          <w:szCs w:val="23"/>
          <w:color w:val="212121"/>
        </w:rPr>
        <w:t>Movie theater industry has experienced a significant enlargement and transformations in the last 20 years. The decline of historic movie theaters in cities is routinely observed across the globe under neoliberal capitalism, and developing economies are no exception. The closure of city theaters is a common byproduct of urban renewal programs implemented by many national governments. In Turkey, urban renewal programs have accelerated after the year 2000.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wp:posOffset>
            </wp:positionH>
            <wp:positionV relativeFrom="paragraph">
              <wp:posOffset>511810</wp:posOffset>
            </wp:positionV>
            <wp:extent cx="5798820" cy="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260"/>
          </w:cols>
          <w:pgMar w:left="1380" w:top="562" w:right="1266"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7" w:lineRule="exact"/>
        <w:rPr>
          <w:sz w:val="24"/>
          <w:szCs w:val="24"/>
          <w:color w:val="auto"/>
        </w:rPr>
      </w:pPr>
    </w:p>
    <w:p>
      <w:pPr>
        <w:jc w:val="center"/>
        <w:ind w:right="100"/>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260"/>
          </w:cols>
          <w:pgMar w:left="1380" w:top="562" w:right="1266" w:bottom="0"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111</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40" w:right="40" w:firstLine="708"/>
        <w:spacing w:after="0" w:line="239" w:lineRule="auto"/>
        <w:rPr>
          <w:sz w:val="20"/>
          <w:szCs w:val="20"/>
          <w:color w:val="auto"/>
        </w:rPr>
      </w:pPr>
      <w:r>
        <w:rPr>
          <w:rFonts w:ascii="Times New Roman" w:cs="Times New Roman" w:eastAsia="Times New Roman" w:hAnsi="Times New Roman"/>
          <w:sz w:val="24"/>
          <w:szCs w:val="24"/>
          <w:color w:val="212121"/>
        </w:rPr>
        <w:t xml:space="preserve">We have observed the opening of more than 200 mall complexes, construction of hundreds of skyscrapers in </w:t>
      </w:r>
      <w:r>
        <w:rPr>
          <w:rFonts w:ascii="Times New Roman" w:cs="Times New Roman" w:eastAsia="Times New Roman" w:hAnsi="Times New Roman"/>
          <w:sz w:val="24"/>
          <w:szCs w:val="24"/>
          <w:color w:val="212121"/>
        </w:rPr>
        <w:t>a very short time period (Yaşar, 2019). Nearly all new malls have</w:t>
      </w:r>
      <w:r>
        <w:rPr>
          <w:rFonts w:ascii="Times New Roman" w:cs="Times New Roman" w:eastAsia="Times New Roman" w:hAnsi="Times New Roman"/>
          <w:sz w:val="24"/>
          <w:szCs w:val="24"/>
          <w:color w:val="212121"/>
        </w:rPr>
        <w:t xml:space="preserve"> movie theatres inside them. With this new urban understanding, many existing city movie theaters could not compete with the newly formed mall movie theaters due to their disadvantageous pos</w:t>
      </w:r>
      <w:r>
        <w:rPr>
          <w:rFonts w:ascii="Times New Roman" w:cs="Times New Roman" w:eastAsia="Times New Roman" w:hAnsi="Times New Roman"/>
          <w:sz w:val="24"/>
          <w:szCs w:val="24"/>
          <w:color w:val="212121"/>
        </w:rPr>
        <w:t>ition in terms of parking slots’ availability, security issues, higher rent in</w:t>
      </w:r>
      <w:r>
        <w:rPr>
          <w:rFonts w:ascii="Times New Roman" w:cs="Times New Roman" w:eastAsia="Times New Roman" w:hAnsi="Times New Roman"/>
          <w:sz w:val="24"/>
          <w:szCs w:val="24"/>
          <w:color w:val="212121"/>
        </w:rPr>
        <w:t xml:space="preserve"> downtown etc. The paper pays attention to this phenomenon of neoliberal capitalism to understand the transformation of the movie theater industry. In addition, during the period considered, more than 100 universities have been established in almost all the provinces of Turkey. In the empirical analysis, we take this trend into account as well. To the best of our knowledge, this is the first paper to study the effect of recent expansion in the mall industry and the increase in the number of college students on movie-going decisions in Turkey.</w:t>
      </w:r>
    </w:p>
    <w:p>
      <w:pPr>
        <w:spacing w:after="0" w:line="13"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 xml:space="preserve">The paper is structured as follows. Section 1 presents the literature review in the international context and examines the studies with different approaches and views. Section 2 </w:t>
      </w:r>
      <w:r>
        <w:rPr>
          <w:rFonts w:ascii="Times New Roman" w:cs="Times New Roman" w:eastAsia="Times New Roman" w:hAnsi="Times New Roman"/>
          <w:sz w:val="24"/>
          <w:szCs w:val="24"/>
          <w:color w:val="212121"/>
        </w:rPr>
        <w:t xml:space="preserve">discusses the current situation at the movie market and introduces the author’s methodology. </w:t>
      </w:r>
      <w:r>
        <w:rPr>
          <w:rFonts w:ascii="Times New Roman" w:cs="Times New Roman" w:eastAsia="Times New Roman" w:hAnsi="Times New Roman"/>
          <w:sz w:val="24"/>
          <w:szCs w:val="24"/>
          <w:color w:val="212121"/>
        </w:rPr>
        <w:t>Section 3 describes the data set and provides the results of the estimation process. Finally, section 4 concludes.</w:t>
      </w:r>
    </w:p>
    <w:p>
      <w:pPr>
        <w:spacing w:after="0" w:line="37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1. Literature review</w:t>
      </w:r>
    </w:p>
    <w:p>
      <w:pPr>
        <w:spacing w:after="0" w:line="247" w:lineRule="exact"/>
        <w:rPr>
          <w:sz w:val="20"/>
          <w:szCs w:val="20"/>
          <w:color w:val="auto"/>
        </w:rPr>
      </w:pPr>
    </w:p>
    <w:p>
      <w:pPr>
        <w:jc w:val="both"/>
        <w:ind w:left="40" w:right="40" w:firstLine="708"/>
        <w:spacing w:after="0" w:line="238" w:lineRule="auto"/>
        <w:rPr>
          <w:sz w:val="20"/>
          <w:szCs w:val="20"/>
          <w:color w:val="auto"/>
        </w:rPr>
      </w:pPr>
      <w:r>
        <w:rPr>
          <w:rFonts w:ascii="Times New Roman" w:cs="Times New Roman" w:eastAsia="Times New Roman" w:hAnsi="Times New Roman"/>
          <w:sz w:val="24"/>
          <w:szCs w:val="24"/>
          <w:color w:val="212121"/>
        </w:rPr>
        <w:t xml:space="preserve">Many articles in the literature examine the </w:t>
      </w:r>
      <w:r>
        <w:rPr>
          <w:rFonts w:ascii="Times New Roman" w:cs="Times New Roman" w:eastAsia="Times New Roman" w:hAnsi="Times New Roman"/>
          <w:sz w:val="24"/>
          <w:szCs w:val="24"/>
          <w:color w:val="212121"/>
        </w:rPr>
        <w:t>individual’s movie preferenes</w:t>
      </w:r>
      <w:r>
        <w:rPr>
          <w:rFonts w:ascii="Times New Roman" w:cs="Times New Roman" w:eastAsia="Times New Roman" w:hAnsi="Times New Roman"/>
          <w:sz w:val="24"/>
          <w:szCs w:val="24"/>
          <w:color w:val="212121"/>
        </w:rPr>
        <w:t xml:space="preserve"> in the world. For example, Dardis et al. (2014), investigate movie sector in the entertainment industry and they consider the variables such as income, age, education, physical location and race as the main determinants of movie preferences</w:t>
      </w:r>
      <w:r>
        <w:rPr>
          <w:rFonts w:ascii="Times New Roman" w:cs="Times New Roman" w:eastAsia="Times New Roman" w:hAnsi="Times New Roman"/>
          <w:sz w:val="24"/>
          <w:szCs w:val="24"/>
          <w:color w:val="212121"/>
        </w:rPr>
        <w:t>. Köksal and Yurtseven (2018) conduct a theoretical</w:t>
      </w:r>
      <w:r>
        <w:rPr>
          <w:rFonts w:ascii="Times New Roman" w:cs="Times New Roman" w:eastAsia="Times New Roman" w:hAnsi="Times New Roman"/>
          <w:sz w:val="24"/>
          <w:szCs w:val="24"/>
          <w:color w:val="212121"/>
        </w:rPr>
        <w:t xml:space="preserve"> study and show that education level, income, number of college students and trends are </w:t>
      </w:r>
      <w:r>
        <w:rPr>
          <w:rFonts w:ascii="Times New Roman" w:cs="Times New Roman" w:eastAsia="Times New Roman" w:hAnsi="Times New Roman"/>
          <w:sz w:val="24"/>
          <w:szCs w:val="24"/>
          <w:color w:val="212121"/>
        </w:rPr>
        <w:t xml:space="preserve">important determinants of the agent’s </w:t>
      </w:r>
      <w:r>
        <w:rPr>
          <w:rFonts w:ascii="Times New Roman" w:cs="Times New Roman" w:eastAsia="Times New Roman" w:hAnsi="Times New Roman"/>
          <w:sz w:val="24"/>
          <w:szCs w:val="24"/>
          <w:color w:val="212121"/>
        </w:rPr>
        <w:t>movie preferences.</w:t>
      </w:r>
    </w:p>
    <w:p>
      <w:pPr>
        <w:spacing w:after="0" w:line="1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Austin (1985) shows that going to the movies is a mass leisure activity, which is affected by age and gender. In this influential sociology paper, the author puts emphasis in its importance in the popular culture. Next, Craig, et al. (2015) and Duan et al. (2008) show that, word of mouth is as important as film critics to explain the variation in movie marketing.</w:t>
      </w:r>
    </w:p>
    <w:p>
      <w:pPr>
        <w:spacing w:after="0" w:line="14" w:lineRule="exact"/>
        <w:rPr>
          <w:sz w:val="20"/>
          <w:szCs w:val="20"/>
          <w:color w:val="auto"/>
        </w:rPr>
      </w:pPr>
    </w:p>
    <w:p>
      <w:pPr>
        <w:jc w:val="both"/>
        <w:ind w:left="40" w:right="20" w:firstLine="708"/>
        <w:spacing w:after="0" w:line="238" w:lineRule="auto"/>
        <w:rPr>
          <w:sz w:val="20"/>
          <w:szCs w:val="20"/>
          <w:color w:val="auto"/>
        </w:rPr>
      </w:pPr>
      <w:r>
        <w:rPr>
          <w:rFonts w:ascii="Times New Roman" w:cs="Times New Roman" w:eastAsia="Times New Roman" w:hAnsi="Times New Roman"/>
          <w:sz w:val="24"/>
          <w:szCs w:val="24"/>
          <w:color w:val="212121"/>
        </w:rPr>
        <w:t xml:space="preserve">Cultural values are relevant for </w:t>
      </w:r>
      <w:r>
        <w:rPr>
          <w:rFonts w:ascii="Times New Roman" w:cs="Times New Roman" w:eastAsia="Times New Roman" w:hAnsi="Times New Roman"/>
          <w:sz w:val="24"/>
          <w:szCs w:val="24"/>
          <w:color w:val="212121"/>
        </w:rPr>
        <w:t>people’s purchasing decisions, since it is one of the</w:t>
      </w:r>
      <w:r>
        <w:rPr>
          <w:rFonts w:ascii="Times New Roman" w:cs="Times New Roman" w:eastAsia="Times New Roman" w:hAnsi="Times New Roman"/>
          <w:sz w:val="24"/>
          <w:szCs w:val="24"/>
          <w:color w:val="212121"/>
        </w:rPr>
        <w:t xml:space="preserve"> main determinants of social capital (Delib</w:t>
      </w:r>
      <w:r>
        <w:rPr>
          <w:rFonts w:ascii="Times New Roman" w:cs="Times New Roman" w:eastAsia="Times New Roman" w:hAnsi="Times New Roman"/>
          <w:sz w:val="24"/>
          <w:szCs w:val="24"/>
          <w:color w:val="212121"/>
        </w:rPr>
        <w:t>ašić, 2018; Kaasa, 2019). Enomoto and Geisler</w:t>
      </w:r>
      <w:r>
        <w:rPr>
          <w:rFonts w:ascii="Times New Roman" w:cs="Times New Roman" w:eastAsia="Times New Roman" w:hAnsi="Times New Roman"/>
          <w:sz w:val="24"/>
          <w:szCs w:val="24"/>
          <w:color w:val="212121"/>
        </w:rPr>
        <w:t xml:space="preserve"> (2017) show the extreme importance of cultural values by relating cultural values to extraordinary events, such as plane crashes. In one study, Srinivas (2002) states that going to the cinema is essentially a social activity. The author highlights the differences in the social component of this social event in the USA and India. His findings suggest that unlike the USA, in India the viewers are not silent during the screening of the film, and they comment about it. Indians state that individuals go to movie not only for watching a film, but also to be involved in a cultural activity.</w:t>
      </w:r>
    </w:p>
    <w:p>
      <w:pPr>
        <w:spacing w:after="0" w:line="21" w:lineRule="exact"/>
        <w:rPr>
          <w:sz w:val="20"/>
          <w:szCs w:val="20"/>
          <w:color w:val="auto"/>
        </w:rPr>
      </w:pPr>
    </w:p>
    <w:p>
      <w:pPr>
        <w:jc w:val="both"/>
        <w:ind w:left="40" w:right="40" w:firstLine="708"/>
        <w:spacing w:after="0" w:line="236" w:lineRule="auto"/>
        <w:rPr>
          <w:sz w:val="20"/>
          <w:szCs w:val="20"/>
          <w:color w:val="auto"/>
        </w:rPr>
      </w:pPr>
      <w:r>
        <w:rPr>
          <w:rFonts w:ascii="Times New Roman" w:cs="Times New Roman" w:eastAsia="Times New Roman" w:hAnsi="Times New Roman"/>
          <w:sz w:val="24"/>
          <w:szCs w:val="24"/>
          <w:color w:val="212121"/>
        </w:rPr>
        <w:t xml:space="preserve">Hence, in addition to general socio-economic variables such as income and education, we need to focus on extra determinants of </w:t>
      </w:r>
      <w:r>
        <w:rPr>
          <w:rFonts w:ascii="Times New Roman" w:cs="Times New Roman" w:eastAsia="Times New Roman" w:hAnsi="Times New Roman"/>
          <w:sz w:val="24"/>
          <w:szCs w:val="24"/>
          <w:color w:val="212121"/>
        </w:rPr>
        <w:t>the agent’s decision to go to the movies, such as</w:t>
      </w:r>
      <w:r>
        <w:rPr>
          <w:rFonts w:ascii="Times New Roman" w:cs="Times New Roman" w:eastAsia="Times New Roman" w:hAnsi="Times New Roman"/>
          <w:sz w:val="24"/>
          <w:szCs w:val="24"/>
          <w:color w:val="212121"/>
        </w:rPr>
        <w:t xml:space="preserve"> being a social activity and number of students in a region.</w:t>
      </w:r>
    </w:p>
    <w:p>
      <w:pPr>
        <w:spacing w:after="0" w:line="2" w:lineRule="exact"/>
        <w:rPr>
          <w:sz w:val="20"/>
          <w:szCs w:val="20"/>
          <w:color w:val="auto"/>
        </w:rPr>
      </w:pPr>
    </w:p>
    <w:p>
      <w:pPr>
        <w:ind w:left="740"/>
        <w:spacing w:after="0"/>
        <w:tabs>
          <w:tab w:leader="none" w:pos="3680" w:val="left"/>
        </w:tabs>
        <w:rPr>
          <w:sz w:val="20"/>
          <w:szCs w:val="20"/>
          <w:color w:val="auto"/>
        </w:rPr>
      </w:pPr>
      <w:r>
        <w:rPr>
          <w:rFonts w:ascii="Times New Roman" w:cs="Times New Roman" w:eastAsia="Times New Roman" w:hAnsi="Times New Roman"/>
          <w:sz w:val="24"/>
          <w:szCs w:val="24"/>
          <w:color w:val="212121"/>
        </w:rPr>
        <w:t>The aforementioned studies</w:t>
        <w:tab/>
        <w:t>focus on the habit of going to the movies in general.</w:t>
      </w:r>
    </w:p>
    <w:p>
      <w:pPr>
        <w:ind w:left="40"/>
        <w:spacing w:after="0"/>
        <w:rPr>
          <w:sz w:val="20"/>
          <w:szCs w:val="20"/>
          <w:color w:val="auto"/>
        </w:rPr>
      </w:pPr>
      <w:r>
        <w:rPr>
          <w:rFonts w:ascii="Times New Roman" w:cs="Times New Roman" w:eastAsia="Times New Roman" w:hAnsi="Times New Roman"/>
          <w:sz w:val="24"/>
          <w:szCs w:val="24"/>
          <w:color w:val="212121"/>
        </w:rPr>
        <w:t>However, the studies on specific theater choice are less in the literature.</w:t>
      </w:r>
    </w:p>
    <w:p>
      <w:pPr>
        <w:spacing w:after="0" w:line="12"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For instance, Epstein (1998) claims that in the movie theater industry important innovations are made and these innovations can attract the audience. Different seat structures are important innovations of the times. Double seats or beds are first appeared in the theaters in 1990s. Up to 1980s, most movie theaters have a single viewing room with a single screen. In the beginning of the 2010s, most movie theaters have multiple screens.</w:t>
      </w:r>
    </w:p>
    <w:p>
      <w:pPr>
        <w:spacing w:after="0" w:line="15" w:lineRule="exact"/>
        <w:rPr>
          <w:sz w:val="20"/>
          <w:szCs w:val="20"/>
          <w:color w:val="auto"/>
        </w:rPr>
      </w:pPr>
    </w:p>
    <w:p>
      <w:pPr>
        <w:jc w:val="both"/>
        <w:ind w:left="40" w:right="40" w:firstLine="708"/>
        <w:spacing w:after="0" w:line="234" w:lineRule="auto"/>
        <w:rPr>
          <w:rFonts w:ascii="Times New Roman" w:cs="Times New Roman" w:eastAsia="Times New Roman" w:hAnsi="Times New Roman"/>
          <w:sz w:val="24"/>
          <w:szCs w:val="24"/>
          <w:color w:val="212121"/>
        </w:rPr>
      </w:pPr>
      <w:r>
        <w:rPr>
          <w:rFonts w:ascii="Times New Roman" w:cs="Times New Roman" w:eastAsia="Times New Roman" w:hAnsi="Times New Roman"/>
          <w:sz w:val="24"/>
          <w:szCs w:val="24"/>
          <w:color w:val="212121"/>
        </w:rPr>
        <w:t xml:space="preserve">According to Goldberg (2018), three-dimensional film (3D film), experienced a worldwide launch in the 1980s and 1990s driven by </w:t>
      </w:r>
      <w:hyperlink r:id="rId11">
        <w:r>
          <w:rPr>
            <w:rFonts w:ascii="Times New Roman" w:cs="Times New Roman" w:eastAsia="Times New Roman" w:hAnsi="Times New Roman"/>
            <w:sz w:val="24"/>
            <w:szCs w:val="24"/>
            <w:color w:val="212121"/>
          </w:rPr>
          <w:t xml:space="preserve">IMAX </w:t>
        </w:r>
      </w:hyperlink>
      <w:r>
        <w:rPr>
          <w:rFonts w:ascii="Times New Roman" w:cs="Times New Roman" w:eastAsia="Times New Roman" w:hAnsi="Times New Roman"/>
          <w:sz w:val="24"/>
          <w:szCs w:val="24"/>
          <w:color w:val="212121"/>
        </w:rPr>
        <w:t xml:space="preserve">high-end theaters and </w:t>
      </w:r>
      <w:hyperlink r:id="rId12">
        <w:r>
          <w:rPr>
            <w:rFonts w:ascii="Times New Roman" w:cs="Times New Roman" w:eastAsia="Times New Roman" w:hAnsi="Times New Roman"/>
            <w:sz w:val="24"/>
            <w:szCs w:val="24"/>
            <w:color w:val="212121"/>
          </w:rPr>
          <w:t>Disney</w:t>
        </w:r>
      </w:hyperlink>
      <w:r>
        <w:rPr>
          <w:rFonts w:ascii="Times New Roman" w:cs="Times New Roman" w:eastAsia="Times New Roman" w:hAnsi="Times New Roman"/>
          <w:sz w:val="24"/>
          <w:szCs w:val="24"/>
          <w:color w:val="212121"/>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393700</wp:posOffset>
            </wp:positionV>
            <wp:extent cx="579882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112</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40" w:right="40"/>
        <w:spacing w:after="0" w:line="249" w:lineRule="auto"/>
        <w:rPr>
          <w:sz w:val="20"/>
          <w:szCs w:val="20"/>
          <w:color w:val="auto"/>
        </w:rPr>
      </w:pPr>
      <w:r>
        <w:rPr>
          <w:rFonts w:ascii="Times New Roman" w:cs="Times New Roman" w:eastAsia="Times New Roman" w:hAnsi="Times New Roman"/>
          <w:sz w:val="23"/>
          <w:szCs w:val="23"/>
          <w:color w:val="212121"/>
        </w:rPr>
        <w:t>themed venues. 3D films became increasingly successful throughout the 2000s. Movie theaters with 3-D screens have become a choice especially for families with children over time.</w:t>
      </w:r>
    </w:p>
    <w:p>
      <w:pPr>
        <w:spacing w:after="0" w:line="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Hence in the beginning of the 2000s, with the proliferation of the new technologies, we observe renovation projects for the existing theaters or the emergence of the many new cinema theaters with new technologies around the world. Most of new cinema theatres are located in the malls. (Mostly, countries other than US).</w:t>
      </w:r>
    </w:p>
    <w:p>
      <w:pPr>
        <w:spacing w:after="0" w:line="1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 xml:space="preserve">In addition, the closing or destruction of city movie theaters have become a </w:t>
      </w:r>
      <w:r>
        <w:rPr>
          <w:rFonts w:ascii="Times New Roman" w:cs="Times New Roman" w:eastAsia="Times New Roman" w:hAnsi="Times New Roman"/>
          <w:sz w:val="24"/>
          <w:szCs w:val="24"/>
          <w:color w:val="212121"/>
        </w:rPr>
        <w:t xml:space="preserve">phenomenon, which often highlights distinct sociocultural designs that national governments’ objective for implementing urban renewal programs. (Yaşar, 2019). In short, as a result of the </w:t>
      </w:r>
      <w:r>
        <w:rPr>
          <w:rFonts w:ascii="Times New Roman" w:cs="Times New Roman" w:eastAsia="Times New Roman" w:hAnsi="Times New Roman"/>
          <w:sz w:val="24"/>
          <w:szCs w:val="24"/>
          <w:color w:val="212121"/>
        </w:rPr>
        <w:t>globalization in the media sector, we observe the emergence of global theater chains, instead of independent city theaters, all over the world including Turkey (Rutovic, 2016).</w:t>
      </w:r>
    </w:p>
    <w:p>
      <w:pPr>
        <w:spacing w:after="0" w:line="37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2. The case of Turkey</w:t>
      </w:r>
    </w:p>
    <w:p>
      <w:pPr>
        <w:spacing w:after="0" w:line="246"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The latest Movies and Theaters Statistics of Turkey, revealed by the Turkish Statistical Institution shows that the number of movie viewers and the total number of screens have significantly increased over the last 15 years. In addition, Turkish cinema sector has become dominant in the market.</w:t>
      </w:r>
    </w:p>
    <w:p>
      <w:pPr>
        <w:spacing w:after="0" w:line="14" w:lineRule="exact"/>
        <w:rPr>
          <w:sz w:val="20"/>
          <w:szCs w:val="20"/>
          <w:color w:val="auto"/>
        </w:rPr>
      </w:pPr>
    </w:p>
    <w:p>
      <w:pPr>
        <w:jc w:val="both"/>
        <w:ind w:left="40" w:right="40" w:firstLine="708"/>
        <w:spacing w:after="0" w:line="250" w:lineRule="auto"/>
        <w:rPr>
          <w:sz w:val="20"/>
          <w:szCs w:val="20"/>
          <w:color w:val="auto"/>
        </w:rPr>
      </w:pPr>
      <w:r>
        <w:rPr>
          <w:rFonts w:ascii="Times New Roman" w:cs="Times New Roman" w:eastAsia="Times New Roman" w:hAnsi="Times New Roman"/>
          <w:sz w:val="23"/>
          <w:szCs w:val="23"/>
          <w:color w:val="212121"/>
        </w:rPr>
        <w:t>The number of movie viewers has increased from 19 million in 2000 to 70 million in 2018. In the same period, the number of screens across Turkey has increased from 606 in 2000 to 2711 in 2018. The following graph clearly presents the dramatic changes in the industry.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501015</wp:posOffset>
            </wp:positionH>
            <wp:positionV relativeFrom="paragraph">
              <wp:posOffset>173355</wp:posOffset>
            </wp:positionV>
            <wp:extent cx="4805680" cy="24942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4805680" cy="2494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0" w:right="3400"/>
        <w:spacing w:after="0" w:line="234" w:lineRule="auto"/>
        <w:rPr>
          <w:sz w:val="20"/>
          <w:szCs w:val="20"/>
          <w:color w:val="auto"/>
        </w:rPr>
      </w:pPr>
      <w:r>
        <w:rPr>
          <w:rFonts w:ascii="Times New Roman" w:cs="Times New Roman" w:eastAsia="Times New Roman" w:hAnsi="Times New Roman"/>
          <w:sz w:val="24"/>
          <w:szCs w:val="24"/>
          <w:color w:val="212121"/>
        </w:rPr>
        <w:t xml:space="preserve">Graph 1. Number of Movie Viewers and Screens in Turkey </w:t>
      </w: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TurkStat Culture Statistics</w:t>
      </w:r>
    </w:p>
    <w:p>
      <w:pPr>
        <w:spacing w:after="0" w:line="290" w:lineRule="exact"/>
        <w:rPr>
          <w:sz w:val="20"/>
          <w:szCs w:val="20"/>
          <w:color w:val="auto"/>
        </w:rPr>
      </w:pPr>
    </w:p>
    <w:p>
      <w:pPr>
        <w:jc w:val="both"/>
        <w:ind w:left="40" w:right="20" w:firstLine="708"/>
        <w:spacing w:after="0" w:line="237" w:lineRule="auto"/>
        <w:rPr>
          <w:sz w:val="20"/>
          <w:szCs w:val="20"/>
          <w:color w:val="auto"/>
        </w:rPr>
      </w:pPr>
      <w:r>
        <w:rPr>
          <w:rFonts w:ascii="Times New Roman" w:cs="Times New Roman" w:eastAsia="Times New Roman" w:hAnsi="Times New Roman"/>
          <w:sz w:val="24"/>
          <w:szCs w:val="24"/>
          <w:color w:val="212121"/>
        </w:rPr>
        <w:t>The number of films displayed in 2004-2018 period has increased by 210 per cent from 207 to 439. 20 of these films in 2004 were domestic. The number of domestic movies in 2018 was 181, which implies a 900 percent increase. In the following graph, we present the number of domestic movies shown in theaters in each year.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1402080</wp:posOffset>
            </wp:positionV>
            <wp:extent cx="5798820" cy="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113</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701675</wp:posOffset>
            </wp:positionH>
            <wp:positionV relativeFrom="paragraph">
              <wp:posOffset>177800</wp:posOffset>
            </wp:positionV>
            <wp:extent cx="4404360" cy="22555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4404360" cy="2255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ind w:left="40" w:right="2360"/>
        <w:spacing w:after="0" w:line="234" w:lineRule="auto"/>
        <w:rPr>
          <w:sz w:val="20"/>
          <w:szCs w:val="20"/>
          <w:color w:val="auto"/>
        </w:rPr>
      </w:pPr>
      <w:r>
        <w:rPr>
          <w:rFonts w:ascii="Times New Roman" w:cs="Times New Roman" w:eastAsia="Times New Roman" w:hAnsi="Times New Roman"/>
          <w:sz w:val="24"/>
          <w:szCs w:val="24"/>
          <w:color w:val="212121"/>
        </w:rPr>
        <w:t xml:space="preserve">Graph 2. Number of Domestic Movies Produced Each Year in Turkey </w:t>
      </w: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TurkStat Culture Statistics</w:t>
      </w:r>
    </w:p>
    <w:p>
      <w:pPr>
        <w:spacing w:after="0" w:line="290"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Turkey has the highest domestic movies to all movies ratio among the European countries, surpassing countries as France and Italy (See table 1). The Increase in the number of movie viewers in Turkey especially for domestic productions, helped the domestic producers to feature an increasing quantity of movies. (Erbil, et al., 2017) This is important because domestic movies are important for the preservation of the national identity as well.</w:t>
      </w:r>
    </w:p>
    <w:p>
      <w:pPr>
        <w:spacing w:after="0" w:line="28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212121"/>
        </w:rPr>
        <w:t>Table 1. % of Domestic Movies out of all Movies Displayed in 2015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183515</wp:posOffset>
                </wp:positionV>
                <wp:extent cx="140906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14.45pt" to="284.15pt,14.45pt" o:allowincell="f" strokecolor="#000000" strokeweight="0.5pt"/>
            </w:pict>
          </mc:Fallback>
        </mc:AlternateContent>
      </w:r>
    </w:p>
    <w:p>
      <w:pPr>
        <w:spacing w:after="0" w:line="265" w:lineRule="exact"/>
        <w:rPr>
          <w:sz w:val="20"/>
          <w:szCs w:val="20"/>
          <w:color w:val="auto"/>
        </w:rPr>
      </w:pP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Turkey</w:t>
      </w:r>
      <w:r>
        <w:rPr>
          <w:sz w:val="20"/>
          <w:szCs w:val="20"/>
          <w:color w:val="auto"/>
        </w:rPr>
        <w:tab/>
      </w:r>
      <w:r>
        <w:rPr>
          <w:rFonts w:ascii="Times New Roman" w:cs="Times New Roman" w:eastAsia="Times New Roman" w:hAnsi="Times New Roman"/>
          <w:sz w:val="22"/>
          <w:szCs w:val="22"/>
          <w:color w:val="auto"/>
        </w:rPr>
        <w:t>59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8255</wp:posOffset>
                </wp:positionV>
                <wp:extent cx="140906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65pt" to="284.15pt,0.65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France</w:t>
      </w:r>
      <w:r>
        <w:rPr>
          <w:sz w:val="20"/>
          <w:szCs w:val="20"/>
          <w:color w:val="auto"/>
        </w:rPr>
        <w:tab/>
      </w:r>
      <w:r>
        <w:rPr>
          <w:rFonts w:ascii="Times New Roman" w:cs="Times New Roman" w:eastAsia="Times New Roman" w:hAnsi="Times New Roman"/>
          <w:sz w:val="22"/>
          <w:szCs w:val="22"/>
          <w:color w:val="auto"/>
        </w:rPr>
        <w:t>44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9525</wp:posOffset>
                </wp:positionV>
                <wp:extent cx="140906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75pt" to="284.15pt,0.75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Finland</w:t>
      </w:r>
      <w:r>
        <w:rPr>
          <w:sz w:val="20"/>
          <w:szCs w:val="20"/>
          <w:color w:val="auto"/>
        </w:rPr>
        <w:tab/>
      </w:r>
      <w:r>
        <w:rPr>
          <w:rFonts w:ascii="Times New Roman" w:cs="Times New Roman" w:eastAsia="Times New Roman" w:hAnsi="Times New Roman"/>
          <w:sz w:val="22"/>
          <w:szCs w:val="22"/>
          <w:color w:val="auto"/>
        </w:rPr>
        <w:t>28</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8255</wp:posOffset>
                </wp:positionV>
                <wp:extent cx="14090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65pt" to="284.15pt,0.65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Italy</w:t>
      </w:r>
      <w:r>
        <w:rPr>
          <w:sz w:val="20"/>
          <w:szCs w:val="20"/>
          <w:color w:val="auto"/>
        </w:rPr>
        <w:tab/>
      </w:r>
      <w:r>
        <w:rPr>
          <w:rFonts w:ascii="Times New Roman" w:cs="Times New Roman" w:eastAsia="Times New Roman" w:hAnsi="Times New Roman"/>
          <w:sz w:val="22"/>
          <w:szCs w:val="22"/>
          <w:color w:val="auto"/>
        </w:rPr>
        <w:t>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9525</wp:posOffset>
                </wp:positionV>
                <wp:extent cx="140906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75pt" to="284.15pt,0.75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Poland</w:t>
      </w:r>
      <w:r>
        <w:rPr>
          <w:sz w:val="20"/>
          <w:szCs w:val="20"/>
          <w:color w:val="auto"/>
        </w:rPr>
        <w:tab/>
      </w:r>
      <w:r>
        <w:rPr>
          <w:rFonts w:ascii="Times New Roman" w:cs="Times New Roman" w:eastAsia="Times New Roman" w:hAnsi="Times New Roman"/>
          <w:sz w:val="22"/>
          <w:szCs w:val="22"/>
          <w:color w:val="auto"/>
        </w:rPr>
        <w:t>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7620</wp:posOffset>
                </wp:positionV>
                <wp:extent cx="140906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6pt" to="284.15pt,0.6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Denmark</w:t>
      </w:r>
      <w:r>
        <w:rPr>
          <w:sz w:val="20"/>
          <w:szCs w:val="20"/>
          <w:color w:val="auto"/>
        </w:rPr>
        <w:tab/>
      </w:r>
      <w:r>
        <w:rPr>
          <w:rFonts w:ascii="Times New Roman" w:cs="Times New Roman" w:eastAsia="Times New Roman" w:hAnsi="Times New Roman"/>
          <w:sz w:val="22"/>
          <w:szCs w:val="22"/>
          <w:color w:val="auto"/>
        </w:rPr>
        <w:t>27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9525</wp:posOffset>
                </wp:positionV>
                <wp:extent cx="140906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75pt" to="284.15pt,0.75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Germany</w:t>
      </w:r>
      <w:r>
        <w:rPr>
          <w:sz w:val="20"/>
          <w:szCs w:val="20"/>
          <w:color w:val="auto"/>
        </w:rPr>
        <w:tab/>
      </w:r>
      <w:r>
        <w:rPr>
          <w:rFonts w:ascii="Times New Roman" w:cs="Times New Roman" w:eastAsia="Times New Roman" w:hAnsi="Times New Roman"/>
          <w:sz w:val="22"/>
          <w:szCs w:val="22"/>
          <w:color w:val="auto"/>
        </w:rPr>
        <w:t>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8255</wp:posOffset>
                </wp:positionV>
                <wp:extent cx="140906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65pt" to="284.15pt,0.65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Sweden</w:t>
      </w:r>
      <w:r>
        <w:rPr>
          <w:sz w:val="20"/>
          <w:szCs w:val="20"/>
          <w:color w:val="auto"/>
        </w:rPr>
        <w:tab/>
      </w:r>
      <w:r>
        <w:rPr>
          <w:rFonts w:ascii="Times New Roman" w:cs="Times New Roman" w:eastAsia="Times New Roman" w:hAnsi="Times New Roman"/>
          <w:sz w:val="22"/>
          <w:szCs w:val="22"/>
          <w:color w:val="auto"/>
        </w:rPr>
        <w:t>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9525</wp:posOffset>
                </wp:positionV>
                <wp:extent cx="14090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75pt" to="284.15pt,0.75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GB</w:t>
      </w:r>
      <w:r>
        <w:rPr>
          <w:sz w:val="20"/>
          <w:szCs w:val="20"/>
          <w:color w:val="auto"/>
        </w:rPr>
        <w:tab/>
      </w:r>
      <w:r>
        <w:rPr>
          <w:rFonts w:ascii="Times New Roman" w:cs="Times New Roman" w:eastAsia="Times New Roman" w:hAnsi="Times New Roman"/>
          <w:sz w:val="22"/>
          <w:szCs w:val="22"/>
          <w:color w:val="auto"/>
        </w:rPr>
        <w:t>26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2199640</wp:posOffset>
                </wp:positionH>
                <wp:positionV relativeFrom="paragraph">
                  <wp:posOffset>7620</wp:posOffset>
                </wp:positionV>
                <wp:extent cx="140906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0906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3.2pt,0.6pt" to="284.15pt,0.6pt" o:allowincell="f" strokecolor="#000000" strokeweight="0.5pt"/>
            </w:pict>
          </mc:Fallback>
        </mc:AlternateContent>
      </w:r>
    </w:p>
    <w:p>
      <w:pPr>
        <w:ind w:left="3540"/>
        <w:spacing w:after="0"/>
        <w:tabs>
          <w:tab w:leader="none" w:pos="4760" w:val="left"/>
        </w:tabs>
        <w:rPr>
          <w:sz w:val="20"/>
          <w:szCs w:val="20"/>
          <w:color w:val="auto"/>
        </w:rPr>
      </w:pPr>
      <w:r>
        <w:rPr>
          <w:rFonts w:ascii="Times New Roman" w:cs="Times New Roman" w:eastAsia="Times New Roman" w:hAnsi="Times New Roman"/>
          <w:sz w:val="22"/>
          <w:szCs w:val="22"/>
          <w:color w:val="auto"/>
        </w:rPr>
        <w:t>Spain</w:t>
      </w:r>
      <w:r>
        <w:rPr>
          <w:sz w:val="20"/>
          <w:szCs w:val="20"/>
          <w:color w:val="auto"/>
        </w:rPr>
        <w:tab/>
      </w:r>
      <w:r>
        <w:rPr>
          <w:rFonts w:ascii="Times New Roman" w:cs="Times New Roman" w:eastAsia="Times New Roman" w:hAnsi="Times New Roman"/>
          <w:sz w:val="22"/>
          <w:szCs w:val="22"/>
          <w:color w:val="auto"/>
        </w:rPr>
        <w:t>25</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2190750</wp:posOffset>
                </wp:positionH>
                <wp:positionV relativeFrom="paragraph">
                  <wp:posOffset>9525</wp:posOffset>
                </wp:positionV>
                <wp:extent cx="141795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417955" cy="4763"/>
                        </a:xfrm>
                        <a:prstGeom prst="line">
                          <a:avLst/>
                        </a:prstGeom>
                        <a:solidFill>
                          <a:srgbClr val="FFFFFF"/>
                        </a:solidFill>
                        <a:ln w="635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2.5pt,0.75pt" to="284.15pt,0.75pt" o:allowincell="f" strokecolor="#000000" strokeweight="0.5pt"/>
            </w:pict>
          </mc:Fallback>
        </mc:AlternateContent>
      </w:r>
    </w:p>
    <w:p>
      <w:pPr>
        <w:spacing w:after="0" w:line="26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Antrakt, Boxofficeturkiyecom</w:t>
      </w:r>
    </w:p>
    <w:p>
      <w:pPr>
        <w:spacing w:after="0" w:line="289" w:lineRule="exact"/>
        <w:rPr>
          <w:sz w:val="20"/>
          <w:szCs w:val="20"/>
          <w:color w:val="auto"/>
        </w:rPr>
      </w:pPr>
    </w:p>
    <w:p>
      <w:pPr>
        <w:jc w:val="both"/>
        <w:ind w:left="40" w:right="40" w:firstLine="708"/>
        <w:spacing w:after="0" w:line="236" w:lineRule="auto"/>
        <w:rPr>
          <w:sz w:val="20"/>
          <w:szCs w:val="20"/>
          <w:color w:val="auto"/>
        </w:rPr>
      </w:pPr>
      <w:r>
        <w:rPr>
          <w:rFonts w:ascii="Times New Roman" w:cs="Times New Roman" w:eastAsia="Times New Roman" w:hAnsi="Times New Roman"/>
          <w:sz w:val="24"/>
          <w:szCs w:val="24"/>
          <w:color w:val="212121"/>
        </w:rPr>
        <w:t>Finally, Graph 3 presents the box office numbers, which informs us about the fast enlargement of the industry in the last 15 years. The nominal increase from 2004 to 2018 is about 350 percent.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2099310</wp:posOffset>
            </wp:positionV>
            <wp:extent cx="5798820" cy="63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114</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684530</wp:posOffset>
            </wp:positionH>
            <wp:positionV relativeFrom="paragraph">
              <wp:posOffset>177800</wp:posOffset>
            </wp:positionV>
            <wp:extent cx="4434840" cy="254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extLst>
                    </a:blip>
                    <a:srcRect/>
                    <a:stretch>
                      <a:fillRect/>
                    </a:stretch>
                  </pic:blipFill>
                  <pic:spPr bwMode="auto">
                    <a:xfrm>
                      <a:off x="0" y="0"/>
                      <a:ext cx="4434840" cy="2549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212121"/>
        </w:rPr>
        <w:t>Graph 3. Box Office (million TL)</w:t>
      </w:r>
    </w:p>
    <w:p>
      <w:pPr>
        <w:ind w:left="40"/>
        <w:spacing w:after="0"/>
        <w:rPr>
          <w:sz w:val="20"/>
          <w:szCs w:val="20"/>
          <w:color w:val="auto"/>
        </w:rPr>
      </w:pP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TurkStat Culture Statistics</w:t>
      </w:r>
    </w:p>
    <w:p>
      <w:pPr>
        <w:spacing w:after="0" w:line="288"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After 2000, there is a huge increase in the number of college students in Turkey. We suspect whether this increase affects the provinces’ movie viewer ratio or not. Hence, we take the effect of college students into consideration in the analysis. We can see the dramatic increase in the number of students in the figure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713105</wp:posOffset>
            </wp:positionH>
            <wp:positionV relativeFrom="paragraph">
              <wp:posOffset>180975</wp:posOffset>
            </wp:positionV>
            <wp:extent cx="4373880" cy="256286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extLst>
                    </a:blip>
                    <a:srcRect/>
                    <a:stretch>
                      <a:fillRect/>
                    </a:stretch>
                  </pic:blipFill>
                  <pic:spPr bwMode="auto">
                    <a:xfrm>
                      <a:off x="0" y="0"/>
                      <a:ext cx="4373880" cy="25628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212121"/>
        </w:rPr>
        <w:t>Graph 4. Number of college students (1984-2018)</w:t>
      </w:r>
    </w:p>
    <w:p>
      <w:pPr>
        <w:ind w:left="40"/>
        <w:spacing w:after="0"/>
        <w:rPr>
          <w:sz w:val="20"/>
          <w:szCs w:val="20"/>
          <w:color w:val="auto"/>
        </w:rPr>
      </w:pP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Council of Higher Education of Turkey</w:t>
      </w:r>
    </w:p>
    <w:p>
      <w:pPr>
        <w:spacing w:after="0" w:line="288" w:lineRule="exact"/>
        <w:rPr>
          <w:sz w:val="20"/>
          <w:szCs w:val="20"/>
          <w:color w:val="auto"/>
        </w:rPr>
      </w:pPr>
    </w:p>
    <w:p>
      <w:pPr>
        <w:jc w:val="both"/>
        <w:ind w:left="40" w:right="20" w:firstLine="708"/>
        <w:spacing w:after="0" w:line="250" w:lineRule="auto"/>
        <w:rPr>
          <w:sz w:val="20"/>
          <w:szCs w:val="20"/>
          <w:color w:val="auto"/>
        </w:rPr>
      </w:pPr>
      <w:r>
        <w:rPr>
          <w:rFonts w:ascii="Times New Roman" w:cs="Times New Roman" w:eastAsia="Times New Roman" w:hAnsi="Times New Roman"/>
          <w:sz w:val="23"/>
          <w:szCs w:val="23"/>
          <w:color w:val="212121"/>
        </w:rPr>
        <w:t>During the same time, there was a mall boom in Turkey as well. Total number of malls in 2004 was 59, and this number has increased to 411 (JLL Market Report, 2019) in 2018. Some cities in the eastern part of Turkey, which do not have any theaters in 1990s and 2000s, have met with the movie theaters only in the malls. Eventhough the movie industry achieved such big increases in its numbers; number of screens that are in the city centers could not get similar results. In 2004, ratio of screens that are in city theaters to total number of screens was 55 percent. In 2018, this ratio has dropped to 18 percent. Contrary to the huge increase in the total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549275</wp:posOffset>
            </wp:positionV>
            <wp:extent cx="5798820" cy="635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6"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115</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40" w:right="40"/>
        <w:spacing w:after="0" w:line="237" w:lineRule="auto"/>
        <w:rPr>
          <w:sz w:val="20"/>
          <w:szCs w:val="20"/>
          <w:color w:val="auto"/>
        </w:rPr>
      </w:pPr>
      <w:r>
        <w:rPr>
          <w:rFonts w:ascii="Times New Roman" w:cs="Times New Roman" w:eastAsia="Times New Roman" w:hAnsi="Times New Roman"/>
          <w:sz w:val="24"/>
          <w:szCs w:val="24"/>
          <w:color w:val="212121"/>
        </w:rPr>
        <w:t>number of screens available in the country (822 in 2004 to 2711 in 2018), there are movie theaters in the city centers that cease their operations. Nearly almost all the new screens after 2010 are opened in the malls. Number of screens which are located in the city theaters and the mall theaters are given in Table 2.</w:t>
      </w:r>
    </w:p>
    <w:p>
      <w:pPr>
        <w:spacing w:after="0" w:line="27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212121"/>
        </w:rPr>
        <w:t>Table 2. Number of Screens in Turkey</w:t>
      </w:r>
    </w:p>
    <w:p>
      <w:pPr>
        <w:spacing w:after="0" w:line="102" w:lineRule="exact"/>
        <w:rPr>
          <w:sz w:val="20"/>
          <w:szCs w:val="20"/>
          <w:color w:val="auto"/>
        </w:rPr>
      </w:pPr>
    </w:p>
    <w:tbl>
      <w:tblPr>
        <w:tblLayout w:type="fixed"/>
        <w:tblInd w:w="20" w:type="dxa"/>
        <w:tblCellMar>
          <w:top w:w="0" w:type="dxa"/>
          <w:left w:w="0" w:type="dxa"/>
          <w:bottom w:w="0" w:type="dxa"/>
          <w:right w:w="0" w:type="dxa"/>
        </w:tblCellMar>
      </w:tblPr>
      <w:tr>
        <w:trPr>
          <w:trHeight w:val="259"/>
        </w:trPr>
        <w:tc>
          <w:tcPr>
            <w:tcW w:w="20" w:type="dxa"/>
            <w:vAlign w:val="bottom"/>
          </w:tcPr>
          <w:p>
            <w:pPr>
              <w:spacing w:after="0"/>
              <w:rPr>
                <w:sz w:val="22"/>
                <w:szCs w:val="22"/>
                <w:color w:val="auto"/>
              </w:rPr>
            </w:pPr>
          </w:p>
        </w:tc>
        <w:tc>
          <w:tcPr>
            <w:tcW w:w="1680" w:type="dxa"/>
            <w:vAlign w:val="bottom"/>
            <w:tcBorders>
              <w:top w:val="single" w:sz="8" w:color="auto"/>
              <w:bottom w:val="single" w:sz="8" w:color="auto"/>
            </w:tcBorders>
          </w:tcPr>
          <w:p>
            <w:pPr>
              <w:ind w:left="60"/>
              <w:spacing w:after="0"/>
              <w:rPr>
                <w:sz w:val="20"/>
                <w:szCs w:val="20"/>
                <w:color w:val="auto"/>
              </w:rPr>
            </w:pPr>
            <w:r>
              <w:rPr>
                <w:rFonts w:ascii="Times New Roman" w:cs="Times New Roman" w:eastAsia="Times New Roman" w:hAnsi="Times New Roman"/>
                <w:sz w:val="22"/>
                <w:szCs w:val="22"/>
                <w:color w:val="auto"/>
              </w:rPr>
              <w:t>Year</w:t>
            </w:r>
          </w:p>
        </w:tc>
        <w:tc>
          <w:tcPr>
            <w:tcW w:w="2840" w:type="dxa"/>
            <w:vAlign w:val="bottom"/>
            <w:tcBorders>
              <w:top w:val="single" w:sz="8" w:color="auto"/>
              <w:bottom w:val="single" w:sz="8" w:color="auto"/>
            </w:tcBorders>
          </w:tcPr>
          <w:p>
            <w:pPr>
              <w:jc w:val="center"/>
              <w:ind w:left="490"/>
              <w:spacing w:after="0"/>
              <w:rPr>
                <w:sz w:val="20"/>
                <w:szCs w:val="20"/>
                <w:color w:val="auto"/>
              </w:rPr>
            </w:pPr>
            <w:r>
              <w:rPr>
                <w:rFonts w:ascii="Times New Roman" w:cs="Times New Roman" w:eastAsia="Times New Roman" w:hAnsi="Times New Roman"/>
                <w:sz w:val="22"/>
                <w:szCs w:val="22"/>
                <w:color w:val="auto"/>
              </w:rPr>
              <w:t>City Screens</w:t>
            </w:r>
          </w:p>
        </w:tc>
        <w:tc>
          <w:tcPr>
            <w:tcW w:w="2460" w:type="dxa"/>
            <w:vAlign w:val="bottom"/>
            <w:tcBorders>
              <w:top w:val="single" w:sz="8" w:color="auto"/>
              <w:bottom w:val="single" w:sz="8" w:color="auto"/>
            </w:tcBorders>
          </w:tcPr>
          <w:p>
            <w:pPr>
              <w:ind w:left="560"/>
              <w:spacing w:after="0"/>
              <w:rPr>
                <w:sz w:val="20"/>
                <w:szCs w:val="20"/>
                <w:color w:val="auto"/>
              </w:rPr>
            </w:pPr>
            <w:r>
              <w:rPr>
                <w:rFonts w:ascii="Times New Roman" w:cs="Times New Roman" w:eastAsia="Times New Roman" w:hAnsi="Times New Roman"/>
                <w:sz w:val="22"/>
                <w:szCs w:val="22"/>
                <w:color w:val="auto"/>
              </w:rPr>
              <w:t>Mall Screens</w:t>
            </w:r>
          </w:p>
        </w:tc>
        <w:tc>
          <w:tcPr>
            <w:tcW w:w="2080" w:type="dxa"/>
            <w:vAlign w:val="bottom"/>
            <w:tcBorders>
              <w:top w:val="single" w:sz="8" w:color="auto"/>
              <w:bottom w:val="single" w:sz="8" w:color="auto"/>
            </w:tcBorders>
          </w:tcPr>
          <w:p>
            <w:pPr>
              <w:ind w:left="720"/>
              <w:spacing w:after="0"/>
              <w:rPr>
                <w:sz w:val="20"/>
                <w:szCs w:val="20"/>
                <w:color w:val="auto"/>
              </w:rPr>
            </w:pPr>
            <w:r>
              <w:rPr>
                <w:rFonts w:ascii="Times New Roman" w:cs="Times New Roman" w:eastAsia="Times New Roman" w:hAnsi="Times New Roman"/>
                <w:sz w:val="22"/>
                <w:szCs w:val="22"/>
                <w:color w:val="auto"/>
              </w:rPr>
              <w:t>Total</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2004</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445</w:t>
            </w:r>
          </w:p>
        </w:tc>
        <w:tc>
          <w:tcPr>
            <w:tcW w:w="246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rPr>
              <w:t>377</w:t>
            </w:r>
          </w:p>
        </w:tc>
        <w:tc>
          <w:tcPr>
            <w:tcW w:w="208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rPr>
              <w:t>822</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2005</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495</w:t>
            </w:r>
          </w:p>
        </w:tc>
        <w:tc>
          <w:tcPr>
            <w:tcW w:w="246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rPr>
              <w:t>492</w:t>
            </w:r>
          </w:p>
        </w:tc>
        <w:tc>
          <w:tcPr>
            <w:tcW w:w="208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rPr>
              <w:t>987</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2006</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525</w:t>
            </w:r>
          </w:p>
        </w:tc>
        <w:tc>
          <w:tcPr>
            <w:tcW w:w="246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rPr>
              <w:t>520</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1045</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2007</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470</w:t>
            </w:r>
          </w:p>
        </w:tc>
        <w:tc>
          <w:tcPr>
            <w:tcW w:w="246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rPr>
              <w:t>670</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1140</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2008</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688</w:t>
            </w:r>
          </w:p>
        </w:tc>
        <w:tc>
          <w:tcPr>
            <w:tcW w:w="246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rPr>
              <w:t>826</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1514</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2009</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706</w:t>
            </w:r>
          </w:p>
        </w:tc>
        <w:tc>
          <w:tcPr>
            <w:tcW w:w="246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rPr>
              <w:t>941</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1647</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2010</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695</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1139</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1834</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2011</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772</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1145</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1917</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2012</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782</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1216</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1998</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2013</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703</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1399</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2102</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2014</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704</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1466</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2170</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2015</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514</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1842</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2356</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2016</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490</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1993</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2483</w:t>
            </w:r>
          </w:p>
        </w:tc>
      </w:tr>
      <w:tr>
        <w:trPr>
          <w:trHeight w:val="243"/>
        </w:trPr>
        <w:tc>
          <w:tcPr>
            <w:tcW w:w="20" w:type="dxa"/>
            <w:vAlign w:val="bottom"/>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2017</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591</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2101</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2692</w:t>
            </w:r>
          </w:p>
        </w:tc>
      </w:tr>
      <w:tr>
        <w:trPr>
          <w:trHeight w:val="243"/>
        </w:trPr>
        <w:tc>
          <w:tcPr>
            <w:tcW w:w="20" w:type="dxa"/>
            <w:vAlign w:val="bottom"/>
            <w:tcBorders>
              <w:bottom w:val="single" w:sz="8" w:color="auto"/>
            </w:tcBorders>
          </w:tcPr>
          <w:p>
            <w:pPr>
              <w:spacing w:after="0"/>
              <w:rPr>
                <w:sz w:val="21"/>
                <w:szCs w:val="21"/>
                <w:color w:val="auto"/>
              </w:rPr>
            </w:pPr>
          </w:p>
        </w:tc>
        <w:tc>
          <w:tcPr>
            <w:tcW w:w="1680" w:type="dxa"/>
            <w:vAlign w:val="bottom"/>
            <w:tcBorders>
              <w:bottom w:val="single" w:sz="8" w:color="auto"/>
            </w:tcBorders>
          </w:tcPr>
          <w:p>
            <w:pPr>
              <w:ind w:left="60"/>
              <w:spacing w:after="0" w:line="241" w:lineRule="exact"/>
              <w:rPr>
                <w:sz w:val="20"/>
                <w:szCs w:val="20"/>
                <w:color w:val="auto"/>
              </w:rPr>
            </w:pPr>
            <w:r>
              <w:rPr>
                <w:rFonts w:ascii="Times New Roman" w:cs="Times New Roman" w:eastAsia="Times New Roman" w:hAnsi="Times New Roman"/>
                <w:sz w:val="22"/>
                <w:szCs w:val="22"/>
                <w:color w:val="auto"/>
              </w:rPr>
              <w:t>2018</w:t>
            </w:r>
          </w:p>
        </w:tc>
        <w:tc>
          <w:tcPr>
            <w:tcW w:w="2840" w:type="dxa"/>
            <w:vAlign w:val="bottom"/>
            <w:tcBorders>
              <w:bottom w:val="single" w:sz="8" w:color="auto"/>
            </w:tcBorders>
          </w:tcPr>
          <w:p>
            <w:pPr>
              <w:jc w:val="center"/>
              <w:ind w:left="490"/>
              <w:spacing w:after="0" w:line="241" w:lineRule="exact"/>
              <w:rPr>
                <w:sz w:val="20"/>
                <w:szCs w:val="20"/>
                <w:color w:val="auto"/>
              </w:rPr>
            </w:pPr>
            <w:r>
              <w:rPr>
                <w:rFonts w:ascii="Times New Roman" w:cs="Times New Roman" w:eastAsia="Times New Roman" w:hAnsi="Times New Roman"/>
                <w:sz w:val="22"/>
                <w:szCs w:val="22"/>
                <w:color w:val="auto"/>
                <w:w w:val="96"/>
              </w:rPr>
              <w:t>501</w:t>
            </w:r>
          </w:p>
        </w:tc>
        <w:tc>
          <w:tcPr>
            <w:tcW w:w="2460" w:type="dxa"/>
            <w:vAlign w:val="bottom"/>
            <w:tcBorders>
              <w:bottom w:val="single" w:sz="8" w:color="auto"/>
            </w:tcBorders>
          </w:tcPr>
          <w:p>
            <w:pPr>
              <w:jc w:val="center"/>
              <w:ind w:right="70"/>
              <w:spacing w:after="0" w:line="241" w:lineRule="exact"/>
              <w:rPr>
                <w:sz w:val="20"/>
                <w:szCs w:val="20"/>
                <w:color w:val="auto"/>
              </w:rPr>
            </w:pPr>
            <w:r>
              <w:rPr>
                <w:rFonts w:ascii="Times New Roman" w:cs="Times New Roman" w:eastAsia="Times New Roman" w:hAnsi="Times New Roman"/>
                <w:sz w:val="22"/>
                <w:szCs w:val="22"/>
                <w:color w:val="auto"/>
                <w:w w:val="99"/>
              </w:rPr>
              <w:t>2210</w:t>
            </w:r>
          </w:p>
        </w:tc>
        <w:tc>
          <w:tcPr>
            <w:tcW w:w="2080" w:type="dxa"/>
            <w:vAlign w:val="bottom"/>
            <w:tcBorders>
              <w:bottom w:val="single" w:sz="8" w:color="auto"/>
            </w:tcBorders>
          </w:tcPr>
          <w:p>
            <w:pPr>
              <w:jc w:val="center"/>
              <w:ind w:right="50"/>
              <w:spacing w:after="0" w:line="241" w:lineRule="exact"/>
              <w:rPr>
                <w:sz w:val="20"/>
                <w:szCs w:val="20"/>
                <w:color w:val="auto"/>
              </w:rPr>
            </w:pPr>
            <w:r>
              <w:rPr>
                <w:rFonts w:ascii="Times New Roman" w:cs="Times New Roman" w:eastAsia="Times New Roman" w:hAnsi="Times New Roman"/>
                <w:sz w:val="22"/>
                <w:szCs w:val="22"/>
                <w:color w:val="auto"/>
                <w:w w:val="99"/>
              </w:rPr>
              <w:t>2711</w:t>
            </w:r>
          </w:p>
        </w:tc>
      </w:tr>
    </w:tbl>
    <w:p>
      <w:pPr>
        <w:spacing w:after="0" w:line="10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TurkStat Culture Statistics and author’s own compilation</w:t>
      </w:r>
    </w:p>
    <w:p>
      <w:pPr>
        <w:spacing w:after="0" w:line="288"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Therefore, malls are started to referred as the place to go to the movies. In the following section, we try to find answers to this phenomenon in Turkey. In other words, we try to find out why malls become popular in Turkey and why movie theaters in malls become a popular part of the social life.</w:t>
      </w:r>
    </w:p>
    <w:p>
      <w:pPr>
        <w:spacing w:after="0" w:line="27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i w:val="1"/>
          <w:iCs w:val="1"/>
          <w:color w:val="auto"/>
        </w:rPr>
        <w:t>Why have malls become popular?</w:t>
      </w:r>
    </w:p>
    <w:p>
      <w:pPr>
        <w:spacing w:after="0" w:line="212" w:lineRule="exact"/>
        <w:rPr>
          <w:sz w:val="20"/>
          <w:szCs w:val="20"/>
          <w:color w:val="auto"/>
        </w:rPr>
      </w:pPr>
    </w:p>
    <w:p>
      <w:pPr>
        <w:jc w:val="both"/>
        <w:ind w:left="40" w:right="40" w:firstLine="708"/>
        <w:spacing w:after="0" w:line="238" w:lineRule="auto"/>
        <w:rPr>
          <w:sz w:val="20"/>
          <w:szCs w:val="20"/>
          <w:color w:val="auto"/>
        </w:rPr>
      </w:pPr>
      <w:r>
        <w:rPr>
          <w:rFonts w:ascii="Times New Roman" w:cs="Times New Roman" w:eastAsia="Times New Roman" w:hAnsi="Times New Roman"/>
          <w:sz w:val="24"/>
          <w:szCs w:val="24"/>
          <w:color w:val="212121"/>
        </w:rPr>
        <w:t>As Bloch et al. (1994) state, there are many different motivations for consumers to visit malls as escape, exploration, flow, knowledge and social affiliation. Nevertheless, motivational aspects described above are cogent, for old pedestrian malls located in city centers in Turkey as well. In this section, we first try to answer the reasons for the huge interest to these modern types of malls in Turkey. Then we examine the reasons for the huge increase in the number of shopping centers in a very short time period.</w:t>
      </w:r>
    </w:p>
    <w:p>
      <w:pPr>
        <w:spacing w:after="0" w:line="15" w:lineRule="exact"/>
        <w:rPr>
          <w:sz w:val="20"/>
          <w:szCs w:val="20"/>
          <w:color w:val="auto"/>
        </w:rPr>
      </w:pPr>
    </w:p>
    <w:p>
      <w:pPr>
        <w:jc w:val="both"/>
        <w:ind w:left="40" w:right="40" w:firstLine="708"/>
        <w:spacing w:after="0" w:line="250" w:lineRule="auto"/>
        <w:rPr>
          <w:sz w:val="20"/>
          <w:szCs w:val="20"/>
          <w:color w:val="auto"/>
        </w:rPr>
      </w:pPr>
      <w:r>
        <w:rPr>
          <w:rFonts w:ascii="Times New Roman" w:cs="Times New Roman" w:eastAsia="Times New Roman" w:hAnsi="Times New Roman"/>
          <w:sz w:val="23"/>
          <w:szCs w:val="23"/>
          <w:color w:val="212121"/>
        </w:rPr>
        <w:t>A city’s reputation is very important for attracting customers to the city centers. (Jakab and Happ, 2017) In Turkey, because of the peak of migration rates from countryside to the cities, public areas are much more crowded and compact. This leads to jammed traffic for both vehicles and pedestrians. Odekan (2001) argues that, many people in big city centers are complaining about the crowd, traffic and parking problems and lack of pedestrian safety. Jackson (1998) points out that, “the contrived spaces of the shopping mall are a direct response to the perceived incivility of the city street”. As Erkip (2005) states, the statement is valid for Turkey, because of the conditions of traffic and lack of both infrastructure and maintenance in the city. Even though finding properly made sidewalks is hard in Turkey; it will indeed create safety concerns for traffic congestion (Odekan, 2011). To follow, the protection of malls supported by private securities, gives citizens the grasp of being in a safe zone, where urban crimes cannot be tolerated. Lastly, as Erkip (2005) suggests, the idea of modern malls, which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636270</wp:posOffset>
            </wp:positionV>
            <wp:extent cx="5798820" cy="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3"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116</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40" w:right="40"/>
        <w:spacing w:after="0" w:line="234" w:lineRule="auto"/>
        <w:rPr>
          <w:sz w:val="20"/>
          <w:szCs w:val="20"/>
          <w:color w:val="auto"/>
        </w:rPr>
      </w:pPr>
      <w:r>
        <w:rPr>
          <w:rFonts w:ascii="Times New Roman" w:cs="Times New Roman" w:eastAsia="Times New Roman" w:hAnsi="Times New Roman"/>
          <w:sz w:val="24"/>
          <w:szCs w:val="24"/>
          <w:color w:val="212121"/>
        </w:rPr>
        <w:t>appeals to the need of Turkish citizens’ search for modernity, providing new consumption and leisure patterns in a more cultivated way that already exist in urban places and streets.</w:t>
      </w:r>
    </w:p>
    <w:p>
      <w:pPr>
        <w:spacing w:after="0" w:line="14" w:lineRule="exact"/>
        <w:rPr>
          <w:sz w:val="20"/>
          <w:szCs w:val="20"/>
          <w:color w:val="auto"/>
        </w:rPr>
      </w:pPr>
    </w:p>
    <w:p>
      <w:pPr>
        <w:jc w:val="both"/>
        <w:ind w:left="40" w:right="40" w:firstLine="708"/>
        <w:spacing w:after="0" w:line="236" w:lineRule="auto"/>
        <w:rPr>
          <w:sz w:val="20"/>
          <w:szCs w:val="20"/>
          <w:color w:val="auto"/>
        </w:rPr>
      </w:pPr>
      <w:r>
        <w:rPr>
          <w:rFonts w:ascii="Times New Roman" w:cs="Times New Roman" w:eastAsia="Times New Roman" w:hAnsi="Times New Roman"/>
          <w:sz w:val="24"/>
          <w:szCs w:val="24"/>
          <w:color w:val="212121"/>
        </w:rPr>
        <w:t>Putting all these aspects side by side, we can understand why and how spending more time in malls has been very popular and the reasons why it becomes less costly for consumers to benefit from a mall visit rather than a urban center visit in Turkey.</w:t>
      </w:r>
    </w:p>
    <w:p>
      <w:pPr>
        <w:spacing w:after="0" w:line="27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2"/>
          <w:szCs w:val="22"/>
          <w:i w:val="1"/>
          <w:iCs w:val="1"/>
          <w:color w:val="auto"/>
        </w:rPr>
        <w:t>Why theaters in the malls?</w:t>
      </w:r>
    </w:p>
    <w:p>
      <w:pPr>
        <w:spacing w:after="0" w:line="212" w:lineRule="exact"/>
        <w:rPr>
          <w:sz w:val="20"/>
          <w:szCs w:val="20"/>
          <w:color w:val="auto"/>
        </w:rPr>
      </w:pPr>
    </w:p>
    <w:p>
      <w:pPr>
        <w:jc w:val="both"/>
        <w:ind w:left="40" w:right="40" w:firstLine="708"/>
        <w:spacing w:after="0" w:line="238" w:lineRule="auto"/>
        <w:rPr>
          <w:sz w:val="20"/>
          <w:szCs w:val="20"/>
          <w:color w:val="auto"/>
        </w:rPr>
      </w:pPr>
      <w:r>
        <w:rPr>
          <w:rFonts w:ascii="Times New Roman" w:cs="Times New Roman" w:eastAsia="Times New Roman" w:hAnsi="Times New Roman"/>
          <w:sz w:val="24"/>
          <w:szCs w:val="24"/>
          <w:color w:val="212121"/>
        </w:rPr>
        <w:t>Researches has brought out that consumers mostly tend to make the decision of where to shop on the basis of their position against the variety of stores and environment of the malls (Sadeghi and Bijandi, 2011). This environment mostly includes opportunities for entertainment as well. Hoban (1997) suggests that there is a word to define the entertainment people seek during shopping as ‘retailaintment’. According to White (2008)’ there is a statistical behavior of American consumers that 75% of families, who visit the malls, also visit the family entertainment center where the movie complex is often included.</w:t>
      </w:r>
    </w:p>
    <w:p>
      <w:pPr>
        <w:spacing w:after="0" w:line="16" w:lineRule="exact"/>
        <w:rPr>
          <w:sz w:val="20"/>
          <w:szCs w:val="20"/>
          <w:color w:val="auto"/>
        </w:rPr>
      </w:pPr>
    </w:p>
    <w:p>
      <w:pPr>
        <w:jc w:val="both"/>
        <w:ind w:left="40" w:right="40" w:firstLine="708"/>
        <w:spacing w:after="0" w:line="250" w:lineRule="auto"/>
        <w:rPr>
          <w:sz w:val="20"/>
          <w:szCs w:val="20"/>
          <w:color w:val="auto"/>
        </w:rPr>
      </w:pPr>
      <w:r>
        <w:rPr>
          <w:rFonts w:ascii="Times New Roman" w:cs="Times New Roman" w:eastAsia="Times New Roman" w:hAnsi="Times New Roman"/>
          <w:sz w:val="23"/>
          <w:szCs w:val="23"/>
          <w:color w:val="212121"/>
        </w:rPr>
        <w:t>Following the first phase of the increase of the malls, consumers began to seek for movie theaters in malls as the main source of entertainment. Gülçubuk (2013) has surveyed a group of customers of a new mall in Salihli-Turkey and reached the conclusion that movie theater is the most attractive social place in the first and only mall of Salihli at the time. This led for movie theater to function as anchor stores. Konishi and Sandfort (2003) explain that, an anchor store is a store that increases its popularity, through its name’s reputation, the traffic of shoppers at or near its location. Consumers, attracted by the anchor’s name, are likely to visit the mall, and thus nearby stores’ sales and profits are increased by the presence of the anchor.</w:t>
      </w:r>
    </w:p>
    <w:p>
      <w:pPr>
        <w:spacing w:after="0" w:line="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It has also been found that there is a positive relationship between entertainment and mall productivity, which defines as the sales per square foot. In this point of view,, it is possible to understand more clearly the reason of why malls mostly include places for movie theatres and why every mall in Turkey has movie theatres in it.</w:t>
      </w:r>
    </w:p>
    <w:p>
      <w:pPr>
        <w:spacing w:after="0" w:line="1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Taking into consideration of the fact that movie theatres acting as anchor stores and how they have positive effect on mall productivity, movie theatres at malls can lead to major rent decreases (Pashigian &amp; Gould, 1998). Consequently, this brings us to the idea that movie theatres in malls does have a significant cost advantage rather than similar sized movie theatres in city centers.</w:t>
      </w:r>
    </w:p>
    <w:p>
      <w:pPr>
        <w:spacing w:after="0" w:line="17"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As mentioned before, (1) providing highly accessible gains to consumers and (2) presenting a cost advantage, are indispensable attributes that mall movie theatres provide. Build on these two features mentioned above, we hypothesize that the rise in the number of mall movie theaters leads to increase in the number of movie viewers in Turkey to increase.</w:t>
      </w:r>
    </w:p>
    <w:p>
      <w:pPr>
        <w:spacing w:after="0" w:line="36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3. Estimation</w:t>
      </w:r>
    </w:p>
    <w:p>
      <w:pPr>
        <w:spacing w:after="0" w:line="246" w:lineRule="exact"/>
        <w:rPr>
          <w:sz w:val="20"/>
          <w:szCs w:val="20"/>
          <w:color w:val="auto"/>
        </w:rPr>
      </w:pPr>
    </w:p>
    <w:p>
      <w:pPr>
        <w:jc w:val="both"/>
        <w:ind w:left="40" w:right="20" w:firstLine="708"/>
        <w:spacing w:after="0" w:line="238" w:lineRule="auto"/>
        <w:rPr>
          <w:sz w:val="20"/>
          <w:szCs w:val="20"/>
          <w:color w:val="auto"/>
        </w:rPr>
      </w:pPr>
      <w:r>
        <w:rPr>
          <w:rFonts w:ascii="Times New Roman" w:cs="Times New Roman" w:eastAsia="Times New Roman" w:hAnsi="Times New Roman"/>
          <w:sz w:val="24"/>
          <w:szCs w:val="24"/>
          <w:color w:val="212121"/>
        </w:rPr>
        <w:t>In this part, we test the importance of different variables on the recent development of the Turkish movie theater industry. As mentioned in the introduction part, there is a big increase in the number of moviegoers in Turkey. However, it is obvious that part of the growth is because of the rise in the population. Hence, we use number of tickets sold per person as the dependent variable in the estimation. To be able to identify the importance of different variables, we conduct our estimations using province-based data. All 81 provinces are included in the estimation for the years from 2004 to 2018.</w:t>
      </w:r>
    </w:p>
    <w:p>
      <w:pPr>
        <w:spacing w:after="0" w:line="16" w:lineRule="exact"/>
        <w:rPr>
          <w:sz w:val="20"/>
          <w:szCs w:val="20"/>
          <w:color w:val="auto"/>
        </w:rPr>
      </w:pPr>
    </w:p>
    <w:p>
      <w:pPr>
        <w:jc w:val="both"/>
        <w:ind w:left="40" w:right="40" w:firstLine="708"/>
        <w:spacing w:after="0" w:line="183" w:lineRule="auto"/>
        <w:rPr>
          <w:sz w:val="20"/>
          <w:szCs w:val="20"/>
          <w:color w:val="auto"/>
        </w:rPr>
      </w:pPr>
      <w:r>
        <w:rPr>
          <w:rFonts w:ascii="Times New Roman" w:cs="Times New Roman" w:eastAsia="Times New Roman" w:hAnsi="Times New Roman"/>
          <w:sz w:val="16"/>
          <w:szCs w:val="16"/>
          <w:color w:val="212121"/>
        </w:rPr>
        <w:t xml:space="preserve">Following the leading article by Dardis et al. (1994), we use the real GDP per capita, and tertiary education in province in year </w:t>
      </w:r>
      <w:r>
        <w:rPr>
          <w:rFonts w:ascii="Cambria Math" w:cs="Cambria Math" w:eastAsia="Cambria Math" w:hAnsi="Cambria Math"/>
          <w:sz w:val="16"/>
          <w:szCs w:val="16"/>
          <w:color w:val="212121"/>
        </w:rPr>
        <w:t xml:space="preserve">  .</w:t>
      </w:r>
      <w:r>
        <w:rPr>
          <w:rFonts w:ascii="Times New Roman" w:cs="Times New Roman" w:eastAsia="Times New Roman" w:hAnsi="Times New Roman"/>
          <w:sz w:val="16"/>
          <w:szCs w:val="16"/>
          <w:color w:val="212121"/>
        </w:rPr>
        <w:t xml:space="preserve"> In that paper, the authors show that, as the levels of income and education increase, people become more likely to spend for leisure activities.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626745</wp:posOffset>
            </wp:positionV>
            <wp:extent cx="5798820" cy="635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117</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Calderwood et al. (2014) showed that for college students going to the movies is an important social activity. Different from students up to high school, college students take their movie going decisions on their own. Considering the recent huge increase (from 2 million in 2004 to 7.5 million in 2018) in the number of college students, we include percentage of college students out of total population as an explanatory variable as well.</w:t>
      </w:r>
    </w:p>
    <w:p>
      <w:pPr>
        <w:spacing w:after="0" w:line="18" w:lineRule="exact"/>
        <w:rPr>
          <w:sz w:val="20"/>
          <w:szCs w:val="20"/>
          <w:color w:val="auto"/>
        </w:rPr>
      </w:pPr>
    </w:p>
    <w:p>
      <w:pPr>
        <w:jc w:val="both"/>
        <w:ind w:left="40" w:right="20" w:firstLine="708"/>
        <w:spacing w:after="0" w:line="250" w:lineRule="auto"/>
        <w:rPr>
          <w:sz w:val="20"/>
          <w:szCs w:val="20"/>
          <w:color w:val="auto"/>
        </w:rPr>
      </w:pPr>
      <w:r>
        <w:rPr>
          <w:rFonts w:ascii="Times New Roman" w:cs="Times New Roman" w:eastAsia="Times New Roman" w:hAnsi="Times New Roman"/>
          <w:sz w:val="23"/>
          <w:szCs w:val="23"/>
          <w:color w:val="212121"/>
        </w:rPr>
        <w:t>Yurtseven and Koksal (2017) state that the ratio of the number of domestic movies to total number of movies is actually an important explanatory variable to understand the recent developments in Turkish movie theater industry. A general Turkish viewer is claimed to have more interest on the domestic productions than foreign ones. People relate themselves to the characters they watch in the movies and this relation is easier when the characters are domestic. As an empirical proof, we can mention the observation such that, domestic movies and series attract more viewers when they are broadcasted on TV than the international ones. They also have more viewers on the internet. In addition, for the last 10 years, all the most viewed movies in theaters in Turkey are domestic. We expect the share of viewers to increase, as income, education, ratio of university students and the number of domestic movies increase.</w:t>
      </w:r>
    </w:p>
    <w:p>
      <w:pPr>
        <w:spacing w:after="0" w:line="5" w:lineRule="exact"/>
        <w:rPr>
          <w:sz w:val="20"/>
          <w:szCs w:val="20"/>
          <w:color w:val="auto"/>
        </w:rPr>
      </w:pPr>
    </w:p>
    <w:p>
      <w:pPr>
        <w:jc w:val="both"/>
        <w:ind w:left="40" w:right="40" w:firstLine="708"/>
        <w:spacing w:after="0" w:line="238" w:lineRule="auto"/>
        <w:rPr>
          <w:sz w:val="20"/>
          <w:szCs w:val="20"/>
          <w:color w:val="auto"/>
        </w:rPr>
      </w:pPr>
      <w:r>
        <w:rPr>
          <w:rFonts w:ascii="Times New Roman" w:cs="Times New Roman" w:eastAsia="Times New Roman" w:hAnsi="Times New Roman"/>
          <w:sz w:val="24"/>
          <w:szCs w:val="24"/>
          <w:color w:val="212121"/>
        </w:rPr>
        <w:t>Based on the above discussion on mall movie theaters, we also include ratio of mall screens to total number of screens in province in year as an explanatory variable. Since we claim that mall theaters offer higher benefits at a similar cost, we expect a positive sign for this variable.</w:t>
      </w:r>
    </w:p>
    <w:p>
      <w:pPr>
        <w:spacing w:after="0" w:line="1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In addition, following Craig et al. (2015) we use the lagged dependent variable, the ratio of number of tickets sold to the population, as an additional explanatory variable since past realization of going to a movie theater can also be an appropriate indicator as a proxy of consumer valuation.</w:t>
      </w:r>
    </w:p>
    <w:p>
      <w:pPr>
        <w:spacing w:after="0" w:line="14" w:lineRule="exact"/>
        <w:rPr>
          <w:sz w:val="20"/>
          <w:szCs w:val="20"/>
          <w:color w:val="auto"/>
        </w:rPr>
      </w:pPr>
    </w:p>
    <w:p>
      <w:pPr>
        <w:jc w:val="both"/>
        <w:ind w:left="40" w:right="40" w:firstLine="708"/>
        <w:spacing w:after="0" w:line="238" w:lineRule="auto"/>
        <w:rPr>
          <w:sz w:val="20"/>
          <w:szCs w:val="20"/>
          <w:color w:val="auto"/>
        </w:rPr>
      </w:pPr>
      <w:r>
        <w:rPr>
          <w:rFonts w:ascii="Times New Roman" w:cs="Times New Roman" w:eastAsia="Times New Roman" w:hAnsi="Times New Roman"/>
          <w:sz w:val="24"/>
          <w:szCs w:val="24"/>
          <w:color w:val="212121"/>
        </w:rPr>
        <w:t>Relating demand and supply side of the market, we include a price variable as well. There is no significant variation in the price of tickets in a particular province and there are slight differences among the different provinces of Turkey. As the price variable, we use a real index for the entertainment prices in province , in year .</w:t>
      </w:r>
    </w:p>
    <w:p>
      <w:pPr>
        <w:spacing w:after="0" w:line="3"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212121"/>
        </w:rPr>
        <w:t>As a result, we estimate the following linear specification:</w:t>
      </w:r>
    </w:p>
    <w:p>
      <w:pPr>
        <w:ind w:left="1820" w:right="1100" w:hanging="1095"/>
        <w:spacing w:after="0" w:line="187" w:lineRule="auto"/>
        <w:tabs>
          <w:tab w:leader="none" w:pos="1800" w:val="left"/>
        </w:tabs>
        <w:rPr>
          <w:sz w:val="20"/>
          <w:szCs w:val="20"/>
          <w:color w:val="auto"/>
        </w:rPr>
      </w:pPr>
      <w:r>
        <w:rPr>
          <w:rFonts w:ascii="Cambria Math" w:cs="Cambria Math" w:eastAsia="Cambria Math" w:hAnsi="Cambria Math"/>
          <w:sz w:val="22"/>
          <w:szCs w:val="22"/>
          <w:color w:val="212121"/>
        </w:rPr>
        <w:t xml:space="preserve">= </w:t>
      </w:r>
      <w:r>
        <w:rPr>
          <w:rFonts w:ascii="Cambria Math" w:cs="Cambria Math" w:eastAsia="Cambria Math" w:hAnsi="Cambria Math"/>
          <w:sz w:val="32"/>
          <w:szCs w:val="32"/>
          <w:color w:val="212121"/>
          <w:vertAlign w:val="subscript"/>
        </w:rPr>
        <w:t xml:space="preserve">0  </w:t>
      </w:r>
      <w:r>
        <w:rPr>
          <w:rFonts w:ascii="Cambria Math" w:cs="Cambria Math" w:eastAsia="Cambria Math" w:hAnsi="Cambria Math"/>
          <w:sz w:val="22"/>
          <w:szCs w:val="22"/>
          <w:color w:val="212121"/>
        </w:rPr>
        <w:t xml:space="preserve"> + </w:t>
      </w:r>
      <w:r>
        <w:rPr>
          <w:rFonts w:ascii="Cambria Math" w:cs="Cambria Math" w:eastAsia="Cambria Math" w:hAnsi="Cambria Math"/>
          <w:sz w:val="32"/>
          <w:szCs w:val="32"/>
          <w:color w:val="212121"/>
          <w:vertAlign w:val="subscript"/>
        </w:rPr>
        <w:t>1</w:t>
      </w:r>
      <w:r>
        <w:rPr>
          <w:sz w:val="20"/>
          <w:szCs w:val="20"/>
          <w:color w:val="auto"/>
        </w:rPr>
        <w:tab/>
      </w:r>
      <w:r>
        <w:rPr>
          <w:rFonts w:ascii="Cambria Math" w:cs="Cambria Math" w:eastAsia="Cambria Math" w:hAnsi="Cambria Math"/>
          <w:sz w:val="14"/>
          <w:szCs w:val="14"/>
          <w:color w:val="212121"/>
          <w:vertAlign w:val="subscript"/>
        </w:rPr>
        <w:t xml:space="preserve">  ,   </w:t>
      </w:r>
      <w:r>
        <w:rPr>
          <w:rFonts w:ascii="Cambria Math" w:cs="Cambria Math" w:eastAsia="Cambria Math" w:hAnsi="Cambria Math"/>
          <w:sz w:val="11"/>
          <w:szCs w:val="11"/>
          <w:color w:val="212121"/>
        </w:rPr>
        <w:t>+</w:t>
      </w:r>
      <w:r>
        <w:rPr>
          <w:rFonts w:ascii="Cambria Math" w:cs="Cambria Math" w:eastAsia="Cambria Math" w:hAnsi="Cambria Math"/>
          <w:sz w:val="14"/>
          <w:szCs w:val="14"/>
          <w:color w:val="212121"/>
        </w:rPr>
        <w:t xml:space="preserve"> </w:t>
      </w:r>
      <w:r>
        <w:rPr>
          <w:rFonts w:ascii="Cambria Math" w:cs="Cambria Math" w:eastAsia="Cambria Math" w:hAnsi="Cambria Math"/>
          <w:sz w:val="14"/>
          <w:szCs w:val="14"/>
          <w:color w:val="212121"/>
          <w:vertAlign w:val="subscript"/>
        </w:rPr>
        <w:t xml:space="preserve">2   ,  </w:t>
      </w:r>
      <w:r>
        <w:rPr>
          <w:rFonts w:ascii="Cambria Math" w:cs="Cambria Math" w:eastAsia="Cambria Math" w:hAnsi="Cambria Math"/>
          <w:sz w:val="14"/>
          <w:szCs w:val="14"/>
          <w:color w:val="212121"/>
        </w:rPr>
        <w:t xml:space="preserve"> </w:t>
      </w:r>
      <w:r>
        <w:rPr>
          <w:rFonts w:ascii="Cambria Math" w:cs="Cambria Math" w:eastAsia="Cambria Math" w:hAnsi="Cambria Math"/>
          <w:sz w:val="11"/>
          <w:szCs w:val="11"/>
          <w:color w:val="212121"/>
        </w:rPr>
        <w:t>+</w:t>
      </w:r>
      <w:r>
        <w:rPr>
          <w:rFonts w:ascii="Cambria Math" w:cs="Cambria Math" w:eastAsia="Cambria Math" w:hAnsi="Cambria Math"/>
          <w:sz w:val="14"/>
          <w:szCs w:val="14"/>
          <w:color w:val="212121"/>
        </w:rPr>
        <w:t xml:space="preserve"> </w:t>
      </w:r>
      <w:r>
        <w:rPr>
          <w:rFonts w:ascii="Cambria Math" w:cs="Cambria Math" w:eastAsia="Cambria Math" w:hAnsi="Cambria Math"/>
          <w:sz w:val="14"/>
          <w:szCs w:val="14"/>
          <w:color w:val="212121"/>
          <w:vertAlign w:val="subscript"/>
        </w:rPr>
        <w:t xml:space="preserve">3   ,  </w:t>
      </w:r>
      <w:r>
        <w:rPr>
          <w:rFonts w:ascii="Cambria Math" w:cs="Cambria Math" w:eastAsia="Cambria Math" w:hAnsi="Cambria Math"/>
          <w:sz w:val="14"/>
          <w:szCs w:val="14"/>
          <w:color w:val="212121"/>
        </w:rPr>
        <w:t xml:space="preserve"> </w:t>
      </w:r>
      <w:r>
        <w:rPr>
          <w:rFonts w:ascii="Cambria Math" w:cs="Cambria Math" w:eastAsia="Cambria Math" w:hAnsi="Cambria Math"/>
          <w:sz w:val="11"/>
          <w:szCs w:val="11"/>
          <w:color w:val="212121"/>
        </w:rPr>
        <w:t xml:space="preserve">+ +  </w:t>
      </w:r>
      <w:r>
        <w:rPr>
          <w:rFonts w:ascii="Cambria Math" w:cs="Cambria Math" w:eastAsia="Cambria Math" w:hAnsi="Cambria Math"/>
          <w:sz w:val="14"/>
          <w:szCs w:val="14"/>
          <w:color w:val="212121"/>
          <w:vertAlign w:val="subscript"/>
        </w:rPr>
        <w:t xml:space="preserve">4   ,  </w:t>
      </w:r>
      <w:r>
        <w:rPr>
          <w:rFonts w:ascii="Cambria Math" w:cs="Cambria Math" w:eastAsia="Cambria Math" w:hAnsi="Cambria Math"/>
          <w:sz w:val="14"/>
          <w:szCs w:val="14"/>
          <w:color w:val="212121"/>
        </w:rPr>
        <w:t xml:space="preserve"> </w:t>
      </w:r>
      <w:r>
        <w:rPr>
          <w:rFonts w:ascii="Cambria Math" w:cs="Cambria Math" w:eastAsia="Cambria Math" w:hAnsi="Cambria Math"/>
          <w:sz w:val="11"/>
          <w:szCs w:val="11"/>
          <w:color w:val="212121"/>
        </w:rPr>
        <w:t>+</w:t>
      </w:r>
      <w:r>
        <w:rPr>
          <w:rFonts w:ascii="Cambria Math" w:cs="Cambria Math" w:eastAsia="Cambria Math" w:hAnsi="Cambria Math"/>
          <w:sz w:val="14"/>
          <w:szCs w:val="14"/>
          <w:color w:val="212121"/>
        </w:rPr>
        <w:t xml:space="preserve"> </w:t>
      </w:r>
      <w:r>
        <w:rPr>
          <w:rFonts w:ascii="Cambria Math" w:cs="Cambria Math" w:eastAsia="Cambria Math" w:hAnsi="Cambria Math"/>
          <w:sz w:val="14"/>
          <w:szCs w:val="14"/>
          <w:color w:val="212121"/>
          <w:vertAlign w:val="subscript"/>
        </w:rPr>
        <w:t xml:space="preserve">5   ,  </w:t>
      </w:r>
      <w:r>
        <w:rPr>
          <w:rFonts w:ascii="Cambria Math" w:cs="Cambria Math" w:eastAsia="Cambria Math" w:hAnsi="Cambria Math"/>
          <w:sz w:val="14"/>
          <w:szCs w:val="14"/>
          <w:color w:val="212121"/>
        </w:rPr>
        <w:t xml:space="preserve"> </w:t>
      </w:r>
      <w:r>
        <w:rPr>
          <w:rFonts w:ascii="Cambria Math" w:cs="Cambria Math" w:eastAsia="Cambria Math" w:hAnsi="Cambria Math"/>
          <w:sz w:val="11"/>
          <w:szCs w:val="11"/>
          <w:color w:val="212121"/>
        </w:rPr>
        <w:t>+</w:t>
      </w:r>
      <w:r>
        <w:rPr>
          <w:rFonts w:ascii="Cambria Math" w:cs="Cambria Math" w:eastAsia="Cambria Math" w:hAnsi="Cambria Math"/>
          <w:sz w:val="14"/>
          <w:szCs w:val="14"/>
          <w:color w:val="212121"/>
        </w:rPr>
        <w:t xml:space="preserve"> </w:t>
      </w:r>
      <w:r>
        <w:rPr>
          <w:rFonts w:ascii="Cambria Math" w:cs="Cambria Math" w:eastAsia="Cambria Math" w:hAnsi="Cambria Math"/>
          <w:sz w:val="14"/>
          <w:szCs w:val="14"/>
          <w:color w:val="212121"/>
          <w:vertAlign w:val="subscript"/>
        </w:rPr>
        <w:t xml:space="preserve">6   ,  −  </w:t>
      </w:r>
      <w:r>
        <w:rPr>
          <w:rFonts w:ascii="Cambria Math" w:cs="Cambria Math" w:eastAsia="Cambria Math" w:hAnsi="Cambria Math"/>
          <w:sz w:val="14"/>
          <w:szCs w:val="14"/>
          <w:color w:val="212121"/>
        </w:rPr>
        <w:t xml:space="preserve"> </w:t>
      </w:r>
      <w:r>
        <w:rPr>
          <w:rFonts w:ascii="Cambria Math" w:cs="Cambria Math" w:eastAsia="Cambria Math" w:hAnsi="Cambria Math"/>
          <w:sz w:val="11"/>
          <w:szCs w:val="11"/>
          <w:color w:val="212121"/>
        </w:rPr>
        <w:t xml:space="preserve">+ </w:t>
      </w:r>
      <w:r>
        <w:rPr>
          <w:rFonts w:ascii="Cambria Math" w:cs="Cambria Math" w:eastAsia="Cambria Math" w:hAnsi="Cambria Math"/>
          <w:sz w:val="14"/>
          <w:szCs w:val="14"/>
          <w:color w:val="212121"/>
          <w:vertAlign w:val="subscript"/>
        </w:rPr>
        <w:t xml:space="preserve">7   ,  </w:t>
      </w:r>
      <w:r>
        <w:rPr>
          <w:rFonts w:ascii="Cambria Math" w:cs="Cambria Math" w:eastAsia="Cambria Math" w:hAnsi="Cambria Math"/>
          <w:sz w:val="11"/>
          <w:szCs w:val="11"/>
          <w:color w:val="212121"/>
        </w:rPr>
        <w:t xml:space="preserve"> + </w:t>
      </w:r>
      <w:r>
        <w:rPr>
          <w:rFonts w:ascii="Cambria Math" w:cs="Cambria Math" w:eastAsia="Cambria Math" w:hAnsi="Cambria Math"/>
          <w:sz w:val="14"/>
          <w:szCs w:val="14"/>
          <w:color w:val="212121"/>
          <w:vertAlign w:val="subscript"/>
        </w:rPr>
        <w:t xml:space="preserve">  ,  </w:t>
      </w:r>
      <w:r>
        <w:rPr>
          <w:rFonts w:ascii="Cambria Math" w:cs="Cambria Math" w:eastAsia="Cambria Math" w:hAnsi="Cambria Math"/>
          <w:sz w:val="11"/>
          <w:szCs w:val="11"/>
          <w:color w:val="212121"/>
        </w:rPr>
        <w:t>.</w:t>
      </w:r>
    </w:p>
    <w:p>
      <w:pPr>
        <w:spacing w:after="0" w:line="299"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212121"/>
        </w:rPr>
        <w:t>Table 3. Variables</w:t>
      </w:r>
    </w:p>
    <w:p>
      <w:pPr>
        <w:spacing w:after="0" w:line="102" w:lineRule="exact"/>
        <w:rPr>
          <w:sz w:val="20"/>
          <w:szCs w:val="20"/>
          <w:color w:val="auto"/>
        </w:rPr>
      </w:pPr>
    </w:p>
    <w:tbl>
      <w:tblPr>
        <w:tblLayout w:type="fixed"/>
        <w:tblInd w:w="20" w:type="dxa"/>
        <w:tblCellMar>
          <w:top w:w="0" w:type="dxa"/>
          <w:left w:w="0" w:type="dxa"/>
          <w:bottom w:w="0" w:type="dxa"/>
          <w:right w:w="0" w:type="dxa"/>
        </w:tblCellMar>
      </w:tblPr>
      <w:tr>
        <w:trPr>
          <w:trHeight w:val="262"/>
        </w:trPr>
        <w:tc>
          <w:tcPr>
            <w:tcW w:w="20" w:type="dxa"/>
            <w:vAlign w:val="bottom"/>
          </w:tcPr>
          <w:p>
            <w:pPr>
              <w:spacing w:after="0"/>
              <w:rPr>
                <w:sz w:val="22"/>
                <w:szCs w:val="22"/>
                <w:color w:val="auto"/>
              </w:rPr>
            </w:pPr>
          </w:p>
        </w:tc>
        <w:tc>
          <w:tcPr>
            <w:tcW w:w="1400" w:type="dxa"/>
            <w:vAlign w:val="bottom"/>
            <w:tcBorders>
              <w:top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Variables</w:t>
            </w:r>
          </w:p>
        </w:tc>
        <w:tc>
          <w:tcPr>
            <w:tcW w:w="7660" w:type="dxa"/>
            <w:vAlign w:val="bottom"/>
            <w:tcBorders>
              <w:top w:val="single" w:sz="8" w:color="auto"/>
              <w:bottom w:val="single" w:sz="8" w:color="auto"/>
            </w:tcBorders>
          </w:tcPr>
          <w:p>
            <w:pPr>
              <w:ind w:left="3260"/>
              <w:spacing w:after="0"/>
              <w:rPr>
                <w:sz w:val="20"/>
                <w:szCs w:val="20"/>
                <w:color w:val="auto"/>
              </w:rPr>
            </w:pPr>
            <w:r>
              <w:rPr>
                <w:rFonts w:ascii="Times New Roman" w:cs="Times New Roman" w:eastAsia="Times New Roman" w:hAnsi="Times New Roman"/>
                <w:sz w:val="22"/>
                <w:szCs w:val="22"/>
                <w:b w:val="1"/>
                <w:bCs w:val="1"/>
                <w:color w:val="auto"/>
              </w:rPr>
              <w:t>Explanations</w:t>
            </w:r>
          </w:p>
        </w:tc>
      </w:tr>
      <w:tr>
        <w:trPr>
          <w:trHeight w:val="266"/>
        </w:trPr>
        <w:tc>
          <w:tcPr>
            <w:tcW w:w="20" w:type="dxa"/>
            <w:vAlign w:val="bottom"/>
          </w:tcPr>
          <w:p>
            <w:pPr>
              <w:spacing w:after="0"/>
              <w:rPr>
                <w:sz w:val="23"/>
                <w:szCs w:val="23"/>
                <w:color w:val="auto"/>
              </w:rPr>
            </w:pPr>
          </w:p>
        </w:tc>
        <w:tc>
          <w:tcPr>
            <w:tcW w:w="1400" w:type="dxa"/>
            <w:vAlign w:val="bottom"/>
            <w:tcBorders>
              <w:bottom w:val="single" w:sz="8" w:color="auto"/>
            </w:tcBorders>
          </w:tcPr>
          <w:p>
            <w:pPr>
              <w:jc w:val="center"/>
              <w:ind w:left="42"/>
              <w:spacing w:after="0" w:line="159" w:lineRule="exact"/>
              <w:rPr>
                <w:sz w:val="20"/>
                <w:szCs w:val="20"/>
                <w:color w:val="auto"/>
              </w:rPr>
            </w:pPr>
            <w:r>
              <w:rPr>
                <w:rFonts w:ascii="Cambria Math" w:cs="Cambria Math" w:eastAsia="Cambria Math" w:hAnsi="Cambria Math"/>
                <w:sz w:val="3"/>
                <w:szCs w:val="3"/>
                <w:color w:val="auto"/>
              </w:rPr>
              <w:t xml:space="preserve">  ,  </w:t>
            </w:r>
          </w:p>
        </w:tc>
        <w:tc>
          <w:tcPr>
            <w:tcW w:w="7660" w:type="dxa"/>
            <w:vAlign w:val="bottom"/>
            <w:tcBorders>
              <w:bottom w:val="single" w:sz="8" w:color="auto"/>
            </w:tcBorders>
          </w:tcPr>
          <w:p>
            <w:pPr>
              <w:ind w:left="200"/>
              <w:spacing w:after="0" w:line="241" w:lineRule="exact"/>
              <w:rPr>
                <w:sz w:val="20"/>
                <w:szCs w:val="20"/>
                <w:color w:val="auto"/>
              </w:rPr>
            </w:pPr>
            <w:r>
              <w:rPr>
                <w:rFonts w:ascii="Times New Roman" w:cs="Times New Roman" w:eastAsia="Times New Roman" w:hAnsi="Times New Roman"/>
                <w:sz w:val="22"/>
                <w:szCs w:val="22"/>
                <w:color w:val="auto"/>
              </w:rPr>
              <w:t>ratio of tickets sold to population in province  in year  . (%)</w:t>
            </w:r>
          </w:p>
        </w:tc>
      </w:tr>
      <w:tr>
        <w:trPr>
          <w:trHeight w:val="266"/>
        </w:trPr>
        <w:tc>
          <w:tcPr>
            <w:tcW w:w="20" w:type="dxa"/>
            <w:vAlign w:val="bottom"/>
          </w:tcPr>
          <w:p>
            <w:pPr>
              <w:spacing w:after="0"/>
              <w:rPr>
                <w:sz w:val="23"/>
                <w:szCs w:val="23"/>
                <w:color w:val="auto"/>
              </w:rPr>
            </w:pPr>
          </w:p>
        </w:tc>
        <w:tc>
          <w:tcPr>
            <w:tcW w:w="1400" w:type="dxa"/>
            <w:vAlign w:val="bottom"/>
            <w:tcBorders>
              <w:bottom w:val="single" w:sz="8" w:color="auto"/>
            </w:tcBorders>
          </w:tcPr>
          <w:p>
            <w:pPr>
              <w:jc w:val="center"/>
              <w:ind w:left="42"/>
              <w:spacing w:after="0" w:line="266" w:lineRule="exact"/>
              <w:rPr>
                <w:sz w:val="20"/>
                <w:szCs w:val="20"/>
                <w:color w:val="auto"/>
              </w:rPr>
            </w:pPr>
            <w:r>
              <w:rPr>
                <w:rFonts w:ascii="Cambria Math" w:cs="Cambria Math" w:eastAsia="Cambria Math" w:hAnsi="Cambria Math"/>
                <w:sz w:val="6"/>
                <w:szCs w:val="6"/>
                <w:color w:val="auto"/>
                <w:vertAlign w:val="subscript"/>
              </w:rPr>
              <w:t xml:space="preserve">  ,  </w:t>
            </w:r>
          </w:p>
        </w:tc>
        <w:tc>
          <w:tcPr>
            <w:tcW w:w="7660" w:type="dxa"/>
            <w:vAlign w:val="bottom"/>
            <w:tcBorders>
              <w:bottom w:val="single" w:sz="8" w:color="auto"/>
            </w:tcBorders>
          </w:tcPr>
          <w:p>
            <w:pPr>
              <w:ind w:left="200"/>
              <w:spacing w:after="0" w:line="241" w:lineRule="exact"/>
              <w:rPr>
                <w:sz w:val="20"/>
                <w:szCs w:val="20"/>
                <w:color w:val="auto"/>
              </w:rPr>
            </w:pPr>
            <w:r>
              <w:rPr>
                <w:rFonts w:ascii="Times New Roman" w:cs="Times New Roman" w:eastAsia="Times New Roman" w:hAnsi="Times New Roman"/>
                <w:sz w:val="22"/>
                <w:szCs w:val="22"/>
                <w:color w:val="auto"/>
              </w:rPr>
              <w:t>real GDP per person in province  in year  .</w:t>
            </w:r>
          </w:p>
        </w:tc>
      </w:tr>
      <w:tr>
        <w:trPr>
          <w:trHeight w:val="266"/>
        </w:trPr>
        <w:tc>
          <w:tcPr>
            <w:tcW w:w="20" w:type="dxa"/>
            <w:vAlign w:val="bottom"/>
          </w:tcPr>
          <w:p>
            <w:pPr>
              <w:spacing w:after="0"/>
              <w:rPr>
                <w:sz w:val="23"/>
                <w:szCs w:val="23"/>
                <w:color w:val="auto"/>
              </w:rPr>
            </w:pPr>
          </w:p>
        </w:tc>
        <w:tc>
          <w:tcPr>
            <w:tcW w:w="1400" w:type="dxa"/>
            <w:vAlign w:val="bottom"/>
            <w:tcBorders>
              <w:bottom w:val="single" w:sz="8" w:color="auto"/>
            </w:tcBorders>
          </w:tcPr>
          <w:p>
            <w:pPr>
              <w:jc w:val="center"/>
              <w:ind w:left="42"/>
              <w:spacing w:after="0" w:line="266" w:lineRule="exact"/>
              <w:rPr>
                <w:sz w:val="20"/>
                <w:szCs w:val="20"/>
                <w:color w:val="auto"/>
              </w:rPr>
            </w:pPr>
            <w:r>
              <w:rPr>
                <w:rFonts w:ascii="Cambria Math" w:cs="Cambria Math" w:eastAsia="Cambria Math" w:hAnsi="Cambria Math"/>
                <w:sz w:val="6"/>
                <w:szCs w:val="6"/>
                <w:color w:val="auto"/>
                <w:vertAlign w:val="subscript"/>
              </w:rPr>
              <w:t xml:space="preserve">  ,  </w:t>
            </w:r>
          </w:p>
        </w:tc>
        <w:tc>
          <w:tcPr>
            <w:tcW w:w="7660" w:type="dxa"/>
            <w:vAlign w:val="bottom"/>
            <w:tcBorders>
              <w:bottom w:val="single" w:sz="8" w:color="auto"/>
            </w:tcBorders>
          </w:tcPr>
          <w:p>
            <w:pPr>
              <w:ind w:left="200"/>
              <w:spacing w:after="0" w:line="241" w:lineRule="exact"/>
              <w:rPr>
                <w:sz w:val="20"/>
                <w:szCs w:val="20"/>
                <w:color w:val="auto"/>
              </w:rPr>
            </w:pPr>
            <w:r>
              <w:rPr>
                <w:rFonts w:ascii="Times New Roman" w:cs="Times New Roman" w:eastAsia="Times New Roman" w:hAnsi="Times New Roman"/>
                <w:sz w:val="22"/>
                <w:szCs w:val="22"/>
                <w:color w:val="auto"/>
              </w:rPr>
              <w:t>% of 15+ population who have at least a high school degree in province  in year  .</w:t>
            </w:r>
          </w:p>
        </w:tc>
      </w:tr>
      <w:tr>
        <w:trPr>
          <w:trHeight w:val="266"/>
        </w:trPr>
        <w:tc>
          <w:tcPr>
            <w:tcW w:w="20" w:type="dxa"/>
            <w:vAlign w:val="bottom"/>
          </w:tcPr>
          <w:p>
            <w:pPr>
              <w:spacing w:after="0"/>
              <w:rPr>
                <w:sz w:val="23"/>
                <w:szCs w:val="23"/>
                <w:color w:val="auto"/>
              </w:rPr>
            </w:pPr>
          </w:p>
        </w:tc>
        <w:tc>
          <w:tcPr>
            <w:tcW w:w="1400" w:type="dxa"/>
            <w:vAlign w:val="bottom"/>
            <w:tcBorders>
              <w:bottom w:val="single" w:sz="8" w:color="auto"/>
            </w:tcBorders>
          </w:tcPr>
          <w:p>
            <w:pPr>
              <w:jc w:val="center"/>
              <w:ind w:left="42"/>
              <w:spacing w:after="0" w:line="266" w:lineRule="exact"/>
              <w:rPr>
                <w:sz w:val="20"/>
                <w:szCs w:val="20"/>
                <w:color w:val="auto"/>
              </w:rPr>
            </w:pPr>
            <w:r>
              <w:rPr>
                <w:rFonts w:ascii="Cambria Math" w:cs="Cambria Math" w:eastAsia="Cambria Math" w:hAnsi="Cambria Math"/>
                <w:sz w:val="6"/>
                <w:szCs w:val="6"/>
                <w:color w:val="auto"/>
                <w:vertAlign w:val="subscript"/>
              </w:rPr>
              <w:t xml:space="preserve">  ,  </w:t>
            </w:r>
          </w:p>
        </w:tc>
        <w:tc>
          <w:tcPr>
            <w:tcW w:w="7660" w:type="dxa"/>
            <w:vAlign w:val="bottom"/>
            <w:tcBorders>
              <w:bottom w:val="single" w:sz="8" w:color="auto"/>
            </w:tcBorders>
          </w:tcPr>
          <w:p>
            <w:pPr>
              <w:ind w:left="200"/>
              <w:spacing w:after="0" w:line="241" w:lineRule="exact"/>
              <w:rPr>
                <w:sz w:val="20"/>
                <w:szCs w:val="20"/>
                <w:color w:val="auto"/>
              </w:rPr>
            </w:pPr>
            <w:r>
              <w:rPr>
                <w:rFonts w:ascii="Times New Roman" w:cs="Times New Roman" w:eastAsia="Times New Roman" w:hAnsi="Times New Roman"/>
                <w:sz w:val="22"/>
                <w:szCs w:val="22"/>
                <w:color w:val="auto"/>
              </w:rPr>
              <w:t>% of college students to total population in province  in year  .</w:t>
            </w:r>
          </w:p>
        </w:tc>
      </w:tr>
      <w:tr>
        <w:trPr>
          <w:trHeight w:val="255"/>
        </w:trPr>
        <w:tc>
          <w:tcPr>
            <w:tcW w:w="20" w:type="dxa"/>
            <w:vAlign w:val="bottom"/>
          </w:tcPr>
          <w:p>
            <w:pPr>
              <w:spacing w:after="0"/>
              <w:rPr>
                <w:sz w:val="22"/>
                <w:szCs w:val="22"/>
                <w:color w:val="auto"/>
              </w:rPr>
            </w:pPr>
          </w:p>
        </w:tc>
        <w:tc>
          <w:tcPr>
            <w:tcW w:w="1400" w:type="dxa"/>
            <w:vAlign w:val="bottom"/>
          </w:tcPr>
          <w:p>
            <w:pPr>
              <w:jc w:val="center"/>
              <w:ind w:left="42"/>
              <w:spacing w:after="0" w:line="256" w:lineRule="exact"/>
              <w:rPr>
                <w:sz w:val="20"/>
                <w:szCs w:val="20"/>
                <w:color w:val="auto"/>
              </w:rPr>
            </w:pPr>
            <w:r>
              <w:rPr>
                <w:rFonts w:ascii="Cambria Math" w:cs="Cambria Math" w:eastAsia="Cambria Math" w:hAnsi="Cambria Math"/>
                <w:sz w:val="6"/>
                <w:szCs w:val="6"/>
                <w:color w:val="auto"/>
                <w:vertAlign w:val="subscript"/>
              </w:rPr>
              <w:t xml:space="preserve">  ,  </w:t>
            </w:r>
          </w:p>
        </w:tc>
        <w:tc>
          <w:tcPr>
            <w:tcW w:w="7660" w:type="dxa"/>
            <w:vAlign w:val="bottom"/>
          </w:tcPr>
          <w:p>
            <w:pPr>
              <w:ind w:left="200"/>
              <w:spacing w:after="0" w:line="241" w:lineRule="exact"/>
              <w:rPr>
                <w:sz w:val="20"/>
                <w:szCs w:val="20"/>
                <w:color w:val="auto"/>
              </w:rPr>
            </w:pPr>
            <w:r>
              <w:rPr>
                <w:rFonts w:ascii="Times New Roman" w:cs="Times New Roman" w:eastAsia="Times New Roman" w:hAnsi="Times New Roman"/>
                <w:sz w:val="22"/>
                <w:szCs w:val="22"/>
                <w:color w:val="auto"/>
              </w:rPr>
              <w:t>number of domestic movies to total number of movies featured in province  in year</w:t>
            </w:r>
          </w:p>
        </w:tc>
      </w:tr>
      <w:tr>
        <w:trPr>
          <w:trHeight w:val="246"/>
        </w:trPr>
        <w:tc>
          <w:tcPr>
            <w:tcW w:w="20" w:type="dxa"/>
            <w:vAlign w:val="bottom"/>
          </w:tcPr>
          <w:p>
            <w:pPr>
              <w:spacing w:after="0"/>
              <w:rPr>
                <w:sz w:val="21"/>
                <w:szCs w:val="21"/>
                <w:color w:val="auto"/>
              </w:rPr>
            </w:pPr>
          </w:p>
        </w:tc>
        <w:tc>
          <w:tcPr>
            <w:tcW w:w="1400" w:type="dxa"/>
            <w:vAlign w:val="bottom"/>
            <w:tcBorders>
              <w:bottom w:val="single" w:sz="8" w:color="auto"/>
            </w:tcBorders>
          </w:tcPr>
          <w:p>
            <w:pPr>
              <w:spacing w:after="0"/>
              <w:rPr>
                <w:sz w:val="21"/>
                <w:szCs w:val="21"/>
                <w:color w:val="auto"/>
              </w:rPr>
            </w:pPr>
          </w:p>
        </w:tc>
        <w:tc>
          <w:tcPr>
            <w:tcW w:w="7660" w:type="dxa"/>
            <w:vAlign w:val="bottom"/>
            <w:tcBorders>
              <w:bottom w:val="single" w:sz="8" w:color="auto"/>
            </w:tcBorders>
          </w:tcPr>
          <w:p>
            <w:pPr>
              <w:ind w:left="200"/>
              <w:spacing w:after="0" w:line="241" w:lineRule="exact"/>
              <w:rPr>
                <w:sz w:val="20"/>
                <w:szCs w:val="20"/>
                <w:color w:val="auto"/>
              </w:rPr>
            </w:pPr>
            <w:r>
              <w:rPr>
                <w:rFonts w:ascii="Times New Roman" w:cs="Times New Roman" w:eastAsia="Times New Roman" w:hAnsi="Times New Roman"/>
                <w:sz w:val="22"/>
                <w:szCs w:val="22"/>
                <w:color w:val="auto"/>
              </w:rPr>
              <w:t>.</w:t>
            </w:r>
          </w:p>
        </w:tc>
      </w:tr>
      <w:tr>
        <w:trPr>
          <w:trHeight w:val="269"/>
        </w:trPr>
        <w:tc>
          <w:tcPr>
            <w:tcW w:w="20" w:type="dxa"/>
            <w:vAlign w:val="bottom"/>
          </w:tcPr>
          <w:p>
            <w:pPr>
              <w:spacing w:after="0"/>
              <w:rPr>
                <w:sz w:val="23"/>
                <w:szCs w:val="23"/>
                <w:color w:val="auto"/>
              </w:rPr>
            </w:pPr>
          </w:p>
        </w:tc>
        <w:tc>
          <w:tcPr>
            <w:tcW w:w="1400" w:type="dxa"/>
            <w:vAlign w:val="bottom"/>
            <w:tcBorders>
              <w:bottom w:val="single" w:sz="8" w:color="auto"/>
            </w:tcBorders>
          </w:tcPr>
          <w:p>
            <w:pPr>
              <w:jc w:val="center"/>
              <w:ind w:left="42"/>
              <w:spacing w:after="0" w:line="268" w:lineRule="exact"/>
              <w:rPr>
                <w:sz w:val="20"/>
                <w:szCs w:val="20"/>
                <w:color w:val="auto"/>
              </w:rPr>
            </w:pPr>
            <w:r>
              <w:rPr>
                <w:rFonts w:ascii="Cambria Math" w:cs="Cambria Math" w:eastAsia="Cambria Math" w:hAnsi="Cambria Math"/>
                <w:sz w:val="6"/>
                <w:szCs w:val="6"/>
                <w:color w:val="auto"/>
                <w:vertAlign w:val="subscript"/>
              </w:rPr>
              <w:t xml:space="preserve">  ,  </w:t>
            </w:r>
          </w:p>
        </w:tc>
        <w:tc>
          <w:tcPr>
            <w:tcW w:w="7660" w:type="dxa"/>
            <w:vAlign w:val="bottom"/>
            <w:tcBorders>
              <w:bottom w:val="single" w:sz="8" w:color="auto"/>
            </w:tcBorders>
          </w:tcPr>
          <w:p>
            <w:pPr>
              <w:ind w:left="200"/>
              <w:spacing w:after="0" w:line="243" w:lineRule="exact"/>
              <w:rPr>
                <w:sz w:val="20"/>
                <w:szCs w:val="20"/>
                <w:color w:val="auto"/>
              </w:rPr>
            </w:pPr>
            <w:r>
              <w:rPr>
                <w:rFonts w:ascii="Times New Roman" w:cs="Times New Roman" w:eastAsia="Times New Roman" w:hAnsi="Times New Roman"/>
                <w:sz w:val="22"/>
                <w:szCs w:val="22"/>
                <w:color w:val="auto"/>
              </w:rPr>
              <w:t>ratio of mall screens to all screens in province  in year  . (%)</w:t>
            </w:r>
          </w:p>
        </w:tc>
      </w:tr>
      <w:tr>
        <w:trPr>
          <w:trHeight w:val="274"/>
        </w:trPr>
        <w:tc>
          <w:tcPr>
            <w:tcW w:w="20" w:type="dxa"/>
            <w:vAlign w:val="bottom"/>
            <w:tcBorders>
              <w:bottom w:val="single" w:sz="8" w:color="auto"/>
            </w:tcBorders>
          </w:tcPr>
          <w:p>
            <w:pPr>
              <w:spacing w:after="0"/>
              <w:rPr>
                <w:sz w:val="23"/>
                <w:szCs w:val="23"/>
                <w:color w:val="auto"/>
              </w:rPr>
            </w:pPr>
          </w:p>
        </w:tc>
        <w:tc>
          <w:tcPr>
            <w:tcW w:w="1400" w:type="dxa"/>
            <w:vAlign w:val="bottom"/>
            <w:tcBorders>
              <w:bottom w:val="single" w:sz="8" w:color="auto"/>
            </w:tcBorders>
          </w:tcPr>
          <w:p>
            <w:pPr>
              <w:jc w:val="center"/>
              <w:ind w:left="42"/>
              <w:spacing w:after="0" w:line="274" w:lineRule="exact"/>
              <w:rPr>
                <w:sz w:val="20"/>
                <w:szCs w:val="20"/>
                <w:color w:val="auto"/>
              </w:rPr>
            </w:pPr>
            <w:r>
              <w:rPr>
                <w:rFonts w:ascii="Cambria Math" w:cs="Cambria Math" w:eastAsia="Cambria Math" w:hAnsi="Cambria Math"/>
                <w:sz w:val="6"/>
                <w:szCs w:val="6"/>
                <w:color w:val="auto"/>
                <w:vertAlign w:val="subscript"/>
              </w:rPr>
              <w:t xml:space="preserve">  ,  </w:t>
            </w:r>
          </w:p>
        </w:tc>
        <w:tc>
          <w:tcPr>
            <w:tcW w:w="7660" w:type="dxa"/>
            <w:vAlign w:val="bottom"/>
            <w:tcBorders>
              <w:bottom w:val="single" w:sz="8" w:color="auto"/>
            </w:tcBorders>
          </w:tcPr>
          <w:p>
            <w:pPr>
              <w:ind w:left="200"/>
              <w:spacing w:after="0" w:line="241" w:lineRule="exact"/>
              <w:rPr>
                <w:sz w:val="20"/>
                <w:szCs w:val="20"/>
                <w:color w:val="auto"/>
              </w:rPr>
            </w:pPr>
            <w:r>
              <w:rPr>
                <w:rFonts w:ascii="Times New Roman" w:cs="Times New Roman" w:eastAsia="Times New Roman" w:hAnsi="Times New Roman"/>
                <w:sz w:val="22"/>
                <w:szCs w:val="22"/>
                <w:color w:val="auto"/>
              </w:rPr>
              <w:t>index for the real entertainment prices in province  in year  .</w:t>
            </w:r>
          </w:p>
        </w:tc>
      </w:tr>
    </w:tbl>
    <w:p>
      <w:pPr>
        <w:spacing w:after="0" w:line="106"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Author’s own compilation</w:t>
      </w:r>
    </w:p>
    <w:p>
      <w:pPr>
        <w:spacing w:after="0" w:line="288" w:lineRule="exact"/>
        <w:rPr>
          <w:sz w:val="20"/>
          <w:szCs w:val="20"/>
          <w:color w:val="auto"/>
        </w:rPr>
      </w:pPr>
    </w:p>
    <w:p>
      <w:pPr>
        <w:jc w:val="both"/>
        <w:ind w:left="40" w:right="40" w:firstLine="708"/>
        <w:spacing w:after="0" w:line="238" w:lineRule="auto"/>
        <w:rPr>
          <w:sz w:val="20"/>
          <w:szCs w:val="20"/>
          <w:color w:val="auto"/>
        </w:rPr>
      </w:pPr>
      <w:r>
        <w:rPr>
          <w:rFonts w:ascii="Times New Roman" w:cs="Times New Roman" w:eastAsia="Times New Roman" w:hAnsi="Times New Roman"/>
          <w:sz w:val="24"/>
          <w:szCs w:val="24"/>
          <w:color w:val="212121"/>
        </w:rPr>
        <w:t>At least three econometric problems may arise from estimating equation (1). First, the price variables in are endogenous. Then, these regressors may be correlated with the error term. Second, time-invariant province characteristics (fixed effects) may be correlated with the explanatory variables. Third, the presence of lagged dependent variable may be a probable cause of autocorrelation.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546735</wp:posOffset>
            </wp:positionV>
            <wp:extent cx="5798820" cy="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2"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118</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40" w:right="220" w:firstLine="708"/>
        <w:spacing w:after="0" w:line="237" w:lineRule="auto"/>
        <w:rPr>
          <w:sz w:val="20"/>
          <w:szCs w:val="20"/>
          <w:color w:val="auto"/>
        </w:rPr>
      </w:pPr>
      <w:r>
        <w:rPr>
          <w:rFonts w:ascii="Times New Roman" w:cs="Times New Roman" w:eastAsia="Times New Roman" w:hAnsi="Times New Roman"/>
          <w:sz w:val="24"/>
          <w:szCs w:val="24"/>
          <w:color w:val="212121"/>
        </w:rPr>
        <w:t xml:space="preserve">Due to lack of proper instrumental variables with data we decided to use the dynamic panel data estimation method which allows us to use endogenous variables as pre-determined which is not correlated with the error term. It removes fixed-effect by transforming regressors using </w:t>
      </w:r>
      <w:r>
        <w:rPr>
          <w:rFonts w:ascii="Times New Roman" w:cs="Times New Roman" w:eastAsia="Times New Roman" w:hAnsi="Times New Roman"/>
          <w:sz w:val="24"/>
          <w:szCs w:val="24"/>
          <w:color w:val="000000"/>
        </w:rPr>
        <w:t>difference generalized method of moments (GMM) and allows us to use lagged dependent</w:t>
      </w:r>
      <w:r>
        <w:rPr>
          <w:rFonts w:ascii="Times New Roman" w:cs="Times New Roman" w:eastAsia="Times New Roman" w:hAnsi="Times New Roman"/>
          <w:sz w:val="24"/>
          <w:szCs w:val="24"/>
          <w:color w:val="212121"/>
        </w:rPr>
        <w:t xml:space="preserve"> </w:t>
      </w:r>
      <w:r>
        <w:rPr>
          <w:rFonts w:ascii="Times New Roman" w:cs="Times New Roman" w:eastAsia="Times New Roman" w:hAnsi="Times New Roman"/>
          <w:sz w:val="24"/>
          <w:szCs w:val="24"/>
          <w:color w:val="000000"/>
        </w:rPr>
        <w:t>variable to instrument with its past levels.</w:t>
      </w:r>
    </w:p>
    <w:p>
      <w:pPr>
        <w:spacing w:after="0" w:line="18" w:lineRule="exact"/>
        <w:rPr>
          <w:sz w:val="20"/>
          <w:szCs w:val="20"/>
          <w:color w:val="auto"/>
        </w:rPr>
      </w:pPr>
    </w:p>
    <w:p>
      <w:pPr>
        <w:jc w:val="both"/>
        <w:ind w:left="40" w:right="220" w:firstLine="708"/>
        <w:spacing w:after="0" w:line="238" w:lineRule="auto"/>
        <w:rPr>
          <w:sz w:val="20"/>
          <w:szCs w:val="20"/>
          <w:color w:val="auto"/>
        </w:rPr>
      </w:pPr>
      <w:r>
        <w:rPr>
          <w:rFonts w:ascii="Times New Roman" w:cs="Times New Roman" w:eastAsia="Times New Roman" w:hAnsi="Times New Roman"/>
          <w:sz w:val="24"/>
          <w:szCs w:val="24"/>
          <w:color w:val="212121"/>
        </w:rPr>
        <w:t>A similar estimation is done by Yurtseven and Koksal (2017). However, in this study, we update the data with a bigger number of observations stretching from 2004 to 2018. In addition, we update the set of independent variables. For example, we include percentage of college students in a city to explain the ratio of number of tickets sold to population . At the same time, we exclude the percentage of young people which may cause correlation problems in the estimation process since we include an education variable in addition to the percentage of college students in a province’s population.</w:t>
      </w:r>
    </w:p>
    <w:p>
      <w:pPr>
        <w:spacing w:after="0" w:line="37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4. Data</w:t>
      </w:r>
    </w:p>
    <w:p>
      <w:pPr>
        <w:spacing w:after="0" w:line="246" w:lineRule="exact"/>
        <w:rPr>
          <w:sz w:val="20"/>
          <w:szCs w:val="20"/>
          <w:color w:val="auto"/>
        </w:rPr>
      </w:pPr>
    </w:p>
    <w:p>
      <w:pPr>
        <w:jc w:val="both"/>
        <w:ind w:left="40" w:right="220" w:firstLine="708"/>
        <w:spacing w:after="0" w:line="237" w:lineRule="auto"/>
        <w:rPr>
          <w:sz w:val="20"/>
          <w:szCs w:val="20"/>
          <w:color w:val="auto"/>
        </w:rPr>
      </w:pPr>
      <w:r>
        <w:rPr>
          <w:rFonts w:ascii="Times New Roman" w:cs="Times New Roman" w:eastAsia="Times New Roman" w:hAnsi="Times New Roman"/>
          <w:sz w:val="24"/>
          <w:szCs w:val="24"/>
          <w:color w:val="212121"/>
        </w:rPr>
        <w:t>In this study, we use panel data approach to estimate our model. The period of investigation includes the years between 2004 and 2018. Income, education, movie and entertainment price data are taken from Turkish Statistical Institution (TurkStat) database. Number of college students is taken from the database of the Council of Higher Education of Turkey.</w:t>
      </w:r>
    </w:p>
    <w:p>
      <w:pPr>
        <w:spacing w:after="0" w:line="18" w:lineRule="exact"/>
        <w:rPr>
          <w:sz w:val="20"/>
          <w:szCs w:val="20"/>
          <w:color w:val="auto"/>
        </w:rPr>
      </w:pPr>
    </w:p>
    <w:p>
      <w:pPr>
        <w:jc w:val="both"/>
        <w:ind w:left="40" w:right="220" w:firstLine="708"/>
        <w:spacing w:after="0" w:line="239" w:lineRule="auto"/>
        <w:rPr>
          <w:sz w:val="20"/>
          <w:szCs w:val="20"/>
          <w:color w:val="auto"/>
        </w:rPr>
      </w:pPr>
      <w:r>
        <w:rPr>
          <w:rFonts w:ascii="Times New Roman" w:cs="Times New Roman" w:eastAsia="Times New Roman" w:hAnsi="Times New Roman"/>
          <w:sz w:val="24"/>
          <w:szCs w:val="24"/>
          <w:color w:val="212121"/>
        </w:rPr>
        <w:t>The variable in our model is defined as per capita and TurkStat only gives the regional data, therefore, we modify it by dividing the total numbers by population of the province in the related year. Provincial population data is presented by TurkStat only with some missing years. For example, for the years between 2003 and 2006, instead of actual population figures, only projections prepared by TurkStat are available. For that period the projected numbers are used in the estimation. In addition, TurkStat has not provided provincial per capita income for 2018 yet. We projected the 2018 numbers by the announced national growth rates and we assume a fixed growth rate for the year 2018 for all provinces. Data on a key variable of the study, number of screens in malls over total number of screens is self-constructed by using data from TurkStat and Mall Investors Association. We calculate the number of screens in each mall for each year by processing the raw data taken from Mall Investors Association. We contacted with the mall movies directly, whenever necessary. Total number of screens in a province for each year is directly taken from TurkStat. By dividing these two numbers, we constructed the ratio of mall screens in a province for each year.</w:t>
      </w:r>
    </w:p>
    <w:p>
      <w:pPr>
        <w:spacing w:after="0" w:line="370"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5. Results</w:t>
      </w:r>
    </w:p>
    <w:p>
      <w:pPr>
        <w:spacing w:after="0" w:line="200" w:lineRule="exact"/>
        <w:rPr>
          <w:sz w:val="20"/>
          <w:szCs w:val="20"/>
          <w:color w:val="auto"/>
        </w:rPr>
      </w:pPr>
    </w:p>
    <w:p>
      <w:pPr>
        <w:spacing w:after="0" w:line="298" w:lineRule="exact"/>
        <w:rPr>
          <w:sz w:val="20"/>
          <w:szCs w:val="20"/>
          <w:color w:val="auto"/>
        </w:rPr>
      </w:pPr>
    </w:p>
    <w:tbl>
      <w:tblPr>
        <w:tblLayout w:type="fixed"/>
        <w:tblInd w:w="20" w:type="dxa"/>
        <w:tblCellMar>
          <w:top w:w="0" w:type="dxa"/>
          <w:left w:w="0" w:type="dxa"/>
          <w:bottom w:w="0" w:type="dxa"/>
          <w:right w:w="0" w:type="dxa"/>
        </w:tblCellMar>
      </w:tblPr>
      <w:tr>
        <w:trPr>
          <w:trHeight w:val="261"/>
        </w:trPr>
        <w:tc>
          <w:tcPr>
            <w:tcW w:w="20" w:type="dxa"/>
            <w:vAlign w:val="bottom"/>
          </w:tcPr>
          <w:p>
            <w:pPr>
              <w:spacing w:after="0"/>
              <w:rPr>
                <w:sz w:val="22"/>
                <w:szCs w:val="22"/>
                <w:color w:val="auto"/>
              </w:rPr>
            </w:pPr>
          </w:p>
        </w:tc>
        <w:tc>
          <w:tcPr>
            <w:tcW w:w="1440" w:type="dxa"/>
            <w:vAlign w:val="bottom"/>
            <w:tcBorders>
              <w:top w:val="single" w:sz="8" w:color="auto"/>
              <w:bottom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rPr>
              <w:t>Variables</w:t>
            </w:r>
          </w:p>
        </w:tc>
        <w:tc>
          <w:tcPr>
            <w:tcW w:w="1680" w:type="dxa"/>
            <w:vAlign w:val="bottom"/>
            <w:tcBorders>
              <w:top w:val="single" w:sz="8" w:color="auto"/>
              <w:bottom w:val="single" w:sz="8" w:color="auto"/>
            </w:tcBorders>
          </w:tcPr>
          <w:p>
            <w:pPr>
              <w:ind w:left="840"/>
              <w:spacing w:after="0"/>
              <w:rPr>
                <w:sz w:val="20"/>
                <w:szCs w:val="20"/>
                <w:color w:val="auto"/>
              </w:rPr>
            </w:pPr>
            <w:r>
              <w:rPr>
                <w:rFonts w:ascii="Times New Roman" w:cs="Times New Roman" w:eastAsia="Times New Roman" w:hAnsi="Times New Roman"/>
                <w:sz w:val="22"/>
                <w:szCs w:val="22"/>
                <w:b w:val="1"/>
                <w:bCs w:val="1"/>
                <w:color w:val="auto"/>
              </w:rPr>
              <w:t>I</w:t>
            </w:r>
          </w:p>
        </w:tc>
        <w:tc>
          <w:tcPr>
            <w:tcW w:w="1520" w:type="dxa"/>
            <w:vAlign w:val="bottom"/>
            <w:tcBorders>
              <w:top w:val="single" w:sz="8" w:color="auto"/>
              <w:bottom w:val="single" w:sz="8" w:color="auto"/>
            </w:tcBorders>
          </w:tcPr>
          <w:p>
            <w:pPr>
              <w:ind w:left="660"/>
              <w:spacing w:after="0"/>
              <w:rPr>
                <w:sz w:val="20"/>
                <w:szCs w:val="20"/>
                <w:color w:val="auto"/>
              </w:rPr>
            </w:pPr>
            <w:r>
              <w:rPr>
                <w:rFonts w:ascii="Times New Roman" w:cs="Times New Roman" w:eastAsia="Times New Roman" w:hAnsi="Times New Roman"/>
                <w:sz w:val="22"/>
                <w:szCs w:val="22"/>
                <w:b w:val="1"/>
                <w:bCs w:val="1"/>
                <w:color w:val="auto"/>
              </w:rPr>
              <w:t>II</w:t>
            </w:r>
          </w:p>
        </w:tc>
        <w:tc>
          <w:tcPr>
            <w:tcW w:w="1560" w:type="dxa"/>
            <w:vAlign w:val="bottom"/>
            <w:tcBorders>
              <w:top w:val="single" w:sz="8" w:color="auto"/>
              <w:bottom w:val="single" w:sz="8" w:color="auto"/>
            </w:tcBorders>
          </w:tcPr>
          <w:p>
            <w:pPr>
              <w:ind w:left="640"/>
              <w:spacing w:after="0"/>
              <w:rPr>
                <w:sz w:val="20"/>
                <w:szCs w:val="20"/>
                <w:color w:val="auto"/>
              </w:rPr>
            </w:pPr>
            <w:r>
              <w:rPr>
                <w:rFonts w:ascii="Times New Roman" w:cs="Times New Roman" w:eastAsia="Times New Roman" w:hAnsi="Times New Roman"/>
                <w:sz w:val="22"/>
                <w:szCs w:val="22"/>
                <w:b w:val="1"/>
                <w:bCs w:val="1"/>
                <w:color w:val="auto"/>
              </w:rPr>
              <w:t>III</w:t>
            </w:r>
          </w:p>
        </w:tc>
        <w:tc>
          <w:tcPr>
            <w:tcW w:w="1540" w:type="dxa"/>
            <w:vAlign w:val="bottom"/>
            <w:tcBorders>
              <w:top w:val="single" w:sz="8" w:color="auto"/>
              <w:bottom w:val="single" w:sz="8" w:color="auto"/>
            </w:tcBorders>
          </w:tcPr>
          <w:p>
            <w:pPr>
              <w:ind w:left="640"/>
              <w:spacing w:after="0"/>
              <w:rPr>
                <w:sz w:val="20"/>
                <w:szCs w:val="20"/>
                <w:color w:val="auto"/>
              </w:rPr>
            </w:pPr>
            <w:r>
              <w:rPr>
                <w:rFonts w:ascii="Times New Roman" w:cs="Times New Roman" w:eastAsia="Times New Roman" w:hAnsi="Times New Roman"/>
                <w:sz w:val="22"/>
                <w:szCs w:val="22"/>
                <w:b w:val="1"/>
                <w:bCs w:val="1"/>
                <w:color w:val="auto"/>
              </w:rPr>
              <w:t>IV</w:t>
            </w:r>
          </w:p>
        </w:tc>
        <w:tc>
          <w:tcPr>
            <w:tcW w:w="1540" w:type="dxa"/>
            <w:vAlign w:val="bottom"/>
            <w:tcBorders>
              <w:top w:val="single" w:sz="8" w:color="auto"/>
              <w:bottom w:val="single" w:sz="8" w:color="auto"/>
            </w:tcBorders>
          </w:tcPr>
          <w:p>
            <w:pPr>
              <w:ind w:left="700"/>
              <w:spacing w:after="0"/>
              <w:rPr>
                <w:sz w:val="20"/>
                <w:szCs w:val="20"/>
                <w:color w:val="auto"/>
              </w:rPr>
            </w:pPr>
            <w:r>
              <w:rPr>
                <w:rFonts w:ascii="Times New Roman" w:cs="Times New Roman" w:eastAsia="Times New Roman" w:hAnsi="Times New Roman"/>
                <w:sz w:val="22"/>
                <w:szCs w:val="22"/>
                <w:b w:val="1"/>
                <w:bCs w:val="1"/>
                <w:color w:val="auto"/>
              </w:rPr>
              <w:t>V</w:t>
            </w:r>
          </w:p>
        </w:tc>
      </w:tr>
      <w:tr>
        <w:trPr>
          <w:trHeight w:val="243"/>
        </w:trPr>
        <w:tc>
          <w:tcPr>
            <w:tcW w:w="20" w:type="dxa"/>
            <w:vAlign w:val="bottom"/>
          </w:tcPr>
          <w:p>
            <w:pPr>
              <w:spacing w:after="0"/>
              <w:rPr>
                <w:sz w:val="21"/>
                <w:szCs w:val="21"/>
                <w:color w:val="auto"/>
              </w:rPr>
            </w:pPr>
          </w:p>
        </w:tc>
        <w:tc>
          <w:tcPr>
            <w:tcW w:w="1440" w:type="dxa"/>
            <w:vAlign w:val="bottom"/>
            <w:tcBorders>
              <w:bottom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b w:val="1"/>
                <w:bCs w:val="1"/>
                <w:color w:val="auto"/>
              </w:rPr>
              <w:t>N</w:t>
            </w:r>
          </w:p>
        </w:tc>
        <w:tc>
          <w:tcPr>
            <w:tcW w:w="1680" w:type="dxa"/>
            <w:vAlign w:val="bottom"/>
            <w:tcBorders>
              <w:bottom w:val="single" w:sz="8" w:color="auto"/>
            </w:tcBorders>
          </w:tcPr>
          <w:p>
            <w:pPr>
              <w:spacing w:after="0"/>
              <w:rPr>
                <w:sz w:val="21"/>
                <w:szCs w:val="21"/>
                <w:color w:val="auto"/>
              </w:rPr>
            </w:pPr>
          </w:p>
        </w:tc>
        <w:tc>
          <w:tcPr>
            <w:tcW w:w="1520" w:type="dxa"/>
            <w:vAlign w:val="bottom"/>
            <w:tcBorders>
              <w:bottom w:val="single" w:sz="8" w:color="auto"/>
            </w:tcBorders>
          </w:tcPr>
          <w:p>
            <w:pPr>
              <w:spacing w:after="0"/>
              <w:rPr>
                <w:sz w:val="21"/>
                <w:szCs w:val="21"/>
                <w:color w:val="auto"/>
              </w:rPr>
            </w:pPr>
          </w:p>
        </w:tc>
        <w:tc>
          <w:tcPr>
            <w:tcW w:w="156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r>
      <w:tr>
        <w:trPr>
          <w:trHeight w:val="243"/>
        </w:trPr>
        <w:tc>
          <w:tcPr>
            <w:tcW w:w="20" w:type="dxa"/>
            <w:vAlign w:val="bottom"/>
          </w:tcPr>
          <w:p>
            <w:pPr>
              <w:spacing w:after="0"/>
              <w:rPr>
                <w:sz w:val="21"/>
                <w:szCs w:val="21"/>
                <w:color w:val="auto"/>
              </w:rPr>
            </w:pPr>
          </w:p>
        </w:tc>
        <w:tc>
          <w:tcPr>
            <w:tcW w:w="1440" w:type="dxa"/>
            <w:vAlign w:val="bottom"/>
            <w:tcBorders>
              <w:bottom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b w:val="1"/>
                <w:bCs w:val="1"/>
                <w:color w:val="auto"/>
              </w:rPr>
              <w:t>inc</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0.00001</w:t>
            </w:r>
          </w:p>
        </w:tc>
        <w:tc>
          <w:tcPr>
            <w:tcW w:w="152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0.00001</w:t>
            </w:r>
          </w:p>
        </w:tc>
        <w:tc>
          <w:tcPr>
            <w:tcW w:w="156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r>
      <w:tr>
        <w:trPr>
          <w:trHeight w:val="240"/>
        </w:trPr>
        <w:tc>
          <w:tcPr>
            <w:tcW w:w="20" w:type="dxa"/>
            <w:vAlign w:val="bottom"/>
          </w:tcPr>
          <w:p>
            <w:pPr>
              <w:spacing w:after="0"/>
              <w:rPr>
                <w:sz w:val="20"/>
                <w:szCs w:val="20"/>
                <w:color w:val="auto"/>
              </w:rPr>
            </w:pPr>
          </w:p>
        </w:tc>
        <w:tc>
          <w:tcPr>
            <w:tcW w:w="1440" w:type="dxa"/>
            <w:vAlign w:val="bottom"/>
            <w:tcBorders>
              <w:bottom w:val="single" w:sz="8" w:color="auto"/>
            </w:tcBorders>
          </w:tcPr>
          <w:p>
            <w:pPr>
              <w:spacing w:after="0"/>
              <w:rPr>
                <w:sz w:val="20"/>
                <w:szCs w:val="20"/>
                <w:color w:val="auto"/>
              </w:rPr>
            </w:pPr>
          </w:p>
        </w:tc>
        <w:tc>
          <w:tcPr>
            <w:tcW w:w="168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(0.0000)</w:t>
            </w:r>
          </w:p>
        </w:tc>
        <w:tc>
          <w:tcPr>
            <w:tcW w:w="152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8"/>
              </w:rPr>
              <w:t>(0.0000)</w:t>
            </w:r>
          </w:p>
        </w:tc>
        <w:tc>
          <w:tcPr>
            <w:tcW w:w="1560" w:type="dxa"/>
            <w:vAlign w:val="bottom"/>
            <w:tcBorders>
              <w:bottom w:val="single" w:sz="8" w:color="auto"/>
            </w:tcBorders>
          </w:tcPr>
          <w:p>
            <w:pPr>
              <w:spacing w:after="0"/>
              <w:rPr>
                <w:sz w:val="20"/>
                <w:szCs w:val="20"/>
                <w:color w:val="auto"/>
              </w:rPr>
            </w:pPr>
          </w:p>
        </w:tc>
        <w:tc>
          <w:tcPr>
            <w:tcW w:w="1540" w:type="dxa"/>
            <w:vAlign w:val="bottom"/>
            <w:tcBorders>
              <w:bottom w:val="single" w:sz="8" w:color="auto"/>
            </w:tcBorders>
          </w:tcPr>
          <w:p>
            <w:pPr>
              <w:spacing w:after="0"/>
              <w:rPr>
                <w:sz w:val="20"/>
                <w:szCs w:val="20"/>
                <w:color w:val="auto"/>
              </w:rPr>
            </w:pPr>
          </w:p>
        </w:tc>
        <w:tc>
          <w:tcPr>
            <w:tcW w:w="1540" w:type="dxa"/>
            <w:vAlign w:val="bottom"/>
            <w:tcBorders>
              <w:bottom w:val="single" w:sz="8" w:color="auto"/>
            </w:tcBorders>
          </w:tcPr>
          <w:p>
            <w:pPr>
              <w:spacing w:after="0"/>
              <w:rPr>
                <w:sz w:val="20"/>
                <w:szCs w:val="20"/>
                <w:color w:val="auto"/>
              </w:rPr>
            </w:pPr>
          </w:p>
        </w:tc>
      </w:tr>
      <w:tr>
        <w:trPr>
          <w:trHeight w:val="246"/>
        </w:trPr>
        <w:tc>
          <w:tcPr>
            <w:tcW w:w="20" w:type="dxa"/>
            <w:vAlign w:val="bottom"/>
          </w:tcPr>
          <w:p>
            <w:pPr>
              <w:spacing w:after="0"/>
              <w:rPr>
                <w:sz w:val="21"/>
                <w:szCs w:val="21"/>
                <w:color w:val="auto"/>
              </w:rPr>
            </w:pPr>
          </w:p>
        </w:tc>
        <w:tc>
          <w:tcPr>
            <w:tcW w:w="1440" w:type="dxa"/>
            <w:vAlign w:val="bottom"/>
            <w:tcBorders>
              <w:bottom w:val="single" w:sz="8" w:color="auto"/>
            </w:tcBorders>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edu</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8"/>
              </w:rPr>
              <w:t>0.41351**</w:t>
            </w:r>
          </w:p>
        </w:tc>
        <w:tc>
          <w:tcPr>
            <w:tcW w:w="152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0.4120**</w:t>
            </w:r>
          </w:p>
        </w:tc>
        <w:tc>
          <w:tcPr>
            <w:tcW w:w="156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0.3901**</w:t>
            </w:r>
          </w:p>
        </w:tc>
        <w:tc>
          <w:tcPr>
            <w:tcW w:w="154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r>
      <w:tr>
        <w:trPr>
          <w:trHeight w:val="240"/>
        </w:trPr>
        <w:tc>
          <w:tcPr>
            <w:tcW w:w="20" w:type="dxa"/>
            <w:vAlign w:val="bottom"/>
          </w:tcPr>
          <w:p>
            <w:pPr>
              <w:spacing w:after="0"/>
              <w:rPr>
                <w:sz w:val="20"/>
                <w:szCs w:val="20"/>
                <w:color w:val="auto"/>
              </w:rPr>
            </w:pPr>
          </w:p>
        </w:tc>
        <w:tc>
          <w:tcPr>
            <w:tcW w:w="1440" w:type="dxa"/>
            <w:vAlign w:val="bottom"/>
            <w:tcBorders>
              <w:bottom w:val="single" w:sz="8" w:color="auto"/>
            </w:tcBorders>
          </w:tcPr>
          <w:p>
            <w:pPr>
              <w:spacing w:after="0"/>
              <w:rPr>
                <w:sz w:val="20"/>
                <w:szCs w:val="20"/>
                <w:color w:val="auto"/>
              </w:rPr>
            </w:pPr>
          </w:p>
        </w:tc>
        <w:tc>
          <w:tcPr>
            <w:tcW w:w="168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(0.1387)</w:t>
            </w:r>
          </w:p>
        </w:tc>
        <w:tc>
          <w:tcPr>
            <w:tcW w:w="152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8"/>
              </w:rPr>
              <w:t>(0.1452)</w:t>
            </w:r>
          </w:p>
        </w:tc>
        <w:tc>
          <w:tcPr>
            <w:tcW w:w="156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(0.1223)</w:t>
            </w:r>
          </w:p>
        </w:tc>
        <w:tc>
          <w:tcPr>
            <w:tcW w:w="1540" w:type="dxa"/>
            <w:vAlign w:val="bottom"/>
            <w:tcBorders>
              <w:bottom w:val="single" w:sz="8" w:color="auto"/>
            </w:tcBorders>
          </w:tcPr>
          <w:p>
            <w:pPr>
              <w:spacing w:after="0"/>
              <w:rPr>
                <w:sz w:val="20"/>
                <w:szCs w:val="20"/>
                <w:color w:val="auto"/>
              </w:rPr>
            </w:pPr>
          </w:p>
        </w:tc>
        <w:tc>
          <w:tcPr>
            <w:tcW w:w="1540" w:type="dxa"/>
            <w:vAlign w:val="bottom"/>
            <w:tcBorders>
              <w:bottom w:val="single" w:sz="8" w:color="auto"/>
            </w:tcBorders>
          </w:tcPr>
          <w:p>
            <w:pPr>
              <w:spacing w:after="0"/>
              <w:rPr>
                <w:sz w:val="20"/>
                <w:szCs w:val="20"/>
                <w:color w:val="auto"/>
              </w:rPr>
            </w:pPr>
          </w:p>
        </w:tc>
      </w:tr>
      <w:tr>
        <w:trPr>
          <w:trHeight w:val="246"/>
        </w:trPr>
        <w:tc>
          <w:tcPr>
            <w:tcW w:w="20" w:type="dxa"/>
            <w:vAlign w:val="bottom"/>
          </w:tcPr>
          <w:p>
            <w:pPr>
              <w:spacing w:after="0"/>
              <w:rPr>
                <w:sz w:val="21"/>
                <w:szCs w:val="21"/>
                <w:color w:val="auto"/>
              </w:rPr>
            </w:pPr>
          </w:p>
        </w:tc>
        <w:tc>
          <w:tcPr>
            <w:tcW w:w="1440" w:type="dxa"/>
            <w:vAlign w:val="bottom"/>
            <w:tcBorders>
              <w:bottom w:val="single" w:sz="8" w:color="auto"/>
            </w:tcBorders>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uni</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9"/>
              </w:rPr>
              <w:t>0.1589</w:t>
            </w:r>
          </w:p>
        </w:tc>
        <w:tc>
          <w:tcPr>
            <w:tcW w:w="1520" w:type="dxa"/>
            <w:vAlign w:val="bottom"/>
            <w:tcBorders>
              <w:bottom w:val="single" w:sz="8" w:color="auto"/>
            </w:tcBorders>
          </w:tcPr>
          <w:p>
            <w:pPr>
              <w:spacing w:after="0"/>
              <w:rPr>
                <w:sz w:val="21"/>
                <w:szCs w:val="21"/>
                <w:color w:val="auto"/>
              </w:rPr>
            </w:pPr>
          </w:p>
        </w:tc>
        <w:tc>
          <w:tcPr>
            <w:tcW w:w="156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r>
      <w:tr>
        <w:trPr>
          <w:trHeight w:val="240"/>
        </w:trPr>
        <w:tc>
          <w:tcPr>
            <w:tcW w:w="20" w:type="dxa"/>
            <w:vAlign w:val="bottom"/>
          </w:tcPr>
          <w:p>
            <w:pPr>
              <w:spacing w:after="0"/>
              <w:rPr>
                <w:sz w:val="20"/>
                <w:szCs w:val="20"/>
                <w:color w:val="auto"/>
              </w:rPr>
            </w:pPr>
          </w:p>
        </w:tc>
        <w:tc>
          <w:tcPr>
            <w:tcW w:w="1440" w:type="dxa"/>
            <w:vAlign w:val="bottom"/>
            <w:tcBorders>
              <w:bottom w:val="single" w:sz="8" w:color="auto"/>
            </w:tcBorders>
          </w:tcPr>
          <w:p>
            <w:pPr>
              <w:spacing w:after="0"/>
              <w:rPr>
                <w:sz w:val="20"/>
                <w:szCs w:val="20"/>
                <w:color w:val="auto"/>
              </w:rPr>
            </w:pPr>
          </w:p>
        </w:tc>
        <w:tc>
          <w:tcPr>
            <w:tcW w:w="168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(0.2390)</w:t>
            </w:r>
          </w:p>
        </w:tc>
        <w:tc>
          <w:tcPr>
            <w:tcW w:w="1520" w:type="dxa"/>
            <w:vAlign w:val="bottom"/>
            <w:tcBorders>
              <w:bottom w:val="single" w:sz="8" w:color="auto"/>
            </w:tcBorders>
          </w:tcPr>
          <w:p>
            <w:pPr>
              <w:spacing w:after="0"/>
              <w:rPr>
                <w:sz w:val="20"/>
                <w:szCs w:val="20"/>
                <w:color w:val="auto"/>
              </w:rPr>
            </w:pPr>
          </w:p>
        </w:tc>
        <w:tc>
          <w:tcPr>
            <w:tcW w:w="1560" w:type="dxa"/>
            <w:vAlign w:val="bottom"/>
            <w:tcBorders>
              <w:bottom w:val="single" w:sz="8" w:color="auto"/>
            </w:tcBorders>
          </w:tcPr>
          <w:p>
            <w:pPr>
              <w:spacing w:after="0"/>
              <w:rPr>
                <w:sz w:val="20"/>
                <w:szCs w:val="20"/>
                <w:color w:val="auto"/>
              </w:rPr>
            </w:pPr>
          </w:p>
        </w:tc>
        <w:tc>
          <w:tcPr>
            <w:tcW w:w="1540" w:type="dxa"/>
            <w:vAlign w:val="bottom"/>
            <w:tcBorders>
              <w:bottom w:val="single" w:sz="8" w:color="auto"/>
            </w:tcBorders>
          </w:tcPr>
          <w:p>
            <w:pPr>
              <w:spacing w:after="0"/>
              <w:rPr>
                <w:sz w:val="20"/>
                <w:szCs w:val="20"/>
                <w:color w:val="auto"/>
              </w:rPr>
            </w:pPr>
          </w:p>
        </w:tc>
        <w:tc>
          <w:tcPr>
            <w:tcW w:w="1540" w:type="dxa"/>
            <w:vAlign w:val="bottom"/>
            <w:tcBorders>
              <w:bottom w:val="single" w:sz="8" w:color="auto"/>
            </w:tcBorders>
          </w:tcPr>
          <w:p>
            <w:pPr>
              <w:spacing w:after="0"/>
              <w:rPr>
                <w:sz w:val="20"/>
                <w:szCs w:val="20"/>
                <w:color w:val="auto"/>
              </w:rPr>
            </w:pPr>
          </w:p>
        </w:tc>
      </w:tr>
      <w:tr>
        <w:trPr>
          <w:trHeight w:val="246"/>
        </w:trPr>
        <w:tc>
          <w:tcPr>
            <w:tcW w:w="20" w:type="dxa"/>
            <w:vAlign w:val="bottom"/>
          </w:tcPr>
          <w:p>
            <w:pPr>
              <w:spacing w:after="0"/>
              <w:rPr>
                <w:sz w:val="21"/>
                <w:szCs w:val="21"/>
                <w:color w:val="auto"/>
              </w:rPr>
            </w:pPr>
          </w:p>
        </w:tc>
        <w:tc>
          <w:tcPr>
            <w:tcW w:w="1440" w:type="dxa"/>
            <w:vAlign w:val="bottom"/>
            <w:tcBorders>
              <w:bottom w:val="single" w:sz="8" w:color="auto"/>
            </w:tcBorders>
          </w:tcPr>
          <w:p>
            <w:pPr>
              <w:ind w:left="100"/>
              <w:spacing w:after="0" w:line="245" w:lineRule="exact"/>
              <w:rPr>
                <w:sz w:val="20"/>
                <w:szCs w:val="20"/>
                <w:color w:val="auto"/>
              </w:rPr>
            </w:pPr>
            <w:r>
              <w:rPr>
                <w:rFonts w:ascii="Times New Roman" w:cs="Times New Roman" w:eastAsia="Times New Roman" w:hAnsi="Times New Roman"/>
                <w:sz w:val="22"/>
                <w:szCs w:val="22"/>
                <w:b w:val="1"/>
                <w:bCs w:val="1"/>
                <w:color w:val="auto"/>
              </w:rPr>
              <w:t>eduuni</w:t>
            </w:r>
          </w:p>
        </w:tc>
        <w:tc>
          <w:tcPr>
            <w:tcW w:w="1680" w:type="dxa"/>
            <w:vAlign w:val="bottom"/>
            <w:tcBorders>
              <w:bottom w:val="single" w:sz="8" w:color="auto"/>
            </w:tcBorders>
          </w:tcPr>
          <w:p>
            <w:pPr>
              <w:spacing w:after="0"/>
              <w:rPr>
                <w:sz w:val="21"/>
                <w:szCs w:val="21"/>
                <w:color w:val="auto"/>
              </w:rPr>
            </w:pPr>
          </w:p>
        </w:tc>
        <w:tc>
          <w:tcPr>
            <w:tcW w:w="1520" w:type="dxa"/>
            <w:vAlign w:val="bottom"/>
            <w:tcBorders>
              <w:bottom w:val="single" w:sz="8" w:color="auto"/>
            </w:tcBorders>
          </w:tcPr>
          <w:p>
            <w:pPr>
              <w:spacing w:after="0"/>
              <w:rPr>
                <w:sz w:val="21"/>
                <w:szCs w:val="21"/>
                <w:color w:val="auto"/>
              </w:rPr>
            </w:pPr>
          </w:p>
        </w:tc>
        <w:tc>
          <w:tcPr>
            <w:tcW w:w="156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0.6412*</w:t>
            </w:r>
          </w:p>
        </w:tc>
        <w:tc>
          <w:tcPr>
            <w:tcW w:w="154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7"/>
              </w:rPr>
              <w:t>0.6402*</w:t>
            </w:r>
          </w:p>
        </w:tc>
      </w:tr>
      <w:tr>
        <w:trPr>
          <w:trHeight w:val="239"/>
        </w:trPr>
        <w:tc>
          <w:tcPr>
            <w:tcW w:w="20" w:type="dxa"/>
            <w:vAlign w:val="bottom"/>
          </w:tcPr>
          <w:p>
            <w:pPr>
              <w:spacing w:after="0"/>
              <w:rPr>
                <w:sz w:val="20"/>
                <w:szCs w:val="20"/>
                <w:color w:val="auto"/>
              </w:rPr>
            </w:pPr>
          </w:p>
        </w:tc>
        <w:tc>
          <w:tcPr>
            <w:tcW w:w="1440" w:type="dxa"/>
            <w:vAlign w:val="bottom"/>
            <w:tcBorders>
              <w:bottom w:val="single" w:sz="8" w:color="auto"/>
            </w:tcBorders>
          </w:tcPr>
          <w:p>
            <w:pPr>
              <w:spacing w:after="0"/>
              <w:rPr>
                <w:sz w:val="20"/>
                <w:szCs w:val="20"/>
                <w:color w:val="auto"/>
              </w:rPr>
            </w:pPr>
          </w:p>
        </w:tc>
        <w:tc>
          <w:tcPr>
            <w:tcW w:w="1680" w:type="dxa"/>
            <w:vAlign w:val="bottom"/>
            <w:tcBorders>
              <w:bottom w:val="single" w:sz="8" w:color="auto"/>
            </w:tcBorders>
          </w:tcPr>
          <w:p>
            <w:pPr>
              <w:spacing w:after="0"/>
              <w:rPr>
                <w:sz w:val="20"/>
                <w:szCs w:val="20"/>
                <w:color w:val="auto"/>
              </w:rPr>
            </w:pPr>
          </w:p>
        </w:tc>
        <w:tc>
          <w:tcPr>
            <w:tcW w:w="1520" w:type="dxa"/>
            <w:vAlign w:val="bottom"/>
            <w:tcBorders>
              <w:bottom w:val="single" w:sz="8" w:color="auto"/>
            </w:tcBorders>
          </w:tcPr>
          <w:p>
            <w:pPr>
              <w:spacing w:after="0"/>
              <w:rPr>
                <w:sz w:val="20"/>
                <w:szCs w:val="20"/>
                <w:color w:val="auto"/>
              </w:rPr>
            </w:pPr>
          </w:p>
        </w:tc>
        <w:tc>
          <w:tcPr>
            <w:tcW w:w="1560" w:type="dxa"/>
            <w:vAlign w:val="bottom"/>
            <w:tcBorders>
              <w:bottom w:val="single" w:sz="8" w:color="auto"/>
            </w:tcBorders>
          </w:tcPr>
          <w:p>
            <w:pPr>
              <w:spacing w:after="0"/>
              <w:rPr>
                <w:sz w:val="20"/>
                <w:szCs w:val="20"/>
                <w:color w:val="auto"/>
              </w:rPr>
            </w:pPr>
          </w:p>
        </w:tc>
        <w:tc>
          <w:tcPr>
            <w:tcW w:w="1540" w:type="dxa"/>
            <w:vAlign w:val="bottom"/>
            <w:tcBorders>
              <w:bottom w:val="single" w:sz="8" w:color="auto"/>
            </w:tcBorders>
          </w:tcPr>
          <w:p>
            <w:pPr>
              <w:jc w:val="center"/>
              <w:spacing w:after="0" w:line="239" w:lineRule="exact"/>
              <w:rPr>
                <w:sz w:val="20"/>
                <w:szCs w:val="20"/>
                <w:color w:val="auto"/>
              </w:rPr>
            </w:pPr>
            <w:r>
              <w:rPr>
                <w:rFonts w:ascii="Times New Roman" w:cs="Times New Roman" w:eastAsia="Times New Roman" w:hAnsi="Times New Roman"/>
                <w:sz w:val="22"/>
                <w:szCs w:val="22"/>
                <w:color w:val="auto"/>
              </w:rPr>
              <w:t>(0.2699)</w:t>
            </w:r>
          </w:p>
        </w:tc>
        <w:tc>
          <w:tcPr>
            <w:tcW w:w="1540" w:type="dxa"/>
            <w:vAlign w:val="bottom"/>
            <w:tcBorders>
              <w:bottom w:val="single" w:sz="8" w:color="auto"/>
            </w:tcBorders>
          </w:tcPr>
          <w:p>
            <w:pPr>
              <w:jc w:val="center"/>
              <w:spacing w:after="0" w:line="239" w:lineRule="exact"/>
              <w:rPr>
                <w:sz w:val="20"/>
                <w:szCs w:val="20"/>
                <w:color w:val="auto"/>
              </w:rPr>
            </w:pPr>
            <w:r>
              <w:rPr>
                <w:rFonts w:ascii="Times New Roman" w:cs="Times New Roman" w:eastAsia="Times New Roman" w:hAnsi="Times New Roman"/>
                <w:sz w:val="22"/>
                <w:szCs w:val="22"/>
                <w:color w:val="auto"/>
                <w:w w:val="98"/>
              </w:rPr>
              <w:t>(0.2144)</w:t>
            </w:r>
          </w:p>
        </w:tc>
      </w:tr>
      <w:tr>
        <w:trPr>
          <w:trHeight w:val="246"/>
        </w:trPr>
        <w:tc>
          <w:tcPr>
            <w:tcW w:w="20" w:type="dxa"/>
            <w:vAlign w:val="bottom"/>
          </w:tcPr>
          <w:p>
            <w:pPr>
              <w:spacing w:after="0"/>
              <w:rPr>
                <w:sz w:val="21"/>
                <w:szCs w:val="21"/>
                <w:color w:val="auto"/>
              </w:rPr>
            </w:pPr>
          </w:p>
        </w:tc>
        <w:tc>
          <w:tcPr>
            <w:tcW w:w="1440" w:type="dxa"/>
            <w:vAlign w:val="bottom"/>
            <w:tcBorders>
              <w:bottom w:val="single" w:sz="8" w:color="auto"/>
            </w:tcBorders>
          </w:tcPr>
          <w:p>
            <w:pPr>
              <w:ind w:left="100"/>
              <w:spacing w:after="0" w:line="244" w:lineRule="exact"/>
              <w:rPr>
                <w:sz w:val="20"/>
                <w:szCs w:val="20"/>
                <w:color w:val="auto"/>
              </w:rPr>
            </w:pPr>
            <w:r>
              <w:rPr>
                <w:rFonts w:ascii="Times New Roman" w:cs="Times New Roman" w:eastAsia="Times New Roman" w:hAnsi="Times New Roman"/>
                <w:sz w:val="22"/>
                <w:szCs w:val="22"/>
                <w:b w:val="1"/>
                <w:bCs w:val="1"/>
                <w:color w:val="auto"/>
              </w:rPr>
              <w:t>dmovie</w:t>
            </w:r>
          </w:p>
        </w:tc>
        <w:tc>
          <w:tcPr>
            <w:tcW w:w="168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0.0001**</w:t>
            </w:r>
          </w:p>
        </w:tc>
        <w:tc>
          <w:tcPr>
            <w:tcW w:w="152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0.0001*</w:t>
            </w:r>
          </w:p>
        </w:tc>
        <w:tc>
          <w:tcPr>
            <w:tcW w:w="156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0.0001*</w:t>
            </w:r>
          </w:p>
        </w:tc>
        <w:tc>
          <w:tcPr>
            <w:tcW w:w="154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rPr>
              <w:t>0.0001*</w:t>
            </w:r>
          </w:p>
        </w:tc>
        <w:tc>
          <w:tcPr>
            <w:tcW w:w="1540" w:type="dxa"/>
            <w:vAlign w:val="bottom"/>
            <w:tcBorders>
              <w:bottom w:val="single" w:sz="8" w:color="auto"/>
            </w:tcBorders>
          </w:tcPr>
          <w:p>
            <w:pPr>
              <w:jc w:val="center"/>
              <w:spacing w:after="0" w:line="241" w:lineRule="exact"/>
              <w:rPr>
                <w:sz w:val="20"/>
                <w:szCs w:val="20"/>
                <w:color w:val="auto"/>
              </w:rPr>
            </w:pPr>
            <w:r>
              <w:rPr>
                <w:rFonts w:ascii="Times New Roman" w:cs="Times New Roman" w:eastAsia="Times New Roman" w:hAnsi="Times New Roman"/>
                <w:sz w:val="22"/>
                <w:szCs w:val="22"/>
                <w:color w:val="auto"/>
                <w:w w:val="97"/>
              </w:rPr>
              <w:t>0.0001*</w:t>
            </w:r>
          </w:p>
        </w:tc>
      </w:tr>
      <w:tr>
        <w:trPr>
          <w:trHeight w:val="240"/>
        </w:trPr>
        <w:tc>
          <w:tcPr>
            <w:tcW w:w="20" w:type="dxa"/>
            <w:vAlign w:val="bottom"/>
            <w:tcBorders>
              <w:bottom w:val="single" w:sz="8" w:color="auto"/>
            </w:tcBorders>
          </w:tcPr>
          <w:p>
            <w:pPr>
              <w:spacing w:after="0"/>
              <w:rPr>
                <w:sz w:val="20"/>
                <w:szCs w:val="20"/>
                <w:color w:val="auto"/>
              </w:rPr>
            </w:pPr>
          </w:p>
        </w:tc>
        <w:tc>
          <w:tcPr>
            <w:tcW w:w="1440" w:type="dxa"/>
            <w:vAlign w:val="bottom"/>
            <w:tcBorders>
              <w:bottom w:val="single" w:sz="8" w:color="auto"/>
            </w:tcBorders>
          </w:tcPr>
          <w:p>
            <w:pPr>
              <w:spacing w:after="0"/>
              <w:rPr>
                <w:sz w:val="20"/>
                <w:szCs w:val="20"/>
                <w:color w:val="auto"/>
              </w:rPr>
            </w:pPr>
          </w:p>
        </w:tc>
        <w:tc>
          <w:tcPr>
            <w:tcW w:w="168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(0.0000)</w:t>
            </w:r>
          </w:p>
        </w:tc>
        <w:tc>
          <w:tcPr>
            <w:tcW w:w="152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8"/>
              </w:rPr>
              <w:t>(0.0000)</w:t>
            </w:r>
          </w:p>
        </w:tc>
        <w:tc>
          <w:tcPr>
            <w:tcW w:w="156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(0.0000)</w:t>
            </w:r>
          </w:p>
        </w:tc>
        <w:tc>
          <w:tcPr>
            <w:tcW w:w="154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rPr>
              <w:t>(0.0000)</w:t>
            </w:r>
          </w:p>
        </w:tc>
        <w:tc>
          <w:tcPr>
            <w:tcW w:w="1540" w:type="dxa"/>
            <w:vAlign w:val="bottom"/>
            <w:tcBorders>
              <w:bottom w:val="single" w:sz="8" w:color="auto"/>
            </w:tcBorders>
          </w:tcPr>
          <w:p>
            <w:pPr>
              <w:jc w:val="center"/>
              <w:spacing w:after="0" w:line="240" w:lineRule="exact"/>
              <w:rPr>
                <w:sz w:val="20"/>
                <w:szCs w:val="20"/>
                <w:color w:val="auto"/>
              </w:rPr>
            </w:pPr>
            <w:r>
              <w:rPr>
                <w:rFonts w:ascii="Times New Roman" w:cs="Times New Roman" w:eastAsia="Times New Roman" w:hAnsi="Times New Roman"/>
                <w:sz w:val="22"/>
                <w:szCs w:val="22"/>
                <w:color w:val="auto"/>
                <w:w w:val="98"/>
              </w:rPr>
              <w:t>(0.0000)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449580</wp:posOffset>
            </wp:positionV>
            <wp:extent cx="5798820" cy="635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320"/>
          </w:cols>
          <w:pgMar w:left="1380" w:top="562" w:right="120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39" w:lineRule="exact"/>
        <w:rPr>
          <w:sz w:val="20"/>
          <w:szCs w:val="20"/>
          <w:color w:val="auto"/>
        </w:rPr>
      </w:pPr>
    </w:p>
    <w:p>
      <w:pPr>
        <w:jc w:val="center"/>
        <w:ind w:right="160"/>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320"/>
          </w:cols>
          <w:pgMar w:left="1380" w:top="562" w:right="1206" w:bottom="0"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229"/>
        </w:trPr>
        <w:tc>
          <w:tcPr>
            <w:tcW w:w="40" w:type="dxa"/>
            <w:vAlign w:val="bottom"/>
          </w:tcPr>
          <w:p>
            <w:pPr>
              <w:spacing w:after="0"/>
              <w:rPr>
                <w:sz w:val="19"/>
                <w:szCs w:val="19"/>
                <w:color w:val="auto"/>
              </w:rPr>
            </w:pPr>
          </w:p>
        </w:tc>
        <w:tc>
          <w:tcPr>
            <w:tcW w:w="292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119</w:t>
            </w:r>
          </w:p>
        </w:tc>
        <w:tc>
          <w:tcPr>
            <w:tcW w:w="180" w:type="dxa"/>
            <w:vAlign w:val="bottom"/>
          </w:tcPr>
          <w:p>
            <w:pPr>
              <w:spacing w:after="0"/>
              <w:rPr>
                <w:sz w:val="19"/>
                <w:szCs w:val="19"/>
                <w:color w:val="auto"/>
              </w:rPr>
            </w:pPr>
          </w:p>
        </w:tc>
      </w:tr>
      <w:tr>
        <w:trPr>
          <w:trHeight w:val="230"/>
        </w:trPr>
        <w:tc>
          <w:tcPr>
            <w:tcW w:w="40" w:type="dxa"/>
            <w:vAlign w:val="bottom"/>
          </w:tcPr>
          <w:p>
            <w:pPr>
              <w:spacing w:after="0"/>
              <w:rPr>
                <w:sz w:val="20"/>
                <w:szCs w:val="20"/>
                <w:color w:val="auto"/>
              </w:rPr>
            </w:pPr>
          </w:p>
        </w:tc>
        <w:tc>
          <w:tcPr>
            <w:tcW w:w="2920" w:type="dxa"/>
            <w:vAlign w:val="bottom"/>
          </w:tcPr>
          <w:p>
            <w:pPr>
              <w:ind w:left="12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c>
          <w:tcPr>
            <w:tcW w:w="180" w:type="dxa"/>
            <w:vAlign w:val="bottom"/>
          </w:tcPr>
          <w:p>
            <w:pPr>
              <w:spacing w:after="0"/>
              <w:rPr>
                <w:sz w:val="20"/>
                <w:szCs w:val="20"/>
                <w:color w:val="auto"/>
              </w:rPr>
            </w:pPr>
          </w:p>
        </w:tc>
      </w:tr>
      <w:tr>
        <w:trPr>
          <w:trHeight w:val="239"/>
        </w:trPr>
        <w:tc>
          <w:tcPr>
            <w:tcW w:w="40" w:type="dxa"/>
            <w:vAlign w:val="bottom"/>
            <w:tcBorders>
              <w:bottom w:val="single" w:sz="8" w:color="auto"/>
            </w:tcBorders>
          </w:tcPr>
          <w:p>
            <w:pPr>
              <w:spacing w:after="0"/>
              <w:rPr>
                <w:sz w:val="20"/>
                <w:szCs w:val="20"/>
                <w:color w:val="auto"/>
              </w:rPr>
            </w:pPr>
          </w:p>
        </w:tc>
        <w:tc>
          <w:tcPr>
            <w:tcW w:w="292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c>
          <w:tcPr>
            <w:tcW w:w="180" w:type="dxa"/>
            <w:vAlign w:val="bottom"/>
          </w:tcPr>
          <w:p>
            <w:pPr>
              <w:spacing w:after="0"/>
              <w:rPr>
                <w:sz w:val="20"/>
                <w:szCs w:val="20"/>
                <w:color w:val="auto"/>
              </w:rPr>
            </w:pPr>
          </w:p>
        </w:tc>
      </w:tr>
      <w:tr>
        <w:trPr>
          <w:trHeight w:val="279"/>
        </w:trPr>
        <w:tc>
          <w:tcPr>
            <w:tcW w:w="40" w:type="dxa"/>
            <w:vAlign w:val="bottom"/>
          </w:tcPr>
          <w:p>
            <w:pPr>
              <w:spacing w:after="0"/>
              <w:rPr>
                <w:sz w:val="24"/>
                <w:szCs w:val="24"/>
                <w:color w:val="auto"/>
              </w:rPr>
            </w:pPr>
          </w:p>
        </w:tc>
        <w:tc>
          <w:tcPr>
            <w:tcW w:w="2920" w:type="dxa"/>
            <w:vAlign w:val="bottom"/>
            <w:tcBorders>
              <w:bottom w:val="single" w:sz="8" w:color="auto"/>
            </w:tcBorders>
          </w:tcPr>
          <w:p>
            <w:pPr>
              <w:spacing w:after="0"/>
              <w:rPr>
                <w:sz w:val="24"/>
                <w:szCs w:val="24"/>
                <w:color w:val="auto"/>
              </w:rPr>
            </w:pPr>
          </w:p>
        </w:tc>
        <w:tc>
          <w:tcPr>
            <w:tcW w:w="6180" w:type="dxa"/>
            <w:vAlign w:val="bottom"/>
            <w:tcBorders>
              <w:bottom w:val="single" w:sz="8" w:color="auto"/>
            </w:tcBorders>
          </w:tcPr>
          <w:p>
            <w:pPr>
              <w:spacing w:after="0"/>
              <w:rPr>
                <w:sz w:val="24"/>
                <w:szCs w:val="24"/>
                <w:color w:val="auto"/>
              </w:rPr>
            </w:pPr>
          </w:p>
        </w:tc>
        <w:tc>
          <w:tcPr>
            <w:tcW w:w="180" w:type="dxa"/>
            <w:vAlign w:val="bottom"/>
            <w:tcBorders>
              <w:bottom w:val="single" w:sz="8" w:color="auto"/>
            </w:tcBorders>
          </w:tcPr>
          <w:p>
            <w:pPr>
              <w:spacing w:after="0"/>
              <w:rPr>
                <w:sz w:val="24"/>
                <w:szCs w:val="24"/>
                <w:color w:val="auto"/>
              </w:rPr>
            </w:pPr>
          </w:p>
        </w:tc>
      </w:tr>
      <w:tr>
        <w:trPr>
          <w:trHeight w:val="242"/>
        </w:trPr>
        <w:tc>
          <w:tcPr>
            <w:tcW w:w="40" w:type="dxa"/>
            <w:vAlign w:val="bottom"/>
          </w:tcPr>
          <w:p>
            <w:pPr>
              <w:spacing w:after="0"/>
              <w:rPr>
                <w:sz w:val="21"/>
                <w:szCs w:val="21"/>
                <w:color w:val="auto"/>
              </w:rPr>
            </w:pPr>
          </w:p>
        </w:tc>
        <w:tc>
          <w:tcPr>
            <w:tcW w:w="2920" w:type="dxa"/>
            <w:vAlign w:val="bottom"/>
            <w:tcBorders>
              <w:bottom w:val="single" w:sz="8" w:color="auto"/>
            </w:tcBorders>
          </w:tcPr>
          <w:p>
            <w:pPr>
              <w:spacing w:after="0"/>
              <w:rPr>
                <w:sz w:val="21"/>
                <w:szCs w:val="21"/>
                <w:color w:val="auto"/>
              </w:rPr>
            </w:pPr>
          </w:p>
        </w:tc>
        <w:tc>
          <w:tcPr>
            <w:tcW w:w="6180" w:type="dxa"/>
            <w:vAlign w:val="bottom"/>
            <w:tcBorders>
              <w:bottom w:val="single" w:sz="8" w:color="auto"/>
            </w:tcBorders>
          </w:tcPr>
          <w:p>
            <w:pPr>
              <w:spacing w:after="0"/>
              <w:rPr>
                <w:sz w:val="21"/>
                <w:szCs w:val="21"/>
                <w:color w:val="auto"/>
              </w:rPr>
            </w:pPr>
          </w:p>
        </w:tc>
        <w:tc>
          <w:tcPr>
            <w:tcW w:w="180" w:type="dxa"/>
            <w:vAlign w:val="bottom"/>
            <w:tcBorders>
              <w:bottom w:val="single" w:sz="8" w:color="auto"/>
            </w:tcBorders>
          </w:tcPr>
          <w:p>
            <w:pPr>
              <w:spacing w:after="0"/>
              <w:rPr>
                <w:sz w:val="21"/>
                <w:szCs w:val="21"/>
                <w:color w:val="auto"/>
              </w:rPr>
            </w:pPr>
          </w:p>
        </w:tc>
      </w:tr>
    </w:tbl>
    <w:p>
      <w:pPr>
        <w:spacing w:after="0" w:line="1" w:lineRule="exact"/>
        <w:rPr>
          <w:sz w:val="20"/>
          <w:szCs w:val="20"/>
          <w:color w:val="auto"/>
        </w:rPr>
      </w:pPr>
    </w:p>
    <w:tbl>
      <w:tblPr>
        <w:tblLayout w:type="fixed"/>
        <w:tblInd w:w="20" w:type="dxa"/>
        <w:tblCellMar>
          <w:top w:w="0" w:type="dxa"/>
          <w:left w:w="0" w:type="dxa"/>
          <w:bottom w:w="0" w:type="dxa"/>
          <w:right w:w="0" w:type="dxa"/>
        </w:tblCellMar>
      </w:tblPr>
      <w:tr>
        <w:trPr>
          <w:trHeight w:val="252"/>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50" w:lineRule="exact"/>
              <w:rPr>
                <w:sz w:val="20"/>
                <w:szCs w:val="20"/>
                <w:color w:val="auto"/>
              </w:rPr>
            </w:pPr>
            <w:r>
              <w:rPr>
                <w:rFonts w:ascii="Times New Roman" w:cs="Times New Roman" w:eastAsia="Times New Roman" w:hAnsi="Times New Roman"/>
                <w:sz w:val="22"/>
                <w:szCs w:val="22"/>
                <w:b w:val="1"/>
                <w:bCs w:val="1"/>
                <w:color w:val="auto"/>
              </w:rPr>
              <w:t>malls</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jc w:val="right"/>
              <w:ind w:right="110"/>
              <w:spacing w:after="0" w:line="244" w:lineRule="exact"/>
              <w:rPr>
                <w:sz w:val="20"/>
                <w:szCs w:val="20"/>
                <w:color w:val="auto"/>
              </w:rPr>
            </w:pPr>
            <w:r>
              <w:rPr>
                <w:rFonts w:ascii="Times New Roman" w:cs="Times New Roman" w:eastAsia="Times New Roman" w:hAnsi="Times New Roman"/>
                <w:sz w:val="22"/>
                <w:szCs w:val="22"/>
                <w:color w:val="auto"/>
              </w:rPr>
              <w:t>0.0949**</w:t>
            </w:r>
          </w:p>
        </w:tc>
        <w:tc>
          <w:tcPr>
            <w:tcW w:w="1560" w:type="dxa"/>
            <w:vAlign w:val="bottom"/>
            <w:tcBorders>
              <w:bottom w:val="single" w:sz="8" w:color="auto"/>
            </w:tcBorders>
          </w:tcPr>
          <w:p>
            <w:pPr>
              <w:jc w:val="right"/>
              <w:ind w:right="130"/>
              <w:spacing w:after="0" w:line="244" w:lineRule="exact"/>
              <w:rPr>
                <w:sz w:val="20"/>
                <w:szCs w:val="20"/>
                <w:color w:val="auto"/>
              </w:rPr>
            </w:pPr>
            <w:r>
              <w:rPr>
                <w:rFonts w:ascii="Times New Roman" w:cs="Times New Roman" w:eastAsia="Times New Roman" w:hAnsi="Times New Roman"/>
                <w:sz w:val="22"/>
                <w:szCs w:val="22"/>
                <w:color w:val="auto"/>
              </w:rPr>
              <w:t>0.0920**</w:t>
            </w:r>
          </w:p>
        </w:tc>
        <w:tc>
          <w:tcPr>
            <w:tcW w:w="1540" w:type="dxa"/>
            <w:vAlign w:val="bottom"/>
            <w:tcBorders>
              <w:bottom w:val="single" w:sz="8" w:color="auto"/>
            </w:tcBorders>
          </w:tcPr>
          <w:p>
            <w:pPr>
              <w:jc w:val="right"/>
              <w:ind w:right="130"/>
              <w:spacing w:after="0" w:line="244" w:lineRule="exact"/>
              <w:rPr>
                <w:sz w:val="20"/>
                <w:szCs w:val="20"/>
                <w:color w:val="auto"/>
              </w:rPr>
            </w:pPr>
            <w:r>
              <w:rPr>
                <w:rFonts w:ascii="Times New Roman" w:cs="Times New Roman" w:eastAsia="Times New Roman" w:hAnsi="Times New Roman"/>
                <w:sz w:val="22"/>
                <w:szCs w:val="22"/>
                <w:color w:val="auto"/>
              </w:rPr>
              <w:t>0.0911**</w:t>
            </w:r>
          </w:p>
        </w:tc>
        <w:tc>
          <w:tcPr>
            <w:tcW w:w="1560" w:type="dxa"/>
            <w:vAlign w:val="bottom"/>
            <w:tcBorders>
              <w:bottom w:val="single" w:sz="8" w:color="auto"/>
            </w:tcBorders>
          </w:tcPr>
          <w:p>
            <w:pPr>
              <w:jc w:val="right"/>
              <w:ind w:right="130"/>
              <w:spacing w:after="0" w:line="244" w:lineRule="exact"/>
              <w:rPr>
                <w:sz w:val="20"/>
                <w:szCs w:val="20"/>
                <w:color w:val="auto"/>
              </w:rPr>
            </w:pPr>
            <w:r>
              <w:rPr>
                <w:rFonts w:ascii="Times New Roman" w:cs="Times New Roman" w:eastAsia="Times New Roman" w:hAnsi="Times New Roman"/>
                <w:sz w:val="22"/>
                <w:szCs w:val="22"/>
                <w:color w:val="auto"/>
              </w:rPr>
              <w:t>0.0907**</w:t>
            </w:r>
          </w:p>
        </w:tc>
        <w:tc>
          <w:tcPr>
            <w:tcW w:w="1660" w:type="dxa"/>
            <w:vAlign w:val="bottom"/>
            <w:tcBorders>
              <w:bottom w:val="single" w:sz="8" w:color="auto"/>
            </w:tcBorders>
          </w:tcPr>
          <w:p>
            <w:pPr>
              <w:jc w:val="right"/>
              <w:ind w:right="250"/>
              <w:spacing w:after="0" w:line="244" w:lineRule="exact"/>
              <w:rPr>
                <w:sz w:val="20"/>
                <w:szCs w:val="20"/>
                <w:color w:val="auto"/>
              </w:rPr>
            </w:pPr>
            <w:r>
              <w:rPr>
                <w:rFonts w:ascii="Times New Roman" w:cs="Times New Roman" w:eastAsia="Times New Roman" w:hAnsi="Times New Roman"/>
                <w:sz w:val="22"/>
                <w:szCs w:val="22"/>
                <w:color w:val="auto"/>
              </w:rPr>
              <w:t>0.0909**</w:t>
            </w:r>
          </w:p>
        </w:tc>
      </w:tr>
      <w:tr>
        <w:trPr>
          <w:trHeight w:val="244"/>
        </w:trPr>
        <w:tc>
          <w:tcPr>
            <w:tcW w:w="20" w:type="dxa"/>
            <w:vAlign w:val="bottom"/>
            <w:tcBorders>
              <w:bottom w:val="single" w:sz="8" w:color="auto"/>
            </w:tcBorders>
          </w:tcPr>
          <w:p>
            <w:pPr>
              <w:spacing w:after="0"/>
              <w:rPr>
                <w:sz w:val="21"/>
                <w:szCs w:val="21"/>
                <w:color w:val="auto"/>
              </w:rPr>
            </w:pPr>
          </w:p>
        </w:tc>
        <w:tc>
          <w:tcPr>
            <w:tcW w:w="124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jc w:val="right"/>
              <w:ind w:right="150"/>
              <w:spacing w:after="0" w:line="241" w:lineRule="exact"/>
              <w:rPr>
                <w:sz w:val="20"/>
                <w:szCs w:val="20"/>
                <w:color w:val="auto"/>
              </w:rPr>
            </w:pPr>
            <w:r>
              <w:rPr>
                <w:rFonts w:ascii="Times New Roman" w:cs="Times New Roman" w:eastAsia="Times New Roman" w:hAnsi="Times New Roman"/>
                <w:sz w:val="22"/>
                <w:szCs w:val="22"/>
                <w:color w:val="auto"/>
              </w:rPr>
              <w:t>(0.0286)</w:t>
            </w:r>
          </w:p>
        </w:tc>
        <w:tc>
          <w:tcPr>
            <w:tcW w:w="1560" w:type="dxa"/>
            <w:vAlign w:val="bottom"/>
            <w:tcBorders>
              <w:bottom w:val="single" w:sz="8" w:color="auto"/>
            </w:tcBorders>
          </w:tcPr>
          <w:p>
            <w:pPr>
              <w:jc w:val="right"/>
              <w:ind w:right="170"/>
              <w:spacing w:after="0" w:line="241" w:lineRule="exact"/>
              <w:rPr>
                <w:sz w:val="20"/>
                <w:szCs w:val="20"/>
                <w:color w:val="auto"/>
              </w:rPr>
            </w:pPr>
            <w:r>
              <w:rPr>
                <w:rFonts w:ascii="Times New Roman" w:cs="Times New Roman" w:eastAsia="Times New Roman" w:hAnsi="Times New Roman"/>
                <w:sz w:val="22"/>
                <w:szCs w:val="22"/>
                <w:color w:val="auto"/>
              </w:rPr>
              <w:t>(0.0281)</w:t>
            </w:r>
          </w:p>
        </w:tc>
        <w:tc>
          <w:tcPr>
            <w:tcW w:w="1540" w:type="dxa"/>
            <w:vAlign w:val="bottom"/>
            <w:tcBorders>
              <w:bottom w:val="single" w:sz="8" w:color="auto"/>
            </w:tcBorders>
          </w:tcPr>
          <w:p>
            <w:pPr>
              <w:jc w:val="right"/>
              <w:ind w:right="150"/>
              <w:spacing w:after="0" w:line="241" w:lineRule="exact"/>
              <w:rPr>
                <w:sz w:val="20"/>
                <w:szCs w:val="20"/>
                <w:color w:val="auto"/>
              </w:rPr>
            </w:pPr>
            <w:r>
              <w:rPr>
                <w:rFonts w:ascii="Times New Roman" w:cs="Times New Roman" w:eastAsia="Times New Roman" w:hAnsi="Times New Roman"/>
                <w:sz w:val="22"/>
                <w:szCs w:val="22"/>
                <w:color w:val="auto"/>
              </w:rPr>
              <w:t>(0.0281)</w:t>
            </w:r>
          </w:p>
        </w:tc>
        <w:tc>
          <w:tcPr>
            <w:tcW w:w="1560" w:type="dxa"/>
            <w:vAlign w:val="bottom"/>
            <w:tcBorders>
              <w:bottom w:val="single" w:sz="8" w:color="auto"/>
            </w:tcBorders>
          </w:tcPr>
          <w:p>
            <w:pPr>
              <w:jc w:val="right"/>
              <w:ind w:right="170"/>
              <w:spacing w:after="0" w:line="241" w:lineRule="exact"/>
              <w:rPr>
                <w:sz w:val="20"/>
                <w:szCs w:val="20"/>
                <w:color w:val="auto"/>
              </w:rPr>
            </w:pPr>
            <w:r>
              <w:rPr>
                <w:rFonts w:ascii="Times New Roman" w:cs="Times New Roman" w:eastAsia="Times New Roman" w:hAnsi="Times New Roman"/>
                <w:sz w:val="22"/>
                <w:szCs w:val="22"/>
                <w:color w:val="auto"/>
              </w:rPr>
              <w:t>(0.0289)</w:t>
            </w:r>
          </w:p>
        </w:tc>
        <w:tc>
          <w:tcPr>
            <w:tcW w:w="1660" w:type="dxa"/>
            <w:vAlign w:val="bottom"/>
            <w:tcBorders>
              <w:bottom w:val="single" w:sz="8" w:color="auto"/>
            </w:tcBorders>
          </w:tcPr>
          <w:p>
            <w:pPr>
              <w:jc w:val="right"/>
              <w:ind w:right="330"/>
              <w:spacing w:after="0" w:line="241" w:lineRule="exact"/>
              <w:rPr>
                <w:sz w:val="20"/>
                <w:szCs w:val="20"/>
                <w:color w:val="auto"/>
              </w:rPr>
            </w:pPr>
            <w:r>
              <w:rPr>
                <w:rFonts w:ascii="Times New Roman" w:cs="Times New Roman" w:eastAsia="Times New Roman" w:hAnsi="Times New Roman"/>
                <w:sz w:val="22"/>
                <w:szCs w:val="22"/>
                <w:color w:val="auto"/>
              </w:rPr>
              <w:t>(0.282)</w:t>
            </w:r>
          </w:p>
        </w:tc>
      </w:tr>
      <w:tr>
        <w:trPr>
          <w:trHeight w:val="252"/>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50" w:lineRule="exact"/>
              <w:rPr>
                <w:sz w:val="20"/>
                <w:szCs w:val="20"/>
                <w:color w:val="auto"/>
              </w:rPr>
            </w:pPr>
            <w:r>
              <w:rPr>
                <w:rFonts w:ascii="Times New Roman" w:cs="Times New Roman" w:eastAsia="Times New Roman" w:hAnsi="Times New Roman"/>
                <w:sz w:val="22"/>
                <w:szCs w:val="22"/>
                <w:b w:val="1"/>
                <w:bCs w:val="1"/>
                <w:color w:val="auto"/>
              </w:rPr>
              <w:t>L1</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50" w:lineRule="exact"/>
              <w:rPr>
                <w:sz w:val="20"/>
                <w:szCs w:val="20"/>
                <w:color w:val="auto"/>
              </w:rPr>
            </w:pPr>
            <w:r>
              <w:rPr>
                <w:rFonts w:ascii="Times New Roman" w:cs="Times New Roman" w:eastAsia="Times New Roman" w:hAnsi="Times New Roman"/>
                <w:sz w:val="22"/>
                <w:szCs w:val="22"/>
                <w:b w:val="1"/>
                <w:bCs w:val="1"/>
                <w:color w:val="auto"/>
              </w:rPr>
              <w:t>0.4472***</w:t>
            </w:r>
          </w:p>
        </w:tc>
        <w:tc>
          <w:tcPr>
            <w:tcW w:w="1560" w:type="dxa"/>
            <w:vAlign w:val="bottom"/>
            <w:tcBorders>
              <w:bottom w:val="single" w:sz="8" w:color="auto"/>
            </w:tcBorders>
          </w:tcPr>
          <w:p>
            <w:pPr>
              <w:ind w:left="240"/>
              <w:spacing w:after="0" w:line="250" w:lineRule="exact"/>
              <w:rPr>
                <w:sz w:val="20"/>
                <w:szCs w:val="20"/>
                <w:color w:val="auto"/>
              </w:rPr>
            </w:pPr>
            <w:r>
              <w:rPr>
                <w:rFonts w:ascii="Times New Roman" w:cs="Times New Roman" w:eastAsia="Times New Roman" w:hAnsi="Times New Roman"/>
                <w:sz w:val="22"/>
                <w:szCs w:val="22"/>
                <w:b w:val="1"/>
                <w:bCs w:val="1"/>
                <w:color w:val="auto"/>
              </w:rPr>
              <w:t>0.4489***</w:t>
            </w:r>
          </w:p>
        </w:tc>
        <w:tc>
          <w:tcPr>
            <w:tcW w:w="1540" w:type="dxa"/>
            <w:vAlign w:val="bottom"/>
            <w:tcBorders>
              <w:bottom w:val="single" w:sz="8" w:color="auto"/>
            </w:tcBorders>
          </w:tcPr>
          <w:p>
            <w:pPr>
              <w:ind w:left="220"/>
              <w:spacing w:after="0" w:line="250" w:lineRule="exact"/>
              <w:rPr>
                <w:sz w:val="20"/>
                <w:szCs w:val="20"/>
                <w:color w:val="auto"/>
              </w:rPr>
            </w:pPr>
            <w:r>
              <w:rPr>
                <w:rFonts w:ascii="Times New Roman" w:cs="Times New Roman" w:eastAsia="Times New Roman" w:hAnsi="Times New Roman"/>
                <w:sz w:val="22"/>
                <w:szCs w:val="22"/>
                <w:b w:val="1"/>
                <w:bCs w:val="1"/>
                <w:color w:val="auto"/>
              </w:rPr>
              <w:t>0.4485***</w:t>
            </w:r>
          </w:p>
        </w:tc>
        <w:tc>
          <w:tcPr>
            <w:tcW w:w="1560" w:type="dxa"/>
            <w:vAlign w:val="bottom"/>
            <w:tcBorders>
              <w:bottom w:val="single" w:sz="8" w:color="auto"/>
            </w:tcBorders>
          </w:tcPr>
          <w:p>
            <w:pPr>
              <w:ind w:left="240"/>
              <w:spacing w:after="0" w:line="250" w:lineRule="exact"/>
              <w:rPr>
                <w:sz w:val="20"/>
                <w:szCs w:val="20"/>
                <w:color w:val="auto"/>
              </w:rPr>
            </w:pPr>
            <w:r>
              <w:rPr>
                <w:rFonts w:ascii="Times New Roman" w:cs="Times New Roman" w:eastAsia="Times New Roman" w:hAnsi="Times New Roman"/>
                <w:sz w:val="22"/>
                <w:szCs w:val="22"/>
                <w:b w:val="1"/>
                <w:bCs w:val="1"/>
                <w:color w:val="auto"/>
              </w:rPr>
              <w:t>0.4622***</w:t>
            </w:r>
          </w:p>
        </w:tc>
        <w:tc>
          <w:tcPr>
            <w:tcW w:w="1660" w:type="dxa"/>
            <w:vAlign w:val="bottom"/>
            <w:tcBorders>
              <w:bottom w:val="single" w:sz="8" w:color="auto"/>
            </w:tcBorders>
          </w:tcPr>
          <w:p>
            <w:pPr>
              <w:ind w:left="220"/>
              <w:spacing w:after="0" w:line="250" w:lineRule="exact"/>
              <w:rPr>
                <w:sz w:val="20"/>
                <w:szCs w:val="20"/>
                <w:color w:val="auto"/>
              </w:rPr>
            </w:pPr>
            <w:r>
              <w:rPr>
                <w:rFonts w:ascii="Times New Roman" w:cs="Times New Roman" w:eastAsia="Times New Roman" w:hAnsi="Times New Roman"/>
                <w:sz w:val="22"/>
                <w:szCs w:val="22"/>
                <w:b w:val="1"/>
                <w:bCs w:val="1"/>
                <w:color w:val="auto"/>
              </w:rPr>
              <w:t>0.4519***</w:t>
            </w:r>
          </w:p>
        </w:tc>
      </w:tr>
      <w:tr>
        <w:trPr>
          <w:trHeight w:val="240"/>
        </w:trPr>
        <w:tc>
          <w:tcPr>
            <w:tcW w:w="20" w:type="dxa"/>
            <w:vAlign w:val="bottom"/>
          </w:tcPr>
          <w:p>
            <w:pPr>
              <w:spacing w:after="0"/>
              <w:rPr>
                <w:sz w:val="20"/>
                <w:szCs w:val="20"/>
                <w:color w:val="auto"/>
              </w:rPr>
            </w:pPr>
          </w:p>
        </w:tc>
        <w:tc>
          <w:tcPr>
            <w:tcW w:w="124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1420" w:type="dxa"/>
            <w:vAlign w:val="bottom"/>
            <w:tcBorders>
              <w:bottom w:val="single" w:sz="8" w:color="auto"/>
            </w:tcBorders>
          </w:tcPr>
          <w:p>
            <w:pPr>
              <w:ind w:left="120"/>
              <w:spacing w:after="0" w:line="240" w:lineRule="exact"/>
              <w:rPr>
                <w:sz w:val="20"/>
                <w:szCs w:val="20"/>
                <w:color w:val="auto"/>
              </w:rPr>
            </w:pPr>
            <w:r>
              <w:rPr>
                <w:rFonts w:ascii="Times New Roman" w:cs="Times New Roman" w:eastAsia="Times New Roman" w:hAnsi="Times New Roman"/>
                <w:sz w:val="22"/>
                <w:szCs w:val="22"/>
                <w:color w:val="auto"/>
              </w:rPr>
              <w:t>(.0668)</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(.0674)</w:t>
            </w:r>
          </w:p>
        </w:tc>
        <w:tc>
          <w:tcPr>
            <w:tcW w:w="1540" w:type="dxa"/>
            <w:vAlign w:val="bottom"/>
            <w:tcBorders>
              <w:bottom w:val="single" w:sz="8" w:color="auto"/>
            </w:tcBorders>
          </w:tcPr>
          <w:p>
            <w:pPr>
              <w:ind w:left="220"/>
              <w:spacing w:after="0" w:line="240" w:lineRule="exact"/>
              <w:rPr>
                <w:sz w:val="20"/>
                <w:szCs w:val="20"/>
                <w:color w:val="auto"/>
              </w:rPr>
            </w:pPr>
            <w:r>
              <w:rPr>
                <w:rFonts w:ascii="Times New Roman" w:cs="Times New Roman" w:eastAsia="Times New Roman" w:hAnsi="Times New Roman"/>
                <w:sz w:val="22"/>
                <w:szCs w:val="22"/>
                <w:color w:val="auto"/>
              </w:rPr>
              <w:t>(0.0659)</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(0.0670)</w:t>
            </w:r>
          </w:p>
        </w:tc>
        <w:tc>
          <w:tcPr>
            <w:tcW w:w="1660" w:type="dxa"/>
            <w:vAlign w:val="bottom"/>
            <w:tcBorders>
              <w:bottom w:val="single" w:sz="8" w:color="auto"/>
            </w:tcBorders>
          </w:tcPr>
          <w:p>
            <w:pPr>
              <w:ind w:left="220"/>
              <w:spacing w:after="0" w:line="240" w:lineRule="exact"/>
              <w:rPr>
                <w:sz w:val="20"/>
                <w:szCs w:val="20"/>
                <w:color w:val="auto"/>
              </w:rPr>
            </w:pPr>
            <w:r>
              <w:rPr>
                <w:rFonts w:ascii="Times New Roman" w:cs="Times New Roman" w:eastAsia="Times New Roman" w:hAnsi="Times New Roman"/>
                <w:sz w:val="22"/>
                <w:szCs w:val="22"/>
                <w:color w:val="auto"/>
              </w:rPr>
              <w:t>(0.0644)</w:t>
            </w:r>
          </w:p>
        </w:tc>
      </w:tr>
      <w:tr>
        <w:trPr>
          <w:trHeight w:val="246"/>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44" w:lineRule="exact"/>
              <w:rPr>
                <w:sz w:val="20"/>
                <w:szCs w:val="20"/>
                <w:color w:val="auto"/>
              </w:rPr>
            </w:pPr>
            <w:r>
              <w:rPr>
                <w:rFonts w:ascii="Times New Roman" w:cs="Times New Roman" w:eastAsia="Times New Roman" w:hAnsi="Times New Roman"/>
                <w:sz w:val="22"/>
                <w:szCs w:val="22"/>
                <w:b w:val="1"/>
                <w:bCs w:val="1"/>
                <w:color w:val="auto"/>
              </w:rPr>
              <w:t>L2</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0.2236**</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0.2228**</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0.2230**</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0.2292**</w:t>
            </w:r>
          </w:p>
        </w:tc>
        <w:tc>
          <w:tcPr>
            <w:tcW w:w="166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0.2210</w:t>
            </w:r>
          </w:p>
        </w:tc>
      </w:tr>
      <w:tr>
        <w:trPr>
          <w:trHeight w:val="240"/>
        </w:trPr>
        <w:tc>
          <w:tcPr>
            <w:tcW w:w="20" w:type="dxa"/>
            <w:vAlign w:val="bottom"/>
            <w:tcBorders>
              <w:bottom w:val="single" w:sz="8" w:color="auto"/>
            </w:tcBorders>
          </w:tcPr>
          <w:p>
            <w:pPr>
              <w:spacing w:after="0"/>
              <w:rPr>
                <w:sz w:val="20"/>
                <w:szCs w:val="20"/>
                <w:color w:val="auto"/>
              </w:rPr>
            </w:pPr>
          </w:p>
        </w:tc>
        <w:tc>
          <w:tcPr>
            <w:tcW w:w="124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1420" w:type="dxa"/>
            <w:vAlign w:val="bottom"/>
            <w:tcBorders>
              <w:bottom w:val="single" w:sz="8" w:color="auto"/>
            </w:tcBorders>
          </w:tcPr>
          <w:p>
            <w:pPr>
              <w:ind w:left="120"/>
              <w:spacing w:after="0" w:line="240" w:lineRule="exact"/>
              <w:rPr>
                <w:sz w:val="20"/>
                <w:szCs w:val="20"/>
                <w:color w:val="auto"/>
              </w:rPr>
            </w:pPr>
            <w:r>
              <w:rPr>
                <w:rFonts w:ascii="Times New Roman" w:cs="Times New Roman" w:eastAsia="Times New Roman" w:hAnsi="Times New Roman"/>
                <w:sz w:val="22"/>
                <w:szCs w:val="22"/>
                <w:color w:val="auto"/>
              </w:rPr>
              <w:t>(0.0683)</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(0.0696)</w:t>
            </w:r>
          </w:p>
        </w:tc>
        <w:tc>
          <w:tcPr>
            <w:tcW w:w="1540" w:type="dxa"/>
            <w:vAlign w:val="bottom"/>
            <w:tcBorders>
              <w:bottom w:val="single" w:sz="8" w:color="auto"/>
            </w:tcBorders>
          </w:tcPr>
          <w:p>
            <w:pPr>
              <w:ind w:left="220"/>
              <w:spacing w:after="0" w:line="240" w:lineRule="exact"/>
              <w:rPr>
                <w:sz w:val="20"/>
                <w:szCs w:val="20"/>
                <w:color w:val="auto"/>
              </w:rPr>
            </w:pPr>
            <w:r>
              <w:rPr>
                <w:rFonts w:ascii="Times New Roman" w:cs="Times New Roman" w:eastAsia="Times New Roman" w:hAnsi="Times New Roman"/>
                <w:sz w:val="22"/>
                <w:szCs w:val="22"/>
                <w:color w:val="auto"/>
              </w:rPr>
              <w:t>(0.0697)</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(.0700)</w:t>
            </w:r>
          </w:p>
        </w:tc>
        <w:tc>
          <w:tcPr>
            <w:tcW w:w="1660" w:type="dxa"/>
            <w:vAlign w:val="bottom"/>
            <w:tcBorders>
              <w:bottom w:val="single" w:sz="8" w:color="auto"/>
            </w:tcBorders>
          </w:tcPr>
          <w:p>
            <w:pPr>
              <w:ind w:left="220"/>
              <w:spacing w:after="0" w:line="240" w:lineRule="exact"/>
              <w:rPr>
                <w:sz w:val="20"/>
                <w:szCs w:val="20"/>
                <w:color w:val="auto"/>
              </w:rPr>
            </w:pPr>
            <w:r>
              <w:rPr>
                <w:rFonts w:ascii="Times New Roman" w:cs="Times New Roman" w:eastAsia="Times New Roman" w:hAnsi="Times New Roman"/>
                <w:sz w:val="22"/>
                <w:szCs w:val="22"/>
                <w:color w:val="auto"/>
              </w:rPr>
              <w:t>(0.0611)</w:t>
            </w:r>
          </w:p>
        </w:tc>
      </w:tr>
      <w:tr>
        <w:trPr>
          <w:trHeight w:val="312"/>
        </w:trPr>
        <w:tc>
          <w:tcPr>
            <w:tcW w:w="20" w:type="dxa"/>
            <w:vAlign w:val="bottom"/>
          </w:tcPr>
          <w:p>
            <w:pPr>
              <w:spacing w:after="0"/>
              <w:rPr>
                <w:sz w:val="24"/>
                <w:szCs w:val="24"/>
                <w:color w:val="auto"/>
              </w:rPr>
            </w:pPr>
          </w:p>
        </w:tc>
        <w:tc>
          <w:tcPr>
            <w:tcW w:w="124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560" w:type="dxa"/>
            <w:vAlign w:val="bottom"/>
            <w:tcBorders>
              <w:bottom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c>
          <w:tcPr>
            <w:tcW w:w="1560" w:type="dxa"/>
            <w:vAlign w:val="bottom"/>
            <w:tcBorders>
              <w:bottom w:val="single" w:sz="8" w:color="auto"/>
            </w:tcBorders>
          </w:tcPr>
          <w:p>
            <w:pPr>
              <w:spacing w:after="0"/>
              <w:rPr>
                <w:sz w:val="24"/>
                <w:szCs w:val="24"/>
                <w:color w:val="auto"/>
              </w:rPr>
            </w:pPr>
          </w:p>
        </w:tc>
        <w:tc>
          <w:tcPr>
            <w:tcW w:w="1660" w:type="dxa"/>
            <w:vAlign w:val="bottom"/>
            <w:tcBorders>
              <w:bottom w:val="single" w:sz="8" w:color="auto"/>
            </w:tcBorders>
          </w:tcPr>
          <w:p>
            <w:pPr>
              <w:spacing w:after="0"/>
              <w:rPr>
                <w:sz w:val="24"/>
                <w:szCs w:val="24"/>
                <w:color w:val="auto"/>
              </w:rPr>
            </w:pPr>
          </w:p>
        </w:tc>
      </w:tr>
      <w:tr>
        <w:trPr>
          <w:trHeight w:val="242"/>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b w:val="1"/>
                <w:bCs w:val="1"/>
                <w:color w:val="auto"/>
              </w:rPr>
              <w:t>price</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b w:val="1"/>
                <w:bCs w:val="1"/>
                <w:color w:val="auto"/>
              </w:rPr>
              <w:t>0.0026</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b w:val="1"/>
                <w:bCs w:val="1"/>
                <w:color w:val="auto"/>
              </w:rPr>
              <w:t>0.0027</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b w:val="1"/>
                <w:bCs w:val="1"/>
                <w:color w:val="auto"/>
              </w:rPr>
              <w:t>0.0026</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b w:val="1"/>
                <w:bCs w:val="1"/>
                <w:color w:val="auto"/>
              </w:rPr>
              <w:t>0.0029</w:t>
            </w:r>
          </w:p>
        </w:tc>
        <w:tc>
          <w:tcPr>
            <w:tcW w:w="1660" w:type="dxa"/>
            <w:vAlign w:val="bottom"/>
            <w:tcBorders>
              <w:bottom w:val="single" w:sz="8" w:color="auto"/>
            </w:tcBorders>
          </w:tcPr>
          <w:p>
            <w:pPr>
              <w:spacing w:after="0"/>
              <w:rPr>
                <w:sz w:val="21"/>
                <w:szCs w:val="21"/>
                <w:color w:val="auto"/>
              </w:rPr>
            </w:pPr>
          </w:p>
        </w:tc>
      </w:tr>
      <w:tr>
        <w:trPr>
          <w:trHeight w:val="240"/>
        </w:trPr>
        <w:tc>
          <w:tcPr>
            <w:tcW w:w="20" w:type="dxa"/>
            <w:vAlign w:val="bottom"/>
          </w:tcPr>
          <w:p>
            <w:pPr>
              <w:spacing w:after="0"/>
              <w:rPr>
                <w:sz w:val="20"/>
                <w:szCs w:val="20"/>
                <w:color w:val="auto"/>
              </w:rPr>
            </w:pPr>
          </w:p>
        </w:tc>
        <w:tc>
          <w:tcPr>
            <w:tcW w:w="124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1420" w:type="dxa"/>
            <w:vAlign w:val="bottom"/>
            <w:tcBorders>
              <w:bottom w:val="single" w:sz="8" w:color="auto"/>
            </w:tcBorders>
          </w:tcPr>
          <w:p>
            <w:pPr>
              <w:ind w:left="120"/>
              <w:spacing w:after="0" w:line="240" w:lineRule="exact"/>
              <w:rPr>
                <w:sz w:val="20"/>
                <w:szCs w:val="20"/>
                <w:color w:val="auto"/>
              </w:rPr>
            </w:pPr>
            <w:r>
              <w:rPr>
                <w:rFonts w:ascii="Times New Roman" w:cs="Times New Roman" w:eastAsia="Times New Roman" w:hAnsi="Times New Roman"/>
                <w:sz w:val="22"/>
                <w:szCs w:val="22"/>
                <w:color w:val="auto"/>
              </w:rPr>
              <w:t>(0.0015)</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(0.0015)</w:t>
            </w:r>
          </w:p>
        </w:tc>
        <w:tc>
          <w:tcPr>
            <w:tcW w:w="1540" w:type="dxa"/>
            <w:vAlign w:val="bottom"/>
            <w:tcBorders>
              <w:bottom w:val="single" w:sz="8" w:color="auto"/>
            </w:tcBorders>
          </w:tcPr>
          <w:p>
            <w:pPr>
              <w:ind w:left="220"/>
              <w:spacing w:after="0" w:line="240" w:lineRule="exact"/>
              <w:rPr>
                <w:sz w:val="20"/>
                <w:szCs w:val="20"/>
                <w:color w:val="auto"/>
              </w:rPr>
            </w:pPr>
            <w:r>
              <w:rPr>
                <w:rFonts w:ascii="Times New Roman" w:cs="Times New Roman" w:eastAsia="Times New Roman" w:hAnsi="Times New Roman"/>
                <w:sz w:val="22"/>
                <w:szCs w:val="22"/>
                <w:color w:val="auto"/>
              </w:rPr>
              <w:t>(0.0015)</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(0.0015)</w:t>
            </w:r>
          </w:p>
        </w:tc>
        <w:tc>
          <w:tcPr>
            <w:tcW w:w="1660" w:type="dxa"/>
            <w:vAlign w:val="bottom"/>
            <w:tcBorders>
              <w:bottom w:val="single" w:sz="8" w:color="auto"/>
            </w:tcBorders>
          </w:tcPr>
          <w:p>
            <w:pPr>
              <w:spacing w:after="0"/>
              <w:rPr>
                <w:sz w:val="20"/>
                <w:szCs w:val="20"/>
                <w:color w:val="auto"/>
              </w:rPr>
            </w:pPr>
          </w:p>
        </w:tc>
      </w:tr>
      <w:tr>
        <w:trPr>
          <w:trHeight w:val="246"/>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44" w:lineRule="exact"/>
              <w:rPr>
                <w:sz w:val="20"/>
                <w:szCs w:val="20"/>
                <w:color w:val="auto"/>
              </w:rPr>
            </w:pPr>
            <w:r>
              <w:rPr>
                <w:rFonts w:ascii="Times New Roman" w:cs="Times New Roman" w:eastAsia="Times New Roman" w:hAnsi="Times New Roman"/>
                <w:sz w:val="22"/>
                <w:szCs w:val="22"/>
                <w:b w:val="1"/>
                <w:bCs w:val="1"/>
                <w:color w:val="auto"/>
              </w:rPr>
              <w:t>time</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0.0068</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0.0075</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0.0071</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0.0077</w:t>
            </w:r>
          </w:p>
        </w:tc>
        <w:tc>
          <w:tcPr>
            <w:tcW w:w="1660" w:type="dxa"/>
            <w:vAlign w:val="bottom"/>
            <w:tcBorders>
              <w:bottom w:val="single" w:sz="8" w:color="auto"/>
            </w:tcBorders>
          </w:tcPr>
          <w:p>
            <w:pPr>
              <w:spacing w:after="0"/>
              <w:rPr>
                <w:sz w:val="21"/>
                <w:szCs w:val="21"/>
                <w:color w:val="auto"/>
              </w:rPr>
            </w:pPr>
          </w:p>
        </w:tc>
      </w:tr>
      <w:tr>
        <w:trPr>
          <w:trHeight w:val="240"/>
        </w:trPr>
        <w:tc>
          <w:tcPr>
            <w:tcW w:w="20" w:type="dxa"/>
            <w:vAlign w:val="bottom"/>
          </w:tcPr>
          <w:p>
            <w:pPr>
              <w:spacing w:after="0"/>
              <w:rPr>
                <w:sz w:val="20"/>
                <w:szCs w:val="20"/>
                <w:color w:val="auto"/>
              </w:rPr>
            </w:pPr>
          </w:p>
        </w:tc>
        <w:tc>
          <w:tcPr>
            <w:tcW w:w="1240" w:type="dxa"/>
            <w:vAlign w:val="bottom"/>
            <w:tcBorders>
              <w:bottom w:val="single" w:sz="8" w:color="auto"/>
            </w:tcBorders>
          </w:tcPr>
          <w:p>
            <w:pPr>
              <w:spacing w:after="0"/>
              <w:rPr>
                <w:sz w:val="20"/>
                <w:szCs w:val="20"/>
                <w:color w:val="auto"/>
              </w:rPr>
            </w:pPr>
          </w:p>
        </w:tc>
        <w:tc>
          <w:tcPr>
            <w:tcW w:w="300" w:type="dxa"/>
            <w:vAlign w:val="bottom"/>
            <w:tcBorders>
              <w:bottom w:val="single" w:sz="8" w:color="auto"/>
            </w:tcBorders>
          </w:tcPr>
          <w:p>
            <w:pPr>
              <w:spacing w:after="0"/>
              <w:rPr>
                <w:sz w:val="20"/>
                <w:szCs w:val="20"/>
                <w:color w:val="auto"/>
              </w:rPr>
            </w:pPr>
          </w:p>
        </w:tc>
        <w:tc>
          <w:tcPr>
            <w:tcW w:w="1420" w:type="dxa"/>
            <w:vAlign w:val="bottom"/>
            <w:tcBorders>
              <w:bottom w:val="single" w:sz="8" w:color="auto"/>
            </w:tcBorders>
          </w:tcPr>
          <w:p>
            <w:pPr>
              <w:ind w:left="120"/>
              <w:spacing w:after="0" w:line="240" w:lineRule="exact"/>
              <w:rPr>
                <w:sz w:val="20"/>
                <w:szCs w:val="20"/>
                <w:color w:val="auto"/>
              </w:rPr>
            </w:pPr>
            <w:r>
              <w:rPr>
                <w:rFonts w:ascii="Times New Roman" w:cs="Times New Roman" w:eastAsia="Times New Roman" w:hAnsi="Times New Roman"/>
                <w:sz w:val="22"/>
                <w:szCs w:val="22"/>
                <w:color w:val="auto"/>
              </w:rPr>
              <w:t>(0.0069)</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(0.0068)</w:t>
            </w:r>
          </w:p>
        </w:tc>
        <w:tc>
          <w:tcPr>
            <w:tcW w:w="1540" w:type="dxa"/>
            <w:vAlign w:val="bottom"/>
            <w:tcBorders>
              <w:bottom w:val="single" w:sz="8" w:color="auto"/>
            </w:tcBorders>
          </w:tcPr>
          <w:p>
            <w:pPr>
              <w:ind w:left="220"/>
              <w:spacing w:after="0" w:line="240" w:lineRule="exact"/>
              <w:rPr>
                <w:sz w:val="20"/>
                <w:szCs w:val="20"/>
                <w:color w:val="auto"/>
              </w:rPr>
            </w:pPr>
            <w:r>
              <w:rPr>
                <w:rFonts w:ascii="Times New Roman" w:cs="Times New Roman" w:eastAsia="Times New Roman" w:hAnsi="Times New Roman"/>
                <w:sz w:val="22"/>
                <w:szCs w:val="22"/>
                <w:color w:val="auto"/>
              </w:rPr>
              <w:t>(0.0066)</w:t>
            </w:r>
          </w:p>
        </w:tc>
        <w:tc>
          <w:tcPr>
            <w:tcW w:w="1560" w:type="dxa"/>
            <w:vAlign w:val="bottom"/>
            <w:tcBorders>
              <w:bottom w:val="single" w:sz="8" w:color="auto"/>
            </w:tcBorders>
          </w:tcPr>
          <w:p>
            <w:pPr>
              <w:ind w:left="240"/>
              <w:spacing w:after="0" w:line="240" w:lineRule="exact"/>
              <w:rPr>
                <w:sz w:val="20"/>
                <w:szCs w:val="20"/>
                <w:color w:val="auto"/>
              </w:rPr>
            </w:pPr>
            <w:r>
              <w:rPr>
                <w:rFonts w:ascii="Times New Roman" w:cs="Times New Roman" w:eastAsia="Times New Roman" w:hAnsi="Times New Roman"/>
                <w:sz w:val="22"/>
                <w:szCs w:val="22"/>
                <w:color w:val="auto"/>
              </w:rPr>
              <w:t>(0.0069)</w:t>
            </w:r>
          </w:p>
        </w:tc>
        <w:tc>
          <w:tcPr>
            <w:tcW w:w="1660" w:type="dxa"/>
            <w:vAlign w:val="bottom"/>
            <w:tcBorders>
              <w:bottom w:val="single" w:sz="8" w:color="auto"/>
            </w:tcBorders>
          </w:tcPr>
          <w:p>
            <w:pPr>
              <w:spacing w:after="0"/>
              <w:rPr>
                <w:sz w:val="20"/>
                <w:szCs w:val="20"/>
                <w:color w:val="auto"/>
              </w:rPr>
            </w:pPr>
          </w:p>
        </w:tc>
      </w:tr>
      <w:tr>
        <w:trPr>
          <w:trHeight w:val="246"/>
        </w:trPr>
        <w:tc>
          <w:tcPr>
            <w:tcW w:w="20" w:type="dxa"/>
            <w:vAlign w:val="bottom"/>
          </w:tcPr>
          <w:p>
            <w:pPr>
              <w:spacing w:after="0"/>
              <w:rPr>
                <w:sz w:val="21"/>
                <w:szCs w:val="21"/>
                <w:color w:val="auto"/>
              </w:rPr>
            </w:pPr>
          </w:p>
        </w:tc>
        <w:tc>
          <w:tcPr>
            <w:tcW w:w="1540" w:type="dxa"/>
            <w:vAlign w:val="bottom"/>
            <w:tcBorders>
              <w:bottom w:val="single" w:sz="8" w:color="auto"/>
            </w:tcBorders>
            <w:gridSpan w:val="2"/>
          </w:tcPr>
          <w:p>
            <w:pPr>
              <w:ind w:left="100"/>
              <w:spacing w:after="0" w:line="244" w:lineRule="exact"/>
              <w:rPr>
                <w:sz w:val="20"/>
                <w:szCs w:val="20"/>
                <w:color w:val="auto"/>
              </w:rPr>
            </w:pPr>
            <w:r>
              <w:rPr>
                <w:rFonts w:ascii="Times New Roman" w:cs="Times New Roman" w:eastAsia="Times New Roman" w:hAnsi="Times New Roman"/>
                <w:sz w:val="22"/>
                <w:szCs w:val="22"/>
                <w:b w:val="1"/>
                <w:bCs w:val="1"/>
                <w:color w:val="auto"/>
              </w:rPr>
              <w:t>year dummies</w:t>
            </w: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YES</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YES</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YES</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YES</w:t>
            </w:r>
          </w:p>
        </w:tc>
        <w:tc>
          <w:tcPr>
            <w:tcW w:w="166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YES</w:t>
            </w:r>
          </w:p>
        </w:tc>
      </w:tr>
      <w:tr>
        <w:trPr>
          <w:trHeight w:val="244"/>
        </w:trPr>
        <w:tc>
          <w:tcPr>
            <w:tcW w:w="20" w:type="dxa"/>
            <w:vAlign w:val="bottom"/>
          </w:tcPr>
          <w:p>
            <w:pPr>
              <w:spacing w:after="0"/>
              <w:rPr>
                <w:sz w:val="21"/>
                <w:szCs w:val="21"/>
                <w:color w:val="auto"/>
              </w:rPr>
            </w:pPr>
          </w:p>
        </w:tc>
        <w:tc>
          <w:tcPr>
            <w:tcW w:w="1240" w:type="dxa"/>
            <w:vAlign w:val="bottom"/>
            <w:tcBorders>
              <w:bottom w:val="single" w:sz="8" w:color="auto"/>
            </w:tcBorders>
          </w:tcPr>
          <w:p>
            <w:pPr>
              <w:spacing w:after="0"/>
              <w:rPr>
                <w:sz w:val="21"/>
                <w:szCs w:val="21"/>
                <w:color w:val="auto"/>
              </w:rPr>
            </w:pP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spacing w:after="0"/>
              <w:rPr>
                <w:sz w:val="21"/>
                <w:szCs w:val="21"/>
                <w:color w:val="auto"/>
              </w:rPr>
            </w:pPr>
          </w:p>
        </w:tc>
        <w:tc>
          <w:tcPr>
            <w:tcW w:w="1560" w:type="dxa"/>
            <w:vAlign w:val="bottom"/>
            <w:tcBorders>
              <w:bottom w:val="single" w:sz="8" w:color="auto"/>
            </w:tcBorders>
          </w:tcPr>
          <w:p>
            <w:pPr>
              <w:spacing w:after="0"/>
              <w:rPr>
                <w:sz w:val="21"/>
                <w:szCs w:val="21"/>
                <w:color w:val="auto"/>
              </w:rPr>
            </w:pPr>
          </w:p>
        </w:tc>
        <w:tc>
          <w:tcPr>
            <w:tcW w:w="1540" w:type="dxa"/>
            <w:vAlign w:val="bottom"/>
            <w:tcBorders>
              <w:bottom w:val="single" w:sz="8" w:color="auto"/>
            </w:tcBorders>
          </w:tcPr>
          <w:p>
            <w:pPr>
              <w:spacing w:after="0"/>
              <w:rPr>
                <w:sz w:val="21"/>
                <w:szCs w:val="21"/>
                <w:color w:val="auto"/>
              </w:rPr>
            </w:pPr>
          </w:p>
        </w:tc>
        <w:tc>
          <w:tcPr>
            <w:tcW w:w="1560" w:type="dxa"/>
            <w:vAlign w:val="bottom"/>
            <w:tcBorders>
              <w:bottom w:val="single" w:sz="8" w:color="auto"/>
            </w:tcBorders>
          </w:tcPr>
          <w:p>
            <w:pPr>
              <w:spacing w:after="0"/>
              <w:rPr>
                <w:sz w:val="21"/>
                <w:szCs w:val="21"/>
                <w:color w:val="auto"/>
              </w:rPr>
            </w:pPr>
          </w:p>
        </w:tc>
        <w:tc>
          <w:tcPr>
            <w:tcW w:w="1660" w:type="dxa"/>
            <w:vAlign w:val="bottom"/>
            <w:tcBorders>
              <w:bottom w:val="single" w:sz="8" w:color="auto"/>
            </w:tcBorders>
          </w:tcPr>
          <w:p>
            <w:pPr>
              <w:spacing w:after="0"/>
              <w:rPr>
                <w:sz w:val="21"/>
                <w:szCs w:val="21"/>
                <w:color w:val="auto"/>
              </w:rPr>
            </w:pPr>
          </w:p>
        </w:tc>
      </w:tr>
      <w:tr>
        <w:trPr>
          <w:trHeight w:val="242"/>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b w:val="1"/>
                <w:bCs w:val="1"/>
                <w:color w:val="auto"/>
              </w:rPr>
              <w:t># of obs.</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567</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567</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567</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567</w:t>
            </w:r>
          </w:p>
        </w:tc>
        <w:tc>
          <w:tcPr>
            <w:tcW w:w="166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567</w:t>
            </w:r>
          </w:p>
        </w:tc>
      </w:tr>
      <w:tr>
        <w:trPr>
          <w:trHeight w:val="243"/>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42" w:lineRule="exact"/>
              <w:rPr>
                <w:sz w:val="20"/>
                <w:szCs w:val="20"/>
                <w:color w:val="auto"/>
              </w:rPr>
            </w:pPr>
            <w:r>
              <w:rPr>
                <w:rFonts w:ascii="Times New Roman" w:cs="Times New Roman" w:eastAsia="Times New Roman" w:hAnsi="Times New Roman"/>
                <w:sz w:val="22"/>
                <w:szCs w:val="22"/>
                <w:b w:val="1"/>
                <w:bCs w:val="1"/>
                <w:color w:val="auto"/>
              </w:rPr>
              <w:t># of groups</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76</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76</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76</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76</w:t>
            </w:r>
          </w:p>
        </w:tc>
        <w:tc>
          <w:tcPr>
            <w:tcW w:w="166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76</w:t>
            </w:r>
          </w:p>
        </w:tc>
      </w:tr>
      <w:tr>
        <w:trPr>
          <w:trHeight w:val="241"/>
        </w:trPr>
        <w:tc>
          <w:tcPr>
            <w:tcW w:w="20" w:type="dxa"/>
            <w:vAlign w:val="bottom"/>
          </w:tcPr>
          <w:p>
            <w:pPr>
              <w:spacing w:after="0"/>
              <w:rPr>
                <w:sz w:val="20"/>
                <w:szCs w:val="20"/>
                <w:color w:val="auto"/>
              </w:rPr>
            </w:pPr>
          </w:p>
        </w:tc>
        <w:tc>
          <w:tcPr>
            <w:tcW w:w="1240" w:type="dxa"/>
            <w:vAlign w:val="bottom"/>
          </w:tcPr>
          <w:p>
            <w:pPr>
              <w:ind w:left="100"/>
              <w:spacing w:after="0" w:line="241" w:lineRule="exact"/>
              <w:rPr>
                <w:sz w:val="20"/>
                <w:szCs w:val="20"/>
                <w:color w:val="auto"/>
              </w:rPr>
            </w:pPr>
            <w:r>
              <w:rPr>
                <w:rFonts w:ascii="Times New Roman" w:cs="Times New Roman" w:eastAsia="Times New Roman" w:hAnsi="Times New Roman"/>
                <w:sz w:val="22"/>
                <w:szCs w:val="22"/>
                <w:b w:val="1"/>
                <w:bCs w:val="1"/>
                <w:color w:val="auto"/>
              </w:rPr>
              <w:t>#</w:t>
            </w:r>
          </w:p>
        </w:tc>
        <w:tc>
          <w:tcPr>
            <w:tcW w:w="300" w:type="dxa"/>
            <w:vAlign w:val="bottom"/>
          </w:tcPr>
          <w:p>
            <w:pPr>
              <w:ind w:left="20"/>
              <w:spacing w:after="0" w:line="241" w:lineRule="exact"/>
              <w:rPr>
                <w:sz w:val="20"/>
                <w:szCs w:val="20"/>
                <w:color w:val="auto"/>
              </w:rPr>
            </w:pPr>
            <w:r>
              <w:rPr>
                <w:rFonts w:ascii="Times New Roman" w:cs="Times New Roman" w:eastAsia="Times New Roman" w:hAnsi="Times New Roman"/>
                <w:sz w:val="22"/>
                <w:szCs w:val="22"/>
                <w:b w:val="1"/>
                <w:bCs w:val="1"/>
                <w:color w:val="auto"/>
              </w:rPr>
              <w:t>of</w:t>
            </w:r>
          </w:p>
        </w:tc>
        <w:tc>
          <w:tcPr>
            <w:tcW w:w="1420" w:type="dxa"/>
            <w:vAlign w:val="bottom"/>
          </w:tcPr>
          <w:p>
            <w:pPr>
              <w:ind w:left="120"/>
              <w:spacing w:after="0" w:line="241" w:lineRule="exact"/>
              <w:rPr>
                <w:sz w:val="20"/>
                <w:szCs w:val="20"/>
                <w:color w:val="auto"/>
              </w:rPr>
            </w:pPr>
            <w:r>
              <w:rPr>
                <w:rFonts w:ascii="Times New Roman" w:cs="Times New Roman" w:eastAsia="Times New Roman" w:hAnsi="Times New Roman"/>
                <w:sz w:val="22"/>
                <w:szCs w:val="22"/>
                <w:color w:val="auto"/>
              </w:rPr>
              <w:t>75</w:t>
            </w:r>
          </w:p>
        </w:tc>
        <w:tc>
          <w:tcPr>
            <w:tcW w:w="1560" w:type="dxa"/>
            <w:vAlign w:val="bottom"/>
          </w:tcPr>
          <w:p>
            <w:pPr>
              <w:ind w:left="240"/>
              <w:spacing w:after="0" w:line="241" w:lineRule="exact"/>
              <w:rPr>
                <w:sz w:val="20"/>
                <w:szCs w:val="20"/>
                <w:color w:val="auto"/>
              </w:rPr>
            </w:pPr>
            <w:r>
              <w:rPr>
                <w:rFonts w:ascii="Times New Roman" w:cs="Times New Roman" w:eastAsia="Times New Roman" w:hAnsi="Times New Roman"/>
                <w:sz w:val="22"/>
                <w:szCs w:val="22"/>
                <w:color w:val="auto"/>
              </w:rPr>
              <w:t>74</w:t>
            </w:r>
          </w:p>
        </w:tc>
        <w:tc>
          <w:tcPr>
            <w:tcW w:w="1540" w:type="dxa"/>
            <w:vAlign w:val="bottom"/>
          </w:tcPr>
          <w:p>
            <w:pPr>
              <w:ind w:left="220"/>
              <w:spacing w:after="0" w:line="241" w:lineRule="exact"/>
              <w:rPr>
                <w:sz w:val="20"/>
                <w:szCs w:val="20"/>
                <w:color w:val="auto"/>
              </w:rPr>
            </w:pPr>
            <w:r>
              <w:rPr>
                <w:rFonts w:ascii="Times New Roman" w:cs="Times New Roman" w:eastAsia="Times New Roman" w:hAnsi="Times New Roman"/>
                <w:sz w:val="22"/>
                <w:szCs w:val="22"/>
                <w:color w:val="auto"/>
              </w:rPr>
              <w:t>73</w:t>
            </w:r>
          </w:p>
        </w:tc>
        <w:tc>
          <w:tcPr>
            <w:tcW w:w="1560" w:type="dxa"/>
            <w:vAlign w:val="bottom"/>
          </w:tcPr>
          <w:p>
            <w:pPr>
              <w:ind w:left="240"/>
              <w:spacing w:after="0" w:line="241" w:lineRule="exact"/>
              <w:rPr>
                <w:sz w:val="20"/>
                <w:szCs w:val="20"/>
                <w:color w:val="auto"/>
              </w:rPr>
            </w:pPr>
            <w:r>
              <w:rPr>
                <w:rFonts w:ascii="Times New Roman" w:cs="Times New Roman" w:eastAsia="Times New Roman" w:hAnsi="Times New Roman"/>
                <w:sz w:val="22"/>
                <w:szCs w:val="22"/>
                <w:color w:val="auto"/>
              </w:rPr>
              <w:t>73</w:t>
            </w:r>
          </w:p>
        </w:tc>
        <w:tc>
          <w:tcPr>
            <w:tcW w:w="1660" w:type="dxa"/>
            <w:vAlign w:val="bottom"/>
          </w:tcPr>
          <w:p>
            <w:pPr>
              <w:ind w:left="220"/>
              <w:spacing w:after="0" w:line="241" w:lineRule="exact"/>
              <w:rPr>
                <w:sz w:val="20"/>
                <w:szCs w:val="20"/>
                <w:color w:val="auto"/>
              </w:rPr>
            </w:pPr>
            <w:r>
              <w:rPr>
                <w:rFonts w:ascii="Times New Roman" w:cs="Times New Roman" w:eastAsia="Times New Roman" w:hAnsi="Times New Roman"/>
                <w:sz w:val="22"/>
                <w:szCs w:val="22"/>
                <w:color w:val="auto"/>
              </w:rPr>
              <w:t>73</w:t>
            </w:r>
          </w:p>
        </w:tc>
      </w:tr>
      <w:tr>
        <w:trPr>
          <w:trHeight w:val="255"/>
        </w:trPr>
        <w:tc>
          <w:tcPr>
            <w:tcW w:w="20" w:type="dxa"/>
            <w:vAlign w:val="bottom"/>
          </w:tcPr>
          <w:p>
            <w:pPr>
              <w:spacing w:after="0"/>
              <w:rPr>
                <w:sz w:val="22"/>
                <w:szCs w:val="22"/>
                <w:color w:val="auto"/>
              </w:rPr>
            </w:pPr>
          </w:p>
        </w:tc>
        <w:tc>
          <w:tcPr>
            <w:tcW w:w="1240" w:type="dxa"/>
            <w:vAlign w:val="bottom"/>
            <w:tcBorders>
              <w:bottom w:val="single" w:sz="8" w:color="auto"/>
            </w:tcBorders>
          </w:tcPr>
          <w:p>
            <w:pPr>
              <w:ind w:left="100"/>
              <w:spacing w:after="0"/>
              <w:rPr>
                <w:sz w:val="20"/>
                <w:szCs w:val="20"/>
                <w:color w:val="auto"/>
              </w:rPr>
            </w:pPr>
            <w:r>
              <w:rPr>
                <w:rFonts w:ascii="Times New Roman" w:cs="Times New Roman" w:eastAsia="Times New Roman" w:hAnsi="Times New Roman"/>
                <w:sz w:val="22"/>
                <w:szCs w:val="22"/>
                <w:b w:val="1"/>
                <w:bCs w:val="1"/>
                <w:color w:val="auto"/>
                <w:w w:val="99"/>
              </w:rPr>
              <w:t>instruments</w:t>
            </w:r>
          </w:p>
        </w:tc>
        <w:tc>
          <w:tcPr>
            <w:tcW w:w="300" w:type="dxa"/>
            <w:vAlign w:val="bottom"/>
            <w:tcBorders>
              <w:bottom w:val="single" w:sz="8" w:color="auto"/>
            </w:tcBorders>
          </w:tcPr>
          <w:p>
            <w:pPr>
              <w:spacing w:after="0"/>
              <w:rPr>
                <w:sz w:val="22"/>
                <w:szCs w:val="22"/>
                <w:color w:val="auto"/>
              </w:rPr>
            </w:pPr>
          </w:p>
        </w:tc>
        <w:tc>
          <w:tcPr>
            <w:tcW w:w="1420" w:type="dxa"/>
            <w:vAlign w:val="bottom"/>
            <w:tcBorders>
              <w:bottom w:val="single" w:sz="8" w:color="auto"/>
            </w:tcBorders>
          </w:tcPr>
          <w:p>
            <w:pPr>
              <w:spacing w:after="0"/>
              <w:rPr>
                <w:sz w:val="22"/>
                <w:szCs w:val="22"/>
                <w:color w:val="auto"/>
              </w:rPr>
            </w:pPr>
          </w:p>
        </w:tc>
        <w:tc>
          <w:tcPr>
            <w:tcW w:w="1560" w:type="dxa"/>
            <w:vAlign w:val="bottom"/>
            <w:tcBorders>
              <w:bottom w:val="single" w:sz="8" w:color="auto"/>
            </w:tcBorders>
          </w:tcPr>
          <w:p>
            <w:pPr>
              <w:spacing w:after="0"/>
              <w:rPr>
                <w:sz w:val="22"/>
                <w:szCs w:val="22"/>
                <w:color w:val="auto"/>
              </w:rPr>
            </w:pPr>
          </w:p>
        </w:tc>
        <w:tc>
          <w:tcPr>
            <w:tcW w:w="1540" w:type="dxa"/>
            <w:vAlign w:val="bottom"/>
            <w:tcBorders>
              <w:bottom w:val="single" w:sz="8" w:color="auto"/>
            </w:tcBorders>
          </w:tcPr>
          <w:p>
            <w:pPr>
              <w:spacing w:after="0"/>
              <w:rPr>
                <w:sz w:val="22"/>
                <w:szCs w:val="22"/>
                <w:color w:val="auto"/>
              </w:rPr>
            </w:pPr>
          </w:p>
        </w:tc>
        <w:tc>
          <w:tcPr>
            <w:tcW w:w="1560" w:type="dxa"/>
            <w:vAlign w:val="bottom"/>
            <w:tcBorders>
              <w:bottom w:val="single" w:sz="8" w:color="auto"/>
            </w:tcBorders>
          </w:tcPr>
          <w:p>
            <w:pPr>
              <w:spacing w:after="0"/>
              <w:rPr>
                <w:sz w:val="22"/>
                <w:szCs w:val="22"/>
                <w:color w:val="auto"/>
              </w:rPr>
            </w:pPr>
          </w:p>
        </w:tc>
        <w:tc>
          <w:tcPr>
            <w:tcW w:w="1660" w:type="dxa"/>
            <w:vAlign w:val="bottom"/>
            <w:tcBorders>
              <w:bottom w:val="single" w:sz="8" w:color="auto"/>
            </w:tcBorders>
          </w:tcPr>
          <w:p>
            <w:pPr>
              <w:spacing w:after="0"/>
              <w:rPr>
                <w:sz w:val="22"/>
                <w:szCs w:val="22"/>
                <w:color w:val="auto"/>
              </w:rPr>
            </w:pPr>
          </w:p>
        </w:tc>
      </w:tr>
      <w:tr>
        <w:trPr>
          <w:trHeight w:val="242"/>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b w:val="1"/>
                <w:bCs w:val="1"/>
                <w:color w:val="auto"/>
              </w:rPr>
              <w:t>Hansen stat</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66.2098</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66.5791</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66.3296</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65.2889</w:t>
            </w:r>
          </w:p>
        </w:tc>
        <w:tc>
          <w:tcPr>
            <w:tcW w:w="166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65.2012</w:t>
            </w:r>
          </w:p>
        </w:tc>
      </w:tr>
      <w:tr>
        <w:trPr>
          <w:trHeight w:val="243"/>
        </w:trPr>
        <w:tc>
          <w:tcPr>
            <w:tcW w:w="20" w:type="dxa"/>
            <w:vAlign w:val="bottom"/>
          </w:tcPr>
          <w:p>
            <w:pPr>
              <w:spacing w:after="0"/>
              <w:rPr>
                <w:sz w:val="21"/>
                <w:szCs w:val="21"/>
                <w:color w:val="auto"/>
              </w:rPr>
            </w:pPr>
          </w:p>
        </w:tc>
        <w:tc>
          <w:tcPr>
            <w:tcW w:w="1240" w:type="dxa"/>
            <w:vAlign w:val="bottom"/>
            <w:tcBorders>
              <w:bottom w:val="single" w:sz="8" w:color="auto"/>
            </w:tcBorders>
          </w:tcPr>
          <w:p>
            <w:pPr>
              <w:ind w:left="100"/>
              <w:spacing w:after="0" w:line="241" w:lineRule="exact"/>
              <w:rPr>
                <w:sz w:val="20"/>
                <w:szCs w:val="20"/>
                <w:color w:val="auto"/>
              </w:rPr>
            </w:pPr>
            <w:r>
              <w:rPr>
                <w:rFonts w:ascii="Times New Roman" w:cs="Times New Roman" w:eastAsia="Times New Roman" w:hAnsi="Times New Roman"/>
                <w:sz w:val="22"/>
                <w:szCs w:val="22"/>
                <w:b w:val="1"/>
                <w:bCs w:val="1"/>
                <w:color w:val="auto"/>
              </w:rPr>
              <w:t>AR(1)</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-3.3551***</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-3.3526***</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-3.3569***</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-3.3522***</w:t>
            </w:r>
          </w:p>
        </w:tc>
        <w:tc>
          <w:tcPr>
            <w:tcW w:w="166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-3.3520***</w:t>
            </w:r>
          </w:p>
        </w:tc>
      </w:tr>
      <w:tr>
        <w:trPr>
          <w:trHeight w:val="244"/>
        </w:trPr>
        <w:tc>
          <w:tcPr>
            <w:tcW w:w="20" w:type="dxa"/>
            <w:vAlign w:val="bottom"/>
            <w:tcBorders>
              <w:bottom w:val="single" w:sz="8" w:color="auto"/>
            </w:tcBorders>
          </w:tcPr>
          <w:p>
            <w:pPr>
              <w:spacing w:after="0"/>
              <w:rPr>
                <w:sz w:val="21"/>
                <w:szCs w:val="21"/>
                <w:color w:val="auto"/>
              </w:rPr>
            </w:pPr>
          </w:p>
        </w:tc>
        <w:tc>
          <w:tcPr>
            <w:tcW w:w="1240" w:type="dxa"/>
            <w:vAlign w:val="bottom"/>
            <w:tcBorders>
              <w:bottom w:val="single" w:sz="8" w:color="auto"/>
            </w:tcBorders>
          </w:tcPr>
          <w:p>
            <w:pPr>
              <w:ind w:left="100"/>
              <w:spacing w:after="0" w:line="243" w:lineRule="exact"/>
              <w:rPr>
                <w:sz w:val="20"/>
                <w:szCs w:val="20"/>
                <w:color w:val="auto"/>
              </w:rPr>
            </w:pPr>
            <w:r>
              <w:rPr>
                <w:rFonts w:ascii="Times New Roman" w:cs="Times New Roman" w:eastAsia="Times New Roman" w:hAnsi="Times New Roman"/>
                <w:sz w:val="22"/>
                <w:szCs w:val="22"/>
                <w:b w:val="1"/>
                <w:bCs w:val="1"/>
                <w:color w:val="auto"/>
              </w:rPr>
              <w:t>AR(2)</w:t>
            </w:r>
          </w:p>
        </w:tc>
        <w:tc>
          <w:tcPr>
            <w:tcW w:w="300" w:type="dxa"/>
            <w:vAlign w:val="bottom"/>
            <w:tcBorders>
              <w:bottom w:val="single" w:sz="8" w:color="auto"/>
            </w:tcBorders>
          </w:tcPr>
          <w:p>
            <w:pPr>
              <w:spacing w:after="0"/>
              <w:rPr>
                <w:sz w:val="21"/>
                <w:szCs w:val="21"/>
                <w:color w:val="auto"/>
              </w:rPr>
            </w:pPr>
          </w:p>
        </w:tc>
        <w:tc>
          <w:tcPr>
            <w:tcW w:w="1420" w:type="dxa"/>
            <w:vAlign w:val="bottom"/>
            <w:tcBorders>
              <w:bottom w:val="single" w:sz="8" w:color="auto"/>
            </w:tcBorders>
          </w:tcPr>
          <w:p>
            <w:pPr>
              <w:ind w:left="120"/>
              <w:spacing w:after="0" w:line="241" w:lineRule="exact"/>
              <w:rPr>
                <w:sz w:val="20"/>
                <w:szCs w:val="20"/>
                <w:color w:val="auto"/>
              </w:rPr>
            </w:pPr>
            <w:r>
              <w:rPr>
                <w:rFonts w:ascii="Times New Roman" w:cs="Times New Roman" w:eastAsia="Times New Roman" w:hAnsi="Times New Roman"/>
                <w:sz w:val="22"/>
                <w:szCs w:val="22"/>
                <w:color w:val="auto"/>
              </w:rPr>
              <w:t>0.0801</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0.0760</w:t>
            </w:r>
          </w:p>
        </w:tc>
        <w:tc>
          <w:tcPr>
            <w:tcW w:w="154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0.0709</w:t>
            </w:r>
          </w:p>
        </w:tc>
        <w:tc>
          <w:tcPr>
            <w:tcW w:w="1560" w:type="dxa"/>
            <w:vAlign w:val="bottom"/>
            <w:tcBorders>
              <w:bottom w:val="single" w:sz="8" w:color="auto"/>
            </w:tcBorders>
          </w:tcPr>
          <w:p>
            <w:pPr>
              <w:ind w:left="240"/>
              <w:spacing w:after="0" w:line="241" w:lineRule="exact"/>
              <w:rPr>
                <w:sz w:val="20"/>
                <w:szCs w:val="20"/>
                <w:color w:val="auto"/>
              </w:rPr>
            </w:pPr>
            <w:r>
              <w:rPr>
                <w:rFonts w:ascii="Times New Roman" w:cs="Times New Roman" w:eastAsia="Times New Roman" w:hAnsi="Times New Roman"/>
                <w:sz w:val="22"/>
                <w:szCs w:val="22"/>
                <w:color w:val="auto"/>
              </w:rPr>
              <w:t>0.0093</w:t>
            </w:r>
          </w:p>
        </w:tc>
        <w:tc>
          <w:tcPr>
            <w:tcW w:w="1660" w:type="dxa"/>
            <w:vAlign w:val="bottom"/>
            <w:tcBorders>
              <w:bottom w:val="single" w:sz="8" w:color="auto"/>
            </w:tcBorders>
          </w:tcPr>
          <w:p>
            <w:pPr>
              <w:ind w:left="220"/>
              <w:spacing w:after="0" w:line="241" w:lineRule="exact"/>
              <w:rPr>
                <w:sz w:val="20"/>
                <w:szCs w:val="20"/>
                <w:color w:val="auto"/>
              </w:rPr>
            </w:pPr>
            <w:r>
              <w:rPr>
                <w:rFonts w:ascii="Times New Roman" w:cs="Times New Roman" w:eastAsia="Times New Roman" w:hAnsi="Times New Roman"/>
                <w:sz w:val="22"/>
                <w:szCs w:val="22"/>
                <w:color w:val="auto"/>
              </w:rPr>
              <w:t>0.0095</w:t>
            </w:r>
          </w:p>
        </w:tc>
      </w:tr>
    </w:tbl>
    <w:p>
      <w:pPr>
        <w:spacing w:after="0" w:line="108"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i w:val="1"/>
          <w:iCs w:val="1"/>
          <w:color w:val="212121"/>
        </w:rPr>
        <w:t>Source</w:t>
      </w:r>
      <w:r>
        <w:rPr>
          <w:rFonts w:ascii="Times New Roman" w:cs="Times New Roman" w:eastAsia="Times New Roman" w:hAnsi="Times New Roman"/>
          <w:sz w:val="24"/>
          <w:szCs w:val="24"/>
          <w:color w:val="212121"/>
        </w:rPr>
        <w:t>: Author’s own compilation</w:t>
      </w:r>
    </w:p>
    <w:p>
      <w:pPr>
        <w:spacing w:after="0" w:line="288" w:lineRule="exact"/>
        <w:rPr>
          <w:sz w:val="20"/>
          <w:szCs w:val="20"/>
          <w:color w:val="auto"/>
        </w:rPr>
      </w:pPr>
    </w:p>
    <w:p>
      <w:pPr>
        <w:jc w:val="both"/>
        <w:ind w:left="40" w:right="220" w:firstLine="708"/>
        <w:spacing w:after="0" w:line="184" w:lineRule="auto"/>
        <w:rPr>
          <w:sz w:val="20"/>
          <w:szCs w:val="20"/>
          <w:color w:val="auto"/>
        </w:rPr>
      </w:pPr>
      <w:r>
        <w:rPr>
          <w:rFonts w:ascii="Times New Roman" w:cs="Times New Roman" w:eastAsia="Times New Roman" w:hAnsi="Times New Roman"/>
          <w:sz w:val="21"/>
          <w:szCs w:val="21"/>
          <w:color w:val="212121"/>
        </w:rPr>
        <w:t xml:space="preserve">The results we get through the dynamic panel data estimation method is presented above. Test for serial autocorrelation of residuals, AR(1) and AR(2), confirm that moment conditions are valid. That is </w:t>
      </w:r>
      <w:r>
        <w:rPr>
          <w:rFonts w:ascii="Cambria Math" w:cs="Cambria Math" w:eastAsia="Cambria Math" w:hAnsi="Cambria Math"/>
          <w:sz w:val="30"/>
          <w:szCs w:val="30"/>
          <w:color w:val="212121"/>
          <w:vertAlign w:val="subscript"/>
        </w:rPr>
        <w:t xml:space="preserve">  ,  </w:t>
      </w:r>
      <w:r>
        <w:rPr>
          <w:rFonts w:ascii="Times New Roman" w:cs="Times New Roman" w:eastAsia="Times New Roman" w:hAnsi="Times New Roman"/>
          <w:sz w:val="21"/>
          <w:szCs w:val="21"/>
          <w:color w:val="212121"/>
        </w:rPr>
        <w:t xml:space="preserve"> is not serially correlated, since the difference of the residuals are characterized by a negative first-order serial correlation and no second-order serial correlation. In addition, Hansen statistics support that the overidentifying moment conditions are valid to have consistent estimates. We expected income, education level, number of college students and number of domestic movies to affect income in a positive way and price to affect negatively. In line with the literature, we find that income, education level and the number of college students affect the number of movie viewers positively. Domestic movies seem to affect number of viewers positively in Turkey as well.</w:t>
      </w:r>
    </w:p>
    <w:p>
      <w:pPr>
        <w:spacing w:after="0" w:line="19" w:lineRule="exact"/>
        <w:rPr>
          <w:sz w:val="20"/>
          <w:szCs w:val="20"/>
          <w:color w:val="auto"/>
        </w:rPr>
      </w:pPr>
    </w:p>
    <w:p>
      <w:pPr>
        <w:ind w:left="40" w:right="220" w:firstLine="708"/>
        <w:spacing w:after="0" w:line="239" w:lineRule="auto"/>
        <w:rPr>
          <w:rFonts w:ascii="Times New Roman" w:cs="Times New Roman" w:eastAsia="Times New Roman" w:hAnsi="Times New Roman"/>
          <w:sz w:val="24"/>
          <w:szCs w:val="24"/>
          <w:color w:val="212121"/>
        </w:rPr>
      </w:pPr>
      <w:r>
        <w:rPr>
          <w:rFonts w:ascii="Times New Roman" w:cs="Times New Roman" w:eastAsia="Times New Roman" w:hAnsi="Times New Roman"/>
          <w:sz w:val="24"/>
          <w:szCs w:val="24"/>
          <w:color w:val="212121"/>
        </w:rPr>
        <w:t xml:space="preserve">Even though it is not insignificant, the positive sign of price variable needs an explanation. We were expecting a negative sign for the effect of the price variable on the number of movie viewers (Moul, 2005). We consider two possible explanations for the positive sign considering local dynamics of Turkey. First, the campaigns which offer significant discounts on movie tickets. For example, the average reported price for a movie ticket in the biggest theater chain of Turkey “Cinemaximum” in 2018 is 22 TL. If you buy a menu in the fast food chain “Baydoner” you can buy the ticket only from 12 TL. </w:t>
      </w:r>
      <w:hyperlink r:id="rId25">
        <w:r>
          <w:rPr>
            <w:rFonts w:ascii="Times New Roman" w:cs="Times New Roman" w:eastAsia="Times New Roman" w:hAnsi="Times New Roman"/>
            <w:sz w:val="24"/>
            <w:szCs w:val="24"/>
            <w:color w:val="212121"/>
          </w:rPr>
          <w:t>(https://baydoner.com/kampanyalar/sinemakampanyasi,https://m.haberturk.com/yazarlar/ayse</w:t>
        </w:r>
      </w:hyperlink>
      <w:r>
        <w:rPr>
          <w:rFonts w:ascii="Times New Roman" w:cs="Times New Roman" w:eastAsia="Times New Roman" w:hAnsi="Times New Roman"/>
          <w:sz w:val="24"/>
          <w:szCs w:val="24"/>
          <w:color w:val="212121"/>
        </w:rPr>
        <w:t xml:space="preserve"> </w:t>
      </w:r>
      <w:hyperlink r:id="rId25">
        <w:r>
          <w:rPr>
            <w:rFonts w:ascii="Times New Roman" w:cs="Times New Roman" w:eastAsia="Times New Roman" w:hAnsi="Times New Roman"/>
            <w:sz w:val="24"/>
            <w:szCs w:val="24"/>
            <w:color w:val="212121"/>
          </w:rPr>
          <w:t xml:space="preserve">-ozek-karasu/2276851-patlamis-misirdan-cimicangaya) </w:t>
        </w:r>
      </w:hyperlink>
      <w:r>
        <w:rPr>
          <w:rFonts w:ascii="Times New Roman" w:cs="Times New Roman" w:eastAsia="Times New Roman" w:hAnsi="Times New Roman"/>
          <w:sz w:val="24"/>
          <w:szCs w:val="24"/>
          <w:color w:val="212121"/>
        </w:rPr>
        <w:t xml:space="preserve">There were too many complaints from the movie producers about these campaigns that finally their pressure on the theater operators leads to a settlement that all the campaigns on movie tickets are banned, starting from July 2019 </w:t>
      </w:r>
      <w:hyperlink r:id="rId26">
        <w:r>
          <w:rPr>
            <w:rFonts w:ascii="Times New Roman" w:cs="Times New Roman" w:eastAsia="Times New Roman" w:hAnsi="Times New Roman"/>
            <w:sz w:val="24"/>
            <w:szCs w:val="24"/>
            <w:color w:val="212121"/>
          </w:rPr>
          <w:t>(https://www.gazeteduvar.com.tr/sinema/2019/01/30/sinema-kanunu-resmi-gazetede-</w:t>
        </w:r>
      </w:hyperlink>
      <w:hyperlink r:id="rId26">
        <w:r>
          <w:rPr>
            <w:rFonts w:ascii="Times New Roman" w:cs="Times New Roman" w:eastAsia="Times New Roman" w:hAnsi="Times New Roman"/>
            <w:sz w:val="24"/>
            <w:szCs w:val="24"/>
            <w:color w:val="212121"/>
          </w:rPr>
          <w:t>yayimlandi/</w:t>
        </w:r>
      </w:hyperlink>
      <w:r>
        <w:rPr>
          <w:rFonts w:ascii="Times New Roman" w:cs="Times New Roman" w:eastAsia="Times New Roman" w:hAnsi="Times New Roman"/>
          <w:sz w:val="24"/>
          <w:szCs w:val="24"/>
          <w:color w:val="212121"/>
        </w:rPr>
        <w:t>). Operators don’t report the distribution of their revenues based on the sources. The second possible explanation is the dominance of the increasing demand of movie tickets over the increasing supply.</w:t>
      </w:r>
    </w:p>
    <w:p>
      <w:pPr>
        <w:spacing w:after="0" w:line="18" w:lineRule="exact"/>
        <w:rPr>
          <w:rFonts w:ascii="Times New Roman" w:cs="Times New Roman" w:eastAsia="Times New Roman" w:hAnsi="Times New Roman"/>
          <w:sz w:val="24"/>
          <w:szCs w:val="24"/>
          <w:color w:val="212121"/>
        </w:rPr>
      </w:pPr>
    </w:p>
    <w:p>
      <w:pPr>
        <w:ind w:left="40" w:right="220" w:firstLine="708"/>
        <w:spacing w:after="0" w:line="249" w:lineRule="auto"/>
        <w:rPr>
          <w:sz w:val="20"/>
          <w:szCs w:val="20"/>
          <w:color w:val="auto"/>
        </w:rPr>
      </w:pPr>
      <w:r>
        <w:rPr>
          <w:rFonts w:ascii="Times New Roman" w:cs="Times New Roman" w:eastAsia="Times New Roman" w:hAnsi="Times New Roman"/>
          <w:sz w:val="23"/>
          <w:szCs w:val="23"/>
          <w:color w:val="212121"/>
        </w:rPr>
        <w:t>As movie going is a social activity, significance of the lagged variables does not come as a surprise. The increase in the ratio of mall theaters over all theaters seems to explain nearly</w:t>
      </w:r>
    </w:p>
    <w:p>
      <w:pPr>
        <w:spacing w:after="0" w:line="20" w:lineRule="exact"/>
        <w:rPr>
          <w:rFonts w:ascii="Times New Roman" w:cs="Times New Roman" w:eastAsia="Times New Roman" w:hAnsi="Times New Roman"/>
          <w:sz w:val="24"/>
          <w:szCs w:val="24"/>
          <w:color w:val="212121"/>
        </w:rPr>
      </w:pPr>
      <w:r>
        <w:rPr>
          <w:rFonts w:ascii="Times New Roman" w:cs="Times New Roman" w:eastAsia="Times New Roman" w:hAnsi="Times New Roman"/>
          <w:sz w:val="24"/>
          <w:szCs w:val="24"/>
          <w:color w:val="212121"/>
        </w:rPr>
        <w:drawing>
          <wp:anchor simplePos="0" relativeHeight="251657728" behindDoc="1" locked="0" layoutInCell="0" allowOverlap="1">
            <wp:simplePos x="0" y="0"/>
            <wp:positionH relativeFrom="column">
              <wp:posOffset>5080</wp:posOffset>
            </wp:positionH>
            <wp:positionV relativeFrom="paragraph">
              <wp:posOffset>454025</wp:posOffset>
            </wp:positionV>
            <wp:extent cx="5798820" cy="63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320"/>
          </w:cols>
          <w:pgMar w:left="1380" w:top="562" w:right="1206" w:bottom="0" w:gutter="0" w:footer="0" w:header="0"/>
        </w:sectPr>
      </w:pPr>
    </w:p>
    <w:p>
      <w:pPr>
        <w:spacing w:after="0" w:line="200" w:lineRule="exact"/>
        <w:rPr>
          <w:rFonts w:ascii="Times New Roman" w:cs="Times New Roman" w:eastAsia="Times New Roman" w:hAnsi="Times New Roman"/>
          <w:sz w:val="24"/>
          <w:szCs w:val="24"/>
          <w:color w:val="212121"/>
        </w:rPr>
      </w:pPr>
    </w:p>
    <w:p>
      <w:pPr>
        <w:spacing w:after="0" w:line="200" w:lineRule="exact"/>
        <w:rPr>
          <w:rFonts w:ascii="Times New Roman" w:cs="Times New Roman" w:eastAsia="Times New Roman" w:hAnsi="Times New Roman"/>
          <w:sz w:val="24"/>
          <w:szCs w:val="24"/>
          <w:color w:val="212121"/>
        </w:rPr>
      </w:pPr>
    </w:p>
    <w:p>
      <w:pPr>
        <w:spacing w:after="0" w:line="346" w:lineRule="exact"/>
        <w:rPr>
          <w:rFonts w:ascii="Times New Roman" w:cs="Times New Roman" w:eastAsia="Times New Roman" w:hAnsi="Times New Roman"/>
          <w:sz w:val="24"/>
          <w:szCs w:val="24"/>
          <w:color w:val="212121"/>
        </w:rPr>
      </w:pPr>
    </w:p>
    <w:p>
      <w:pPr>
        <w:jc w:val="center"/>
        <w:ind w:right="160"/>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320"/>
          </w:cols>
          <w:pgMar w:left="1380" w:top="562" w:right="1206" w:bottom="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120</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40" w:right="40"/>
        <w:spacing w:after="0" w:line="239" w:lineRule="auto"/>
        <w:rPr>
          <w:sz w:val="20"/>
          <w:szCs w:val="20"/>
          <w:color w:val="auto"/>
        </w:rPr>
      </w:pPr>
      <w:r>
        <w:rPr>
          <w:rFonts w:ascii="Times New Roman" w:cs="Times New Roman" w:eastAsia="Times New Roman" w:hAnsi="Times New Roman"/>
          <w:sz w:val="24"/>
          <w:szCs w:val="24"/>
          <w:color w:val="212121"/>
        </w:rPr>
        <w:t>20% of the increase in the number of moviegoers in Turkey in the last 15 years. Education, the number of domestic movies, ratio of college students, and income come with expected signs the first two of four are also significant. In contrary to our initial expectations, having a lot of college students in a province does not seem to be a significant determinant of movie viewer ratio. However, when we include an interaction variable (education*university = eduuni) we observe its significance with a positive sign. Ratio of college students in a city is a significant determinant of movie viewing habit only if the overall education level of the province is high as well. The college students seem to interact with educated cities more. The income per capita increase in Turkey does not seem to play a significant role too. In the recent expansion of the sector, social factors seem to dominate economic improvements by their effects on the movie sector expansion.</w:t>
      </w:r>
    </w:p>
    <w:p>
      <w:pPr>
        <w:spacing w:after="0" w:line="367"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6. Conclusion</w:t>
      </w:r>
    </w:p>
    <w:p>
      <w:pPr>
        <w:spacing w:after="0" w:line="246" w:lineRule="exact"/>
        <w:rPr>
          <w:sz w:val="20"/>
          <w:szCs w:val="20"/>
          <w:color w:val="auto"/>
        </w:rPr>
      </w:pPr>
    </w:p>
    <w:p>
      <w:pPr>
        <w:jc w:val="both"/>
        <w:ind w:left="40" w:right="40" w:firstLine="708"/>
        <w:spacing w:after="0" w:line="236" w:lineRule="auto"/>
        <w:rPr>
          <w:sz w:val="20"/>
          <w:szCs w:val="20"/>
          <w:color w:val="auto"/>
        </w:rPr>
      </w:pPr>
      <w:r>
        <w:rPr>
          <w:rFonts w:ascii="Times New Roman" w:cs="Times New Roman" w:eastAsia="Times New Roman" w:hAnsi="Times New Roman"/>
          <w:sz w:val="24"/>
          <w:szCs w:val="24"/>
          <w:color w:val="212121"/>
        </w:rPr>
        <w:t>In this paper, we attempt to understand socio-economic background of enlargement in the movie theater industry by estimating a movie viewer equation through applying different econometric techniques.</w:t>
      </w:r>
    </w:p>
    <w:p>
      <w:pPr>
        <w:spacing w:after="0" w:line="1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For the estimation, provincial movie viewer to population and socio-economic data for the period of 2004-2018 are employed. Number of domestic movies, ratio of mall screens to all screens, education and the lagged dependent variable were identified as significant determinants of the enlargement in the number of movie viewers in Turkey.</w:t>
      </w:r>
    </w:p>
    <w:p>
      <w:pPr>
        <w:spacing w:after="0" w:line="14"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In the last 15 years, there is a huge increase in the number of movie viewers, and a huge rise in the number of college students, domestic movies produced, and we should note the importance of the recent mall boom on the expansion of the entire movie industry. An interesting finding that we obtain from the econometric analysis states that without the mall boom, the recent fast expansion in the movie sector in Turkey would not be possible.</w:t>
      </w:r>
    </w:p>
    <w:p>
      <w:pPr>
        <w:spacing w:after="0" w:line="17"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The mall boom seems to have a positive externality on the movie industry. In the paper, however, we also showed the effect of the mall boom on the movie theater industry, which is negative especially for the people who used to go to the movies in the city theaters. The closing of the city movie theaters leads to the destruction of the memories of people part of whom today are white-collar possessing a c</w:t>
      </w:r>
      <w:r>
        <w:rPr>
          <w:rFonts w:ascii="Times New Roman" w:cs="Times New Roman" w:eastAsia="Times New Roman" w:hAnsi="Times New Roman"/>
          <w:sz w:val="24"/>
          <w:szCs w:val="24"/>
          <w:color w:val="000000"/>
        </w:rPr>
        <w:t>ertain level of wealth.</w:t>
      </w:r>
    </w:p>
    <w:p>
      <w:pPr>
        <w:spacing w:after="0" w:line="17" w:lineRule="exact"/>
        <w:rPr>
          <w:sz w:val="20"/>
          <w:szCs w:val="20"/>
          <w:color w:val="auto"/>
        </w:rPr>
      </w:pPr>
    </w:p>
    <w:p>
      <w:pPr>
        <w:jc w:val="both"/>
        <w:ind w:left="40" w:right="40" w:firstLine="708"/>
        <w:spacing w:after="0" w:line="237" w:lineRule="auto"/>
        <w:rPr>
          <w:sz w:val="20"/>
          <w:szCs w:val="20"/>
          <w:color w:val="auto"/>
        </w:rPr>
      </w:pPr>
      <w:r>
        <w:rPr>
          <w:rFonts w:ascii="Times New Roman" w:cs="Times New Roman" w:eastAsia="Times New Roman" w:hAnsi="Times New Roman"/>
          <w:sz w:val="24"/>
          <w:szCs w:val="24"/>
          <w:color w:val="212121"/>
        </w:rPr>
        <w:t>In the estimation part, except the number of screens in the cities and malls, we used macro data provided by TurkStat. This limits the scope of our paper. A future research based on questionnaires, conducted by the authors, may eliminate the necessity of using dynamic GMM method in the estimation. This will provide a chance to understand the direct effect of cultural values on the movie-going behavior.</w:t>
      </w:r>
    </w:p>
    <w:p>
      <w:pPr>
        <w:spacing w:after="0" w:line="37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246" w:lineRule="exact"/>
        <w:rPr>
          <w:sz w:val="20"/>
          <w:szCs w:val="20"/>
          <w:color w:val="auto"/>
        </w:rPr>
      </w:pPr>
    </w:p>
    <w:p>
      <w:pPr>
        <w:jc w:val="both"/>
        <w:ind w:left="600" w:right="40" w:hanging="568"/>
        <w:spacing w:after="0" w:line="234" w:lineRule="auto"/>
        <w:rPr>
          <w:sz w:val="20"/>
          <w:szCs w:val="20"/>
          <w:color w:val="auto"/>
        </w:rPr>
      </w:pPr>
      <w:r>
        <w:rPr>
          <w:rFonts w:ascii="Times New Roman" w:cs="Times New Roman" w:eastAsia="Times New Roman" w:hAnsi="Times New Roman"/>
          <w:sz w:val="24"/>
          <w:szCs w:val="24"/>
          <w:color w:val="auto"/>
        </w:rPr>
        <w:t xml:space="preserve">Austin, B. A. (1986). Motivations for movie attendance. </w:t>
      </w:r>
      <w:r>
        <w:rPr>
          <w:rFonts w:ascii="Times New Roman" w:cs="Times New Roman" w:eastAsia="Times New Roman" w:hAnsi="Times New Roman"/>
          <w:sz w:val="24"/>
          <w:szCs w:val="24"/>
          <w:i w:val="1"/>
          <w:iCs w:val="1"/>
          <w:color w:val="auto"/>
        </w:rPr>
        <w:t>Communication Quarterly</w:t>
      </w:r>
      <w:r>
        <w:rPr>
          <w:rFonts w:ascii="Times New Roman" w:cs="Times New Roman" w:eastAsia="Times New Roman" w:hAnsi="Times New Roman"/>
          <w:sz w:val="24"/>
          <w:szCs w:val="24"/>
          <w:color w:val="auto"/>
        </w:rPr>
        <w:t>, 34(2), 115-126.</w:t>
      </w:r>
    </w:p>
    <w:p>
      <w:pPr>
        <w:spacing w:after="0" w:line="14" w:lineRule="exact"/>
        <w:rPr>
          <w:sz w:val="20"/>
          <w:szCs w:val="20"/>
          <w:color w:val="auto"/>
        </w:rPr>
      </w:pPr>
    </w:p>
    <w:p>
      <w:pPr>
        <w:jc w:val="both"/>
        <w:ind w:left="600" w:right="40" w:hanging="568"/>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Baydoner Website (2019) </w:t>
      </w:r>
      <w:r>
        <w:rPr>
          <w:rFonts w:ascii="Times New Roman" w:cs="Times New Roman" w:eastAsia="Times New Roman" w:hAnsi="Times New Roman"/>
          <w:sz w:val="24"/>
          <w:szCs w:val="24"/>
          <w:i w:val="1"/>
          <w:iCs w:val="1"/>
          <w:color w:val="auto"/>
        </w:rPr>
        <w:t>Sinema Kampanyası (In Turkish)</w:t>
      </w:r>
      <w:r>
        <w:rPr>
          <w:rFonts w:ascii="Times New Roman" w:cs="Times New Roman" w:eastAsia="Times New Roman" w:hAnsi="Times New Roman"/>
          <w:sz w:val="24"/>
          <w:szCs w:val="24"/>
          <w:color w:val="auto"/>
        </w:rPr>
        <w:t xml:space="preserve"> Retrieved 05.03.2019, from </w:t>
      </w:r>
      <w:hyperlink r:id="rId28">
        <w:r>
          <w:rPr>
            <w:rFonts w:ascii="Times New Roman" w:cs="Times New Roman" w:eastAsia="Times New Roman" w:hAnsi="Times New Roman"/>
            <w:sz w:val="24"/>
            <w:szCs w:val="24"/>
            <w:color w:val="auto"/>
          </w:rPr>
          <w:t>https://baydoner.com/kampanyalar/sinema-kampanyasi</w:t>
        </w:r>
      </w:hyperlink>
    </w:p>
    <w:p>
      <w:pPr>
        <w:spacing w:after="0" w:line="1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3"/>
          <w:szCs w:val="23"/>
          <w:color w:val="auto"/>
        </w:rPr>
        <w:t>Bloch, P. H., Ridgway, N. M., &amp; Dawson, S. A. (1994). The shopping mall as consumer habitat.</w:t>
      </w:r>
    </w:p>
    <w:p>
      <w:pPr>
        <w:jc w:val="center"/>
        <w:ind w:right="100"/>
        <w:spacing w:after="0"/>
        <w:rPr>
          <w:rFonts w:ascii="Times New Roman" w:cs="Times New Roman" w:eastAsia="Times New Roman" w:hAnsi="Times New Roman"/>
          <w:sz w:val="24"/>
          <w:szCs w:val="24"/>
          <w:i w:val="1"/>
          <w:iCs w:val="1"/>
          <w:color w:val="auto"/>
        </w:rPr>
      </w:pPr>
      <w:r>
        <w:rPr>
          <w:rFonts w:ascii="Times New Roman" w:cs="Times New Roman" w:eastAsia="Times New Roman" w:hAnsi="Times New Roman"/>
          <w:sz w:val="24"/>
          <w:szCs w:val="24"/>
          <w:i w:val="1"/>
          <w:iCs w:val="1"/>
          <w:color w:val="auto"/>
        </w:rPr>
        <w:t xml:space="preserve">Journal of Retailing, </w:t>
      </w:r>
      <w:r>
        <w:rPr>
          <w:rFonts w:ascii="Times New Roman" w:cs="Times New Roman" w:eastAsia="Times New Roman" w:hAnsi="Times New Roman"/>
          <w:sz w:val="24"/>
          <w:szCs w:val="24"/>
          <w:color w:val="auto"/>
        </w:rPr>
        <w:t xml:space="preserve">70(1), 23–42. </w:t>
      </w:r>
      <w:hyperlink r:id="rId29">
        <w:r>
          <w:rPr>
            <w:rFonts w:ascii="Times New Roman" w:cs="Times New Roman" w:eastAsia="Times New Roman" w:hAnsi="Times New Roman"/>
            <w:sz w:val="24"/>
            <w:szCs w:val="24"/>
            <w:color w:val="auto"/>
          </w:rPr>
          <w:t>http://doi.org/10.1016/0022-4359(94)90026-4</w:t>
        </w:r>
      </w:hyperlink>
    </w:p>
    <w:p>
      <w:pPr>
        <w:jc w:val="center"/>
        <w:spacing w:after="0"/>
        <w:rPr>
          <w:sz w:val="20"/>
          <w:szCs w:val="20"/>
          <w:color w:val="auto"/>
        </w:rPr>
      </w:pPr>
      <w:r>
        <w:rPr>
          <w:rFonts w:ascii="Times New Roman" w:cs="Times New Roman" w:eastAsia="Times New Roman" w:hAnsi="Times New Roman"/>
          <w:sz w:val="24"/>
          <w:szCs w:val="24"/>
          <w:color w:val="auto"/>
        </w:rPr>
        <w:t>Calderwood, C., Ackerman, P.L., &amp; Conklin, E.M. 2014. What else do college students “do”</w:t>
      </w:r>
    </w:p>
    <w:p>
      <w:pPr>
        <w:ind w:left="600"/>
        <w:spacing w:after="0" w:line="238" w:lineRule="auto"/>
        <w:rPr>
          <w:sz w:val="20"/>
          <w:szCs w:val="20"/>
          <w:color w:val="auto"/>
        </w:rPr>
      </w:pPr>
      <w:r>
        <w:rPr>
          <w:rFonts w:ascii="Times New Roman" w:cs="Times New Roman" w:eastAsia="Times New Roman" w:hAnsi="Times New Roman"/>
          <w:sz w:val="24"/>
          <w:szCs w:val="24"/>
          <w:color w:val="auto"/>
        </w:rPr>
        <w:t xml:space="preserve">while studying? An investigation of multitasking. </w:t>
      </w:r>
      <w:r>
        <w:rPr>
          <w:rFonts w:ascii="Times New Roman" w:cs="Times New Roman" w:eastAsia="Times New Roman" w:hAnsi="Times New Roman"/>
          <w:sz w:val="24"/>
          <w:szCs w:val="24"/>
          <w:i w:val="1"/>
          <w:iCs w:val="1"/>
          <w:color w:val="auto"/>
        </w:rPr>
        <w:t>Computers &amp; Education</w:t>
      </w:r>
      <w:r>
        <w:rPr>
          <w:rFonts w:ascii="Times New Roman" w:cs="Times New Roman" w:eastAsia="Times New Roman" w:hAnsi="Times New Roman"/>
          <w:sz w:val="24"/>
          <w:szCs w:val="24"/>
          <w:color w:val="auto"/>
        </w:rPr>
        <w:t>, 75: 19-29</w:t>
      </w:r>
    </w:p>
    <w:p>
      <w:pPr>
        <w:spacing w:after="0" w:line="1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Craig, C. S., Greene, W. H., &amp; Versaci, A. (2015). E-word of mouth: early predictor of audience</w:t>
      </w:r>
    </w:p>
    <w:p>
      <w:pPr>
        <w:ind w:left="600"/>
        <w:spacing w:after="0"/>
        <w:rPr>
          <w:sz w:val="20"/>
          <w:szCs w:val="20"/>
          <w:color w:val="auto"/>
        </w:rPr>
      </w:pPr>
      <w:r>
        <w:rPr>
          <w:rFonts w:ascii="Times New Roman" w:cs="Times New Roman" w:eastAsia="Times New Roman" w:hAnsi="Times New Roman"/>
          <w:sz w:val="24"/>
          <w:szCs w:val="24"/>
          <w:color w:val="auto"/>
        </w:rPr>
        <w:t xml:space="preserve">engagement. </w:t>
      </w:r>
      <w:r>
        <w:rPr>
          <w:rFonts w:ascii="Times New Roman" w:cs="Times New Roman" w:eastAsia="Times New Roman" w:hAnsi="Times New Roman"/>
          <w:sz w:val="24"/>
          <w:szCs w:val="24"/>
          <w:i w:val="1"/>
          <w:iCs w:val="1"/>
          <w:color w:val="auto"/>
        </w:rPr>
        <w:t>Journal of Advertising Research,</w:t>
      </w:r>
      <w:r>
        <w:rPr>
          <w:rFonts w:ascii="Times New Roman" w:cs="Times New Roman" w:eastAsia="Times New Roman" w:hAnsi="Times New Roman"/>
          <w:sz w:val="24"/>
          <w:szCs w:val="24"/>
          <w:color w:val="auto"/>
        </w:rPr>
        <w:t xml:space="preserve"> 55(1), 62-72.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537210</wp:posOffset>
            </wp:positionV>
            <wp:extent cx="5798820" cy="635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229"/>
        </w:trPr>
        <w:tc>
          <w:tcPr>
            <w:tcW w:w="2960" w:type="dxa"/>
            <w:vAlign w:val="bottom"/>
          </w:tcPr>
          <w:p>
            <w:pPr>
              <w:spacing w:after="0"/>
              <w:rPr>
                <w:sz w:val="19"/>
                <w:szCs w:val="19"/>
                <w:color w:val="auto"/>
              </w:rPr>
            </w:pPr>
          </w:p>
        </w:tc>
        <w:tc>
          <w:tcPr>
            <w:tcW w:w="6180" w:type="dxa"/>
            <w:vAlign w:val="bottom"/>
          </w:tcPr>
          <w:p>
            <w:pPr>
              <w:jc w:val="right"/>
              <w:ind w:right="4320"/>
              <w:spacing w:after="0"/>
              <w:rPr>
                <w:sz w:val="20"/>
                <w:szCs w:val="20"/>
                <w:color w:val="auto"/>
              </w:rPr>
            </w:pPr>
            <w:r>
              <w:rPr>
                <w:rFonts w:ascii="Arial Narrow" w:cs="Arial Narrow" w:eastAsia="Arial Narrow" w:hAnsi="Arial Narrow"/>
                <w:sz w:val="20"/>
                <w:szCs w:val="20"/>
                <w:color w:val="auto"/>
              </w:rPr>
              <w:t>121</w:t>
            </w:r>
          </w:p>
        </w:tc>
      </w:tr>
      <w:tr>
        <w:trPr>
          <w:trHeight w:val="230"/>
        </w:trPr>
        <w:tc>
          <w:tcPr>
            <w:tcW w:w="296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6180" w:type="dxa"/>
            <w:vAlign w:val="bottom"/>
          </w:tcPr>
          <w:p>
            <w:pPr>
              <w:jc w:val="right"/>
              <w:ind w:right="580"/>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2960" w:type="dxa"/>
            <w:vAlign w:val="bottom"/>
            <w:tcBorders>
              <w:bottom w:val="single" w:sz="8" w:color="auto"/>
            </w:tcBorders>
          </w:tcPr>
          <w:p>
            <w:pPr>
              <w:spacing w:after="0"/>
              <w:rPr>
                <w:sz w:val="20"/>
                <w:szCs w:val="20"/>
                <w:color w:val="auto"/>
              </w:rPr>
            </w:pPr>
          </w:p>
        </w:tc>
        <w:tc>
          <w:tcPr>
            <w:tcW w:w="618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bl>
    <w:p>
      <w:pPr>
        <w:spacing w:after="0" w:line="284" w:lineRule="exact"/>
        <w:rPr>
          <w:sz w:val="20"/>
          <w:szCs w:val="20"/>
          <w:color w:val="auto"/>
        </w:rPr>
      </w:pPr>
    </w:p>
    <w:p>
      <w:pPr>
        <w:jc w:val="both"/>
        <w:ind w:left="600" w:right="40" w:hanging="568"/>
        <w:spacing w:after="0" w:line="234" w:lineRule="auto"/>
        <w:rPr>
          <w:sz w:val="20"/>
          <w:szCs w:val="20"/>
          <w:color w:val="auto"/>
        </w:rPr>
      </w:pPr>
      <w:r>
        <w:rPr>
          <w:rFonts w:ascii="Times New Roman" w:cs="Times New Roman" w:eastAsia="Times New Roman" w:hAnsi="Times New Roman"/>
          <w:sz w:val="24"/>
          <w:szCs w:val="24"/>
          <w:color w:val="auto"/>
        </w:rPr>
        <w:t xml:space="preserve">Dardis, R., Soberon-Ferrer, H., Patro, D. (1994). Analysis of leisure expenditures in the United States. </w:t>
      </w:r>
      <w:r>
        <w:rPr>
          <w:rFonts w:ascii="Times New Roman" w:cs="Times New Roman" w:eastAsia="Times New Roman" w:hAnsi="Times New Roman"/>
          <w:sz w:val="24"/>
          <w:szCs w:val="24"/>
          <w:i w:val="1"/>
          <w:iCs w:val="1"/>
          <w:color w:val="auto"/>
        </w:rPr>
        <w:t>Journal of Leisure Research,</w:t>
      </w:r>
      <w:r>
        <w:rPr>
          <w:rFonts w:ascii="Times New Roman" w:cs="Times New Roman" w:eastAsia="Times New Roman" w:hAnsi="Times New Roman"/>
          <w:sz w:val="24"/>
          <w:szCs w:val="24"/>
          <w:color w:val="auto"/>
        </w:rPr>
        <w:t xml:space="preserve"> 26(4), 309-321.</w:t>
      </w:r>
    </w:p>
    <w:p>
      <w:pPr>
        <w:spacing w:after="0" w:line="14" w:lineRule="exact"/>
        <w:rPr>
          <w:sz w:val="20"/>
          <w:szCs w:val="20"/>
          <w:color w:val="auto"/>
        </w:rPr>
      </w:pPr>
    </w:p>
    <w:p>
      <w:pPr>
        <w:jc w:val="both"/>
        <w:ind w:left="600" w:right="20" w:hanging="568"/>
        <w:spacing w:after="0" w:line="236" w:lineRule="auto"/>
        <w:rPr>
          <w:sz w:val="20"/>
          <w:szCs w:val="20"/>
          <w:color w:val="auto"/>
        </w:rPr>
      </w:pPr>
      <w:r>
        <w:rPr>
          <w:rFonts w:ascii="Times New Roman" w:cs="Times New Roman" w:eastAsia="Times New Roman" w:hAnsi="Times New Roman"/>
          <w:sz w:val="24"/>
          <w:szCs w:val="24"/>
          <w:color w:val="auto"/>
        </w:rPr>
        <w:t>Delibašić, M. (2018). Socio</w:t>
      </w:r>
      <w:r>
        <w:rPr>
          <w:rFonts w:ascii="Times New Roman" w:cs="Times New Roman" w:eastAsia="Times New Roman" w:hAnsi="Times New Roman"/>
          <w:sz w:val="24"/>
          <w:szCs w:val="24"/>
          <w:color w:val="auto"/>
        </w:rPr>
        <w:t>-cultural capital as a cause of economic and institutional crisis in</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 xml:space="preserve">Montenegro, Serbia and Bosnia and Herzegovina. </w:t>
      </w:r>
      <w:r>
        <w:rPr>
          <w:rFonts w:ascii="Times New Roman" w:cs="Times New Roman" w:eastAsia="Times New Roman" w:hAnsi="Times New Roman"/>
          <w:sz w:val="24"/>
          <w:szCs w:val="24"/>
          <w:i w:val="1"/>
          <w:iCs w:val="1"/>
          <w:color w:val="auto"/>
        </w:rPr>
        <w:t>Economics and Sociology</w:t>
      </w:r>
      <w:r>
        <w:rPr>
          <w:rFonts w:ascii="Times New Roman" w:cs="Times New Roman" w:eastAsia="Times New Roman" w:hAnsi="Times New Roman"/>
          <w:sz w:val="24"/>
          <w:szCs w:val="24"/>
          <w:color w:val="auto"/>
        </w:rPr>
        <w:t>, 11(4), 219-229.</w:t>
      </w:r>
    </w:p>
    <w:p>
      <w:pPr>
        <w:spacing w:after="0" w:line="14" w:lineRule="exact"/>
        <w:rPr>
          <w:sz w:val="20"/>
          <w:szCs w:val="20"/>
          <w:color w:val="auto"/>
        </w:rPr>
      </w:pPr>
    </w:p>
    <w:p>
      <w:pPr>
        <w:jc w:val="both"/>
        <w:ind w:left="600" w:right="40" w:hanging="568"/>
        <w:spacing w:after="0" w:line="236" w:lineRule="auto"/>
        <w:rPr>
          <w:sz w:val="20"/>
          <w:szCs w:val="20"/>
          <w:color w:val="auto"/>
        </w:rPr>
      </w:pPr>
      <w:r>
        <w:rPr>
          <w:rFonts w:ascii="Times New Roman" w:cs="Times New Roman" w:eastAsia="Times New Roman" w:hAnsi="Times New Roman"/>
          <w:sz w:val="24"/>
          <w:szCs w:val="24"/>
          <w:color w:val="auto"/>
        </w:rPr>
        <w:t>Duan, W., Gu, B., &amp; Whinston, A. B. (2008). The dynamics of online word-of-mouth and product sales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An empirical investigation of the movie industry. </w:t>
      </w:r>
      <w:r>
        <w:rPr>
          <w:rFonts w:ascii="Times New Roman" w:cs="Times New Roman" w:eastAsia="Times New Roman" w:hAnsi="Times New Roman"/>
          <w:sz w:val="24"/>
          <w:szCs w:val="24"/>
          <w:i w:val="1"/>
          <w:iCs w:val="1"/>
          <w:color w:val="auto"/>
        </w:rPr>
        <w:t>Journal of</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retailing, </w:t>
      </w:r>
      <w:r>
        <w:rPr>
          <w:rFonts w:ascii="Times New Roman" w:cs="Times New Roman" w:eastAsia="Times New Roman" w:hAnsi="Times New Roman"/>
          <w:sz w:val="24"/>
          <w:szCs w:val="24"/>
          <w:color w:val="auto"/>
        </w:rPr>
        <w:t>84(2), 233-242.</w:t>
      </w:r>
    </w:p>
    <w:p>
      <w:pPr>
        <w:spacing w:after="0" w:line="14" w:lineRule="exact"/>
        <w:rPr>
          <w:sz w:val="20"/>
          <w:szCs w:val="20"/>
          <w:color w:val="auto"/>
        </w:rPr>
      </w:pPr>
    </w:p>
    <w:p>
      <w:pPr>
        <w:jc w:val="both"/>
        <w:ind w:left="600" w:right="20" w:hanging="568"/>
        <w:spacing w:after="0" w:line="236" w:lineRule="auto"/>
        <w:rPr>
          <w:sz w:val="20"/>
          <w:szCs w:val="20"/>
          <w:color w:val="auto"/>
        </w:rPr>
      </w:pPr>
      <w:r>
        <w:rPr>
          <w:rFonts w:ascii="Times New Roman" w:cs="Times New Roman" w:eastAsia="Times New Roman" w:hAnsi="Times New Roman"/>
          <w:sz w:val="24"/>
          <w:szCs w:val="24"/>
          <w:color w:val="auto"/>
        </w:rPr>
        <w:t xml:space="preserve">Enomoto, C. E., &amp; Geisler, K. R. (2017). Culture and plane crashes: A cross-country test of the Gladwell hypothesis. </w:t>
      </w:r>
      <w:r>
        <w:rPr>
          <w:rFonts w:ascii="Times New Roman" w:cs="Times New Roman" w:eastAsia="Times New Roman" w:hAnsi="Times New Roman"/>
          <w:sz w:val="24"/>
          <w:szCs w:val="24"/>
          <w:i w:val="1"/>
          <w:iCs w:val="1"/>
          <w:color w:val="auto"/>
        </w:rPr>
        <w:t>Economics &amp; Sociology</w:t>
      </w:r>
      <w:r>
        <w:rPr>
          <w:rFonts w:ascii="Times New Roman" w:cs="Times New Roman" w:eastAsia="Times New Roman" w:hAnsi="Times New Roman"/>
          <w:sz w:val="24"/>
          <w:szCs w:val="24"/>
          <w:color w:val="auto"/>
        </w:rPr>
        <w:t xml:space="preserve">, 10(3), 281-293. Epstein E.J. 1998 Multiplexities. </w:t>
      </w:r>
      <w:r>
        <w:rPr>
          <w:rFonts w:ascii="Times New Roman" w:cs="Times New Roman" w:eastAsia="Times New Roman" w:hAnsi="Times New Roman"/>
          <w:sz w:val="24"/>
          <w:szCs w:val="24"/>
          <w:i w:val="1"/>
          <w:iCs w:val="1"/>
          <w:color w:val="auto"/>
        </w:rPr>
        <w:t>The New Yorker</w:t>
      </w:r>
      <w:r>
        <w:rPr>
          <w:rFonts w:ascii="Times New Roman" w:cs="Times New Roman" w:eastAsia="Times New Roman" w:hAnsi="Times New Roman"/>
          <w:sz w:val="24"/>
          <w:szCs w:val="24"/>
          <w:color w:val="auto"/>
        </w:rPr>
        <w:t>, Jul(13): 110</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113.</w:t>
      </w:r>
    </w:p>
    <w:p>
      <w:pPr>
        <w:spacing w:after="0" w:line="14" w:lineRule="exact"/>
        <w:rPr>
          <w:sz w:val="20"/>
          <w:szCs w:val="20"/>
          <w:color w:val="auto"/>
        </w:rPr>
      </w:pPr>
    </w:p>
    <w:p>
      <w:pPr>
        <w:ind w:left="40" w:right="500"/>
        <w:spacing w:after="0" w:line="234" w:lineRule="auto"/>
        <w:rPr>
          <w:sz w:val="20"/>
          <w:szCs w:val="20"/>
          <w:color w:val="auto"/>
        </w:rPr>
      </w:pPr>
      <w:r>
        <w:rPr>
          <w:rFonts w:ascii="Times New Roman" w:cs="Times New Roman" w:eastAsia="Times New Roman" w:hAnsi="Times New Roman"/>
          <w:sz w:val="24"/>
          <w:szCs w:val="24"/>
          <w:color w:val="auto"/>
        </w:rPr>
        <w:t xml:space="preserve">Erkip, F. (2005). The rise of the shopping mall in Turkey: the use and appeal of a mall in Ankara. </w:t>
      </w:r>
      <w:r>
        <w:rPr>
          <w:rFonts w:ascii="Times New Roman" w:cs="Times New Roman" w:eastAsia="Times New Roman" w:hAnsi="Times New Roman"/>
          <w:sz w:val="24"/>
          <w:szCs w:val="24"/>
          <w:i w:val="1"/>
          <w:iCs w:val="1"/>
          <w:color w:val="auto"/>
        </w:rPr>
        <w:t>Cities,</w:t>
      </w:r>
      <w:r>
        <w:rPr>
          <w:rFonts w:ascii="Times New Roman" w:cs="Times New Roman" w:eastAsia="Times New Roman" w:hAnsi="Times New Roman"/>
          <w:sz w:val="24"/>
          <w:szCs w:val="24"/>
          <w:color w:val="auto"/>
        </w:rPr>
        <w:t xml:space="preserve"> 22(2), 89-108.</w:t>
      </w:r>
    </w:p>
    <w:p>
      <w:pPr>
        <w:spacing w:after="0" w:line="14" w:lineRule="exact"/>
        <w:rPr>
          <w:sz w:val="20"/>
          <w:szCs w:val="20"/>
          <w:color w:val="auto"/>
        </w:rPr>
      </w:pPr>
    </w:p>
    <w:p>
      <w:pPr>
        <w:jc w:val="both"/>
        <w:ind w:left="600" w:right="20" w:hanging="568"/>
        <w:spacing w:after="0" w:line="236" w:lineRule="auto"/>
        <w:rPr>
          <w:sz w:val="20"/>
          <w:szCs w:val="20"/>
          <w:color w:val="auto"/>
        </w:rPr>
      </w:pPr>
      <w:r>
        <w:rPr>
          <w:rFonts w:ascii="Times New Roman" w:cs="Times New Roman" w:eastAsia="Times New Roman" w:hAnsi="Times New Roman"/>
          <w:sz w:val="24"/>
          <w:szCs w:val="24"/>
          <w:color w:val="222222"/>
        </w:rPr>
        <w:t xml:space="preserve">Erbil, C., Koksal, E., &amp; Yurtseven, C. (2017). Mall Flicks-The Mall Boom in Turkey with an Unexpected Byproduct: The Movie Sector Expansion. </w:t>
      </w:r>
      <w:r>
        <w:rPr>
          <w:rFonts w:ascii="Times New Roman" w:cs="Times New Roman" w:eastAsia="Times New Roman" w:hAnsi="Times New Roman"/>
          <w:sz w:val="24"/>
          <w:szCs w:val="24"/>
          <w:i w:val="1"/>
          <w:iCs w:val="1"/>
          <w:color w:val="222222"/>
        </w:rPr>
        <w:t>Research in World Economy</w:t>
      </w:r>
      <w:r>
        <w:rPr>
          <w:rFonts w:ascii="Times New Roman" w:cs="Times New Roman" w:eastAsia="Times New Roman" w:hAnsi="Times New Roman"/>
          <w:sz w:val="24"/>
          <w:szCs w:val="24"/>
          <w:color w:val="222222"/>
        </w:rPr>
        <w:t xml:space="preserve">, </w:t>
      </w:r>
      <w:r>
        <w:rPr>
          <w:rFonts w:ascii="Times New Roman" w:cs="Times New Roman" w:eastAsia="Times New Roman" w:hAnsi="Times New Roman"/>
          <w:sz w:val="24"/>
          <w:szCs w:val="24"/>
          <w:i w:val="1"/>
          <w:iCs w:val="1"/>
          <w:color w:val="222222"/>
        </w:rPr>
        <w:t>8</w:t>
      </w:r>
      <w:r>
        <w:rPr>
          <w:rFonts w:ascii="Times New Roman" w:cs="Times New Roman" w:eastAsia="Times New Roman" w:hAnsi="Times New Roman"/>
          <w:sz w:val="24"/>
          <w:szCs w:val="24"/>
          <w:color w:val="222222"/>
        </w:rPr>
        <w:t>(1), 1-14.</w:t>
      </w:r>
    </w:p>
    <w:p>
      <w:pPr>
        <w:spacing w:after="0" w:line="14" w:lineRule="exact"/>
        <w:rPr>
          <w:sz w:val="20"/>
          <w:szCs w:val="20"/>
          <w:color w:val="auto"/>
        </w:rPr>
      </w:pPr>
    </w:p>
    <w:p>
      <w:pPr>
        <w:jc w:val="both"/>
        <w:ind w:left="600" w:right="40" w:hanging="568"/>
        <w:spacing w:after="0" w:line="250" w:lineRule="auto"/>
        <w:rPr>
          <w:rFonts w:ascii="Times New Roman" w:cs="Times New Roman" w:eastAsia="Times New Roman" w:hAnsi="Times New Roman"/>
          <w:sz w:val="23"/>
          <w:szCs w:val="23"/>
          <w:color w:val="222222"/>
        </w:rPr>
      </w:pPr>
      <w:r>
        <w:rPr>
          <w:rFonts w:ascii="Times New Roman" w:cs="Times New Roman" w:eastAsia="Times New Roman" w:hAnsi="Times New Roman"/>
          <w:sz w:val="23"/>
          <w:szCs w:val="23"/>
          <w:color w:val="222222"/>
        </w:rPr>
        <w:t xml:space="preserve">Gazete Duvar Newspaper (2019) </w:t>
      </w:r>
      <w:r>
        <w:rPr>
          <w:rFonts w:ascii="Times New Roman" w:cs="Times New Roman" w:eastAsia="Times New Roman" w:hAnsi="Times New Roman"/>
          <w:sz w:val="23"/>
          <w:szCs w:val="23"/>
          <w:i w:val="1"/>
          <w:iCs w:val="1"/>
          <w:color w:val="222222"/>
        </w:rPr>
        <w:t>'Sinema Kanunu' Resmi Gazete'de yayımlandı</w:t>
      </w:r>
      <w:r>
        <w:rPr>
          <w:rFonts w:ascii="Times New Roman" w:cs="Times New Roman" w:eastAsia="Times New Roman" w:hAnsi="Times New Roman"/>
          <w:sz w:val="23"/>
          <w:szCs w:val="23"/>
          <w:color w:val="222222"/>
        </w:rPr>
        <w:t xml:space="preserve"> (In Turkish). Retrieved 01.03.2019, from </w:t>
      </w:r>
      <w:hyperlink r:id="rId26">
        <w:r>
          <w:rPr>
            <w:rFonts w:ascii="Times New Roman" w:cs="Times New Roman" w:eastAsia="Times New Roman" w:hAnsi="Times New Roman"/>
            <w:sz w:val="23"/>
            <w:szCs w:val="23"/>
            <w:color w:val="222222"/>
          </w:rPr>
          <w:t>https://www.gazeteduvar.com.tr/sinema/2019/01/30/sinema-</w:t>
        </w:r>
      </w:hyperlink>
      <w:hyperlink r:id="rId26">
        <w:r>
          <w:rPr>
            <w:rFonts w:ascii="Times New Roman" w:cs="Times New Roman" w:eastAsia="Times New Roman" w:hAnsi="Times New Roman"/>
            <w:sz w:val="23"/>
            <w:szCs w:val="23"/>
            <w:color w:val="222222"/>
          </w:rPr>
          <w:t>kanunu-resmi-gazetede-yayimlandi/</w:t>
        </w:r>
      </w:hyperlink>
    </w:p>
    <w:p>
      <w:pPr>
        <w:ind w:left="40"/>
        <w:spacing w:after="0" w:line="231" w:lineRule="auto"/>
        <w:rPr>
          <w:sz w:val="20"/>
          <w:szCs w:val="20"/>
          <w:color w:val="auto"/>
        </w:rPr>
      </w:pPr>
      <w:r>
        <w:rPr>
          <w:rFonts w:ascii="Times New Roman" w:cs="Times New Roman" w:eastAsia="Times New Roman" w:hAnsi="Times New Roman"/>
          <w:sz w:val="24"/>
          <w:szCs w:val="24"/>
          <w:color w:val="auto"/>
        </w:rPr>
        <w:t xml:space="preserve">Goldberg, M. (2018). </w:t>
      </w:r>
      <w:r>
        <w:rPr>
          <w:rFonts w:ascii="Times New Roman" w:cs="Times New Roman" w:eastAsia="Times New Roman" w:hAnsi="Times New Roman"/>
          <w:sz w:val="24"/>
          <w:szCs w:val="24"/>
          <w:i w:val="1"/>
          <w:iCs w:val="1"/>
          <w:color w:val="auto"/>
        </w:rPr>
        <w:t>3D is Dead (Again)</w:t>
      </w:r>
      <w:r>
        <w:rPr>
          <w:rFonts w:ascii="Times New Roman" w:cs="Times New Roman" w:eastAsia="Times New Roman" w:hAnsi="Times New Roman"/>
          <w:sz w:val="24"/>
          <w:szCs w:val="24"/>
          <w:color w:val="auto"/>
        </w:rPr>
        <w:t>. Retrieved 3.4. 2019, from Collider.</w:t>
      </w:r>
    </w:p>
    <w:p>
      <w:pPr>
        <w:spacing w:after="0" w:line="12" w:lineRule="exact"/>
        <w:rPr>
          <w:sz w:val="20"/>
          <w:szCs w:val="20"/>
          <w:color w:val="auto"/>
        </w:rPr>
      </w:pPr>
    </w:p>
    <w:p>
      <w:pPr>
        <w:jc w:val="both"/>
        <w:ind w:left="600" w:right="40" w:hanging="568"/>
        <w:spacing w:after="0" w:line="236" w:lineRule="auto"/>
        <w:rPr>
          <w:sz w:val="20"/>
          <w:szCs w:val="20"/>
          <w:color w:val="auto"/>
        </w:rPr>
      </w:pPr>
      <w:r>
        <w:rPr>
          <w:rFonts w:ascii="Times New Roman" w:cs="Times New Roman" w:eastAsia="Times New Roman" w:hAnsi="Times New Roman"/>
          <w:sz w:val="24"/>
          <w:szCs w:val="24"/>
          <w:color w:val="auto"/>
        </w:rPr>
        <w:t xml:space="preserve">Gülçubuk, A. 2013. Salihli'de Açılan AVM'lerin Şehir Yaşamına ve Şehir Merkezindeki Perakendecilere Etkisi Üzerine Bir Araştırma. </w:t>
      </w:r>
      <w:r>
        <w:rPr>
          <w:rFonts w:ascii="Times New Roman" w:cs="Times New Roman" w:eastAsia="Times New Roman" w:hAnsi="Times New Roman"/>
          <w:sz w:val="24"/>
          <w:szCs w:val="24"/>
          <w:i w:val="1"/>
          <w:iCs w:val="1"/>
          <w:color w:val="auto"/>
        </w:rPr>
        <w:t>Celal Bayar Üniversitesi Sosyal Bilimler</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Dergisi</w:t>
      </w:r>
      <w:r>
        <w:rPr>
          <w:rFonts w:ascii="Times New Roman" w:cs="Times New Roman" w:eastAsia="Times New Roman" w:hAnsi="Times New Roman"/>
          <w:sz w:val="24"/>
          <w:szCs w:val="24"/>
          <w:color w:val="auto"/>
        </w:rPr>
        <w:t>, 11(3): 439-450.</w:t>
      </w:r>
    </w:p>
    <w:p>
      <w:pPr>
        <w:spacing w:after="0" w:line="13"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3"/>
          <w:szCs w:val="23"/>
          <w:color w:val="auto"/>
        </w:rPr>
        <w:t>Jackson, P. "Domesticating the street: The contested spaces of the high street and the mall.", in</w:t>
      </w:r>
    </w:p>
    <w:p>
      <w:pPr>
        <w:spacing w:after="0" w:line="12"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3"/>
          <w:szCs w:val="23"/>
          <w:color w:val="auto"/>
        </w:rPr>
        <w:t>Images of the Street: Planning, Identity and Control in Public Space, edited by N.R. Fyfe.</w:t>
      </w:r>
    </w:p>
    <w:p>
      <w:pPr>
        <w:ind w:left="600"/>
        <w:spacing w:after="0"/>
        <w:rPr>
          <w:sz w:val="20"/>
          <w:szCs w:val="20"/>
          <w:color w:val="auto"/>
        </w:rPr>
      </w:pPr>
      <w:r>
        <w:rPr>
          <w:rFonts w:ascii="Times New Roman" w:cs="Times New Roman" w:eastAsia="Times New Roman" w:hAnsi="Times New Roman"/>
          <w:sz w:val="24"/>
          <w:szCs w:val="24"/>
          <w:color w:val="auto"/>
        </w:rPr>
        <w:t>London and New York: Routledge, 1998, 176-191.</w:t>
      </w:r>
    </w:p>
    <w:p>
      <w:pPr>
        <w:spacing w:after="0" w:line="12" w:lineRule="exact"/>
        <w:rPr>
          <w:sz w:val="20"/>
          <w:szCs w:val="20"/>
          <w:color w:val="auto"/>
        </w:rPr>
      </w:pPr>
    </w:p>
    <w:p>
      <w:pPr>
        <w:jc w:val="both"/>
        <w:ind w:left="600" w:right="40" w:hanging="568"/>
        <w:spacing w:after="0" w:line="234" w:lineRule="auto"/>
        <w:rPr>
          <w:sz w:val="20"/>
          <w:szCs w:val="20"/>
          <w:color w:val="auto"/>
        </w:rPr>
      </w:pPr>
      <w:r>
        <w:rPr>
          <w:rFonts w:ascii="Times New Roman" w:cs="Times New Roman" w:eastAsia="Times New Roman" w:hAnsi="Times New Roman"/>
          <w:sz w:val="24"/>
          <w:szCs w:val="24"/>
          <w:color w:val="auto"/>
        </w:rPr>
        <w:t xml:space="preserve">Jakab, P., &amp; Happ, E. (2017). Impact Assessment between the City and the Company Reputation. </w:t>
      </w:r>
      <w:r>
        <w:rPr>
          <w:rFonts w:ascii="Times New Roman" w:cs="Times New Roman" w:eastAsia="Times New Roman" w:hAnsi="Times New Roman"/>
          <w:sz w:val="24"/>
          <w:szCs w:val="24"/>
          <w:i w:val="1"/>
          <w:iCs w:val="1"/>
          <w:color w:val="auto"/>
        </w:rPr>
        <w:t>Economics &amp; Sociology</w:t>
      </w:r>
      <w:r>
        <w:rPr>
          <w:rFonts w:ascii="Times New Roman" w:cs="Times New Roman" w:eastAsia="Times New Roman" w:hAnsi="Times New Roman"/>
          <w:sz w:val="24"/>
          <w:szCs w:val="24"/>
          <w:color w:val="auto"/>
        </w:rPr>
        <w:t>, 10(1), 279.</w:t>
      </w:r>
    </w:p>
    <w:p>
      <w:pPr>
        <w:spacing w:after="0" w:line="14" w:lineRule="exact"/>
        <w:rPr>
          <w:sz w:val="20"/>
          <w:szCs w:val="20"/>
          <w:color w:val="auto"/>
        </w:rPr>
      </w:pPr>
    </w:p>
    <w:p>
      <w:pPr>
        <w:jc w:val="both"/>
        <w:ind w:left="580" w:right="20" w:hanging="568"/>
        <w:spacing w:after="0" w:line="234" w:lineRule="auto"/>
        <w:tabs>
          <w:tab w:leader="none" w:pos="560" w:val="left"/>
        </w:tabs>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JLL</w:t>
        <w:tab/>
        <w:t xml:space="preserve">Market Report. (2019). </w:t>
      </w:r>
      <w:r>
        <w:rPr>
          <w:rFonts w:ascii="Times New Roman" w:cs="Times New Roman" w:eastAsia="Times New Roman" w:hAnsi="Times New Roman"/>
          <w:sz w:val="24"/>
          <w:szCs w:val="24"/>
          <w:i w:val="1"/>
          <w:iCs w:val="1"/>
          <w:color w:val="auto"/>
        </w:rPr>
        <w:t>The Mall Market in Turkey</w:t>
      </w:r>
      <w:r>
        <w:rPr>
          <w:rFonts w:ascii="Times New Roman" w:cs="Times New Roman" w:eastAsia="Times New Roman" w:hAnsi="Times New Roman"/>
          <w:sz w:val="24"/>
          <w:szCs w:val="24"/>
          <w:color w:val="auto"/>
        </w:rPr>
        <w:t xml:space="preserve">. Retrieved 20.02.2019, from </w:t>
      </w:r>
      <w:hyperlink r:id="rId31">
        <w:r>
          <w:rPr>
            <w:rFonts w:ascii="Times New Roman" w:cs="Times New Roman" w:eastAsia="Times New Roman" w:hAnsi="Times New Roman"/>
            <w:sz w:val="24"/>
            <w:szCs w:val="24"/>
            <w:color w:val="auto"/>
          </w:rPr>
          <w:t>http://www.jll.com.tr/turkey/en-gb/research</w:t>
        </w:r>
      </w:hyperlink>
    </w:p>
    <w:p>
      <w:pPr>
        <w:spacing w:after="0" w:line="14" w:lineRule="exact"/>
        <w:rPr>
          <w:sz w:val="20"/>
          <w:szCs w:val="20"/>
          <w:color w:val="auto"/>
        </w:rPr>
      </w:pPr>
    </w:p>
    <w:p>
      <w:pPr>
        <w:jc w:val="both"/>
        <w:ind w:left="600" w:right="40" w:hanging="568"/>
        <w:spacing w:after="0" w:line="234" w:lineRule="auto"/>
        <w:rPr>
          <w:sz w:val="20"/>
          <w:szCs w:val="20"/>
          <w:color w:val="auto"/>
        </w:rPr>
      </w:pPr>
      <w:r>
        <w:rPr>
          <w:rFonts w:ascii="Times New Roman" w:cs="Times New Roman" w:eastAsia="Times New Roman" w:hAnsi="Times New Roman"/>
          <w:sz w:val="24"/>
          <w:szCs w:val="24"/>
          <w:color w:val="auto"/>
        </w:rPr>
        <w:t xml:space="preserve">Kaasa, A. (2019). Determinants of individual-level social capital: Culture and personal values. </w:t>
      </w:r>
      <w:r>
        <w:rPr>
          <w:rFonts w:ascii="Times New Roman" w:cs="Times New Roman" w:eastAsia="Times New Roman" w:hAnsi="Times New Roman"/>
          <w:sz w:val="24"/>
          <w:szCs w:val="24"/>
          <w:i w:val="1"/>
          <w:iCs w:val="1"/>
          <w:color w:val="auto"/>
        </w:rPr>
        <w:t>Journal of International Studies,</w:t>
      </w:r>
      <w:r>
        <w:rPr>
          <w:rFonts w:ascii="Times New Roman" w:cs="Times New Roman" w:eastAsia="Times New Roman" w:hAnsi="Times New Roman"/>
          <w:sz w:val="24"/>
          <w:szCs w:val="24"/>
          <w:color w:val="auto"/>
        </w:rPr>
        <w:t xml:space="preserve"> 12(1), 9-32.</w:t>
      </w:r>
    </w:p>
    <w:p>
      <w:pPr>
        <w:spacing w:after="0" w:line="14" w:lineRule="exact"/>
        <w:rPr>
          <w:sz w:val="20"/>
          <w:szCs w:val="20"/>
          <w:color w:val="auto"/>
        </w:rPr>
      </w:pPr>
    </w:p>
    <w:p>
      <w:pPr>
        <w:ind w:left="600" w:right="40" w:hanging="568"/>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Karasu, A. (2019). Patla</w:t>
      </w:r>
      <w:r>
        <w:rPr>
          <w:rFonts w:ascii="Times New Roman" w:cs="Times New Roman" w:eastAsia="Times New Roman" w:hAnsi="Times New Roman"/>
          <w:sz w:val="24"/>
          <w:szCs w:val="24"/>
          <w:color w:val="auto"/>
        </w:rPr>
        <w:t>mış Mısırdan Çimiçangaya (In Turkish). Retrieved 20.02.2019, from</w:t>
      </w:r>
      <w:r>
        <w:rPr>
          <w:rFonts w:ascii="Times New Roman" w:cs="Times New Roman" w:eastAsia="Times New Roman" w:hAnsi="Times New Roman"/>
          <w:sz w:val="24"/>
          <w:szCs w:val="24"/>
          <w:color w:val="auto"/>
        </w:rPr>
        <w:t xml:space="preserve"> </w:t>
      </w:r>
      <w:hyperlink r:id="rId32">
        <w:r>
          <w:rPr>
            <w:rFonts w:ascii="Times New Roman" w:cs="Times New Roman" w:eastAsia="Times New Roman" w:hAnsi="Times New Roman"/>
            <w:sz w:val="24"/>
            <w:szCs w:val="24"/>
            <w:color w:val="auto"/>
          </w:rPr>
          <w:t>https://www.haberturk.com/yazarlar/ayse-ozek-karasu/2276851-patlamis-misirdan-</w:t>
        </w:r>
      </w:hyperlink>
      <w:hyperlink r:id="rId32">
        <w:r>
          <w:rPr>
            <w:rFonts w:ascii="Times New Roman" w:cs="Times New Roman" w:eastAsia="Times New Roman" w:hAnsi="Times New Roman"/>
            <w:sz w:val="24"/>
            <w:szCs w:val="24"/>
            <w:color w:val="auto"/>
          </w:rPr>
          <w:t>imicangaya</w:t>
        </w:r>
      </w:hyperlink>
    </w:p>
    <w:p>
      <w:pPr>
        <w:spacing w:after="0" w:line="2" w:lineRule="exact"/>
        <w:rPr>
          <w:sz w:val="20"/>
          <w:szCs w:val="20"/>
          <w:color w:val="auto"/>
        </w:rPr>
      </w:pPr>
    </w:p>
    <w:p>
      <w:pPr>
        <w:ind w:left="40"/>
        <w:spacing w:after="0"/>
        <w:tabs>
          <w:tab w:leader="none" w:pos="6360" w:val="left"/>
        </w:tabs>
        <w:rPr>
          <w:sz w:val="20"/>
          <w:szCs w:val="20"/>
          <w:color w:val="auto"/>
        </w:rPr>
      </w:pPr>
      <w:r>
        <w:rPr>
          <w:rFonts w:ascii="Times New Roman" w:cs="Times New Roman" w:eastAsia="Times New Roman" w:hAnsi="Times New Roman"/>
          <w:sz w:val="24"/>
          <w:szCs w:val="24"/>
          <w:color w:val="auto"/>
        </w:rPr>
        <w:t>Kolukısa, E. (2017)</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Ne Gerekiyorsa Yapacağız</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(In Turkish).</w:t>
      </w:r>
      <w:r>
        <w:rPr>
          <w:sz w:val="20"/>
          <w:szCs w:val="20"/>
          <w:color w:val="auto"/>
        </w:rPr>
        <w:tab/>
      </w:r>
      <w:r>
        <w:rPr>
          <w:rFonts w:ascii="Times New Roman" w:cs="Times New Roman" w:eastAsia="Times New Roman" w:hAnsi="Times New Roman"/>
          <w:sz w:val="24"/>
          <w:szCs w:val="24"/>
          <w:color w:val="auto"/>
        </w:rPr>
        <w:t>Retrieved 04.03.2019, from</w:t>
      </w:r>
    </w:p>
    <w:p>
      <w:pPr>
        <w:ind w:left="600"/>
        <w:spacing w:after="0"/>
        <w:rPr>
          <w:rFonts w:ascii="Times New Roman" w:cs="Times New Roman" w:eastAsia="Times New Roman" w:hAnsi="Times New Roman"/>
          <w:sz w:val="24"/>
          <w:szCs w:val="24"/>
          <w:color w:val="auto"/>
        </w:rPr>
      </w:pPr>
      <w:hyperlink r:id="rId33">
        <w:r>
          <w:rPr>
            <w:rFonts w:ascii="Times New Roman" w:cs="Times New Roman" w:eastAsia="Times New Roman" w:hAnsi="Times New Roman"/>
            <w:sz w:val="24"/>
            <w:szCs w:val="24"/>
            <w:color w:val="auto"/>
          </w:rPr>
          <w:t>http://www.cumhuriyet.com.tr/haber/kultur-</w:t>
        </w:r>
      </w:hyperlink>
    </w:p>
    <w:p>
      <w:pPr>
        <w:ind w:left="600"/>
        <w:spacing w:after="0"/>
        <w:rPr>
          <w:rFonts w:ascii="Times New Roman" w:cs="Times New Roman" w:eastAsia="Times New Roman" w:hAnsi="Times New Roman"/>
          <w:sz w:val="24"/>
          <w:szCs w:val="24"/>
          <w:color w:val="auto"/>
        </w:rPr>
      </w:pPr>
      <w:hyperlink r:id="rId33">
        <w:r>
          <w:rPr>
            <w:rFonts w:ascii="Times New Roman" w:cs="Times New Roman" w:eastAsia="Times New Roman" w:hAnsi="Times New Roman"/>
            <w:sz w:val="24"/>
            <w:szCs w:val="24"/>
            <w:color w:val="auto"/>
          </w:rPr>
          <w:t>sanat/780733/_Ne_gerekiyorsa_yapacagiz_.html</w:t>
        </w:r>
      </w:hyperlink>
    </w:p>
    <w:p>
      <w:pPr>
        <w:spacing w:after="0" w:line="12" w:lineRule="exact"/>
        <w:rPr>
          <w:sz w:val="20"/>
          <w:szCs w:val="20"/>
          <w:color w:val="auto"/>
        </w:rPr>
      </w:pPr>
    </w:p>
    <w:p>
      <w:pPr>
        <w:jc w:val="both"/>
        <w:ind w:left="600" w:right="40" w:hanging="568"/>
        <w:spacing w:after="0" w:line="236" w:lineRule="auto"/>
        <w:rPr>
          <w:sz w:val="20"/>
          <w:szCs w:val="20"/>
          <w:color w:val="auto"/>
        </w:rPr>
      </w:pPr>
      <w:r>
        <w:rPr>
          <w:rFonts w:ascii="Times New Roman" w:cs="Times New Roman" w:eastAsia="Times New Roman" w:hAnsi="Times New Roman"/>
          <w:sz w:val="24"/>
          <w:szCs w:val="24"/>
          <w:color w:val="auto"/>
        </w:rPr>
        <w:t xml:space="preserve">Köksal, E., &amp; Yurtseven, Ç. The Effects of the Increase in the Number of University Students </w:t>
      </w:r>
      <w:r>
        <w:rPr>
          <w:rFonts w:ascii="Times New Roman" w:cs="Times New Roman" w:eastAsia="Times New Roman" w:hAnsi="Times New Roman"/>
          <w:sz w:val="24"/>
          <w:szCs w:val="24"/>
          <w:color w:val="auto"/>
        </w:rPr>
        <w:t xml:space="preserve">on the Growth of the Movie Industry in Turkey. </w:t>
      </w:r>
      <w:r>
        <w:rPr>
          <w:rFonts w:ascii="Times New Roman" w:cs="Times New Roman" w:eastAsia="Times New Roman" w:hAnsi="Times New Roman"/>
          <w:sz w:val="24"/>
          <w:szCs w:val="24"/>
          <w:i w:val="1"/>
          <w:iCs w:val="1"/>
          <w:color w:val="auto"/>
        </w:rPr>
        <w:t>International Review of Economics and</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Management, </w:t>
      </w:r>
      <w:r>
        <w:rPr>
          <w:rFonts w:ascii="Times New Roman" w:cs="Times New Roman" w:eastAsia="Times New Roman" w:hAnsi="Times New Roman"/>
          <w:sz w:val="24"/>
          <w:szCs w:val="24"/>
          <w:color w:val="auto"/>
        </w:rPr>
        <w:t>6(2), 103-116.</w:t>
      </w:r>
    </w:p>
    <w:p>
      <w:pPr>
        <w:spacing w:after="0" w:line="14" w:lineRule="exact"/>
        <w:rPr>
          <w:sz w:val="20"/>
          <w:szCs w:val="20"/>
          <w:color w:val="auto"/>
        </w:rPr>
      </w:pPr>
    </w:p>
    <w:p>
      <w:pPr>
        <w:jc w:val="both"/>
        <w:ind w:left="600" w:right="40" w:hanging="568"/>
        <w:spacing w:after="0" w:line="233" w:lineRule="auto"/>
        <w:rPr>
          <w:sz w:val="20"/>
          <w:szCs w:val="20"/>
          <w:color w:val="auto"/>
        </w:rPr>
      </w:pPr>
      <w:r>
        <w:rPr>
          <w:rFonts w:ascii="Times New Roman" w:cs="Times New Roman" w:eastAsia="Times New Roman" w:hAnsi="Times New Roman"/>
          <w:sz w:val="24"/>
          <w:szCs w:val="24"/>
          <w:color w:val="auto"/>
        </w:rPr>
        <w:t>Moul, C. C. (Ed.). (2005). A concise handbook of movie industry economics. Cambridge University Press.</w:t>
      </w:r>
    </w:p>
    <w:p>
      <w:pPr>
        <w:spacing w:after="0" w:line="14" w:lineRule="exact"/>
        <w:rPr>
          <w:sz w:val="20"/>
          <w:szCs w:val="20"/>
          <w:color w:val="auto"/>
        </w:rPr>
      </w:pPr>
    </w:p>
    <w:p>
      <w:pPr>
        <w:ind w:left="40" w:right="360"/>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Konishi, H., &amp; Sandfort, M. T. (2003). Anchor stores. </w:t>
      </w:r>
      <w:r>
        <w:rPr>
          <w:rFonts w:ascii="Times New Roman" w:cs="Times New Roman" w:eastAsia="Times New Roman" w:hAnsi="Times New Roman"/>
          <w:sz w:val="24"/>
          <w:szCs w:val="24"/>
          <w:i w:val="1"/>
          <w:iCs w:val="1"/>
          <w:color w:val="auto"/>
        </w:rPr>
        <w:t>Journal of Urban Economics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53</w:t>
      </w:r>
      <w:r>
        <w:rPr>
          <w:rFonts w:ascii="Times New Roman" w:cs="Times New Roman" w:eastAsia="Times New Roman" w:hAnsi="Times New Roman"/>
          <w:sz w:val="24"/>
          <w:szCs w:val="24"/>
          <w:color w:val="auto"/>
        </w:rPr>
        <w:t>(3), 413</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 xml:space="preserve">435. </w:t>
      </w:r>
      <w:hyperlink r:id="rId34">
        <w:r>
          <w:rPr>
            <w:rFonts w:ascii="Times New Roman" w:cs="Times New Roman" w:eastAsia="Times New Roman" w:hAnsi="Times New Roman"/>
            <w:sz w:val="24"/>
            <w:szCs w:val="24"/>
            <w:color w:val="auto"/>
          </w:rPr>
          <w:t>http://doi.org/10.1016/S0094-1190(03)00002-0</w:t>
        </w:r>
      </w:hyperlink>
    </w:p>
    <w:p>
      <w:pPr>
        <w:spacing w:after="0" w:line="2"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4"/>
          <w:szCs w:val="24"/>
          <w:color w:val="auto"/>
        </w:rPr>
        <w:t xml:space="preserve">Ödekan, A. (2001). İstanbul'da yaya hakkı var mı? </w:t>
      </w:r>
      <w:r>
        <w:rPr>
          <w:rFonts w:ascii="Times New Roman" w:cs="Times New Roman" w:eastAsia="Times New Roman" w:hAnsi="Times New Roman"/>
          <w:sz w:val="24"/>
          <w:szCs w:val="24"/>
          <w:i w:val="1"/>
          <w:iCs w:val="1"/>
          <w:color w:val="auto"/>
        </w:rPr>
        <w:t>İstanbul,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37</w:t>
      </w:r>
      <w:r>
        <w:rPr>
          <w:rFonts w:ascii="Times New Roman" w:cs="Times New Roman" w:eastAsia="Times New Roman" w:hAnsi="Times New Roman"/>
          <w:sz w:val="24"/>
          <w:szCs w:val="24"/>
          <w:i w:val="1"/>
          <w:iCs w:val="1"/>
          <w:color w:val="auto"/>
        </w:rPr>
        <w:t>,</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color w:val="auto"/>
        </w:rPr>
        <w:t>April, 48-51.</w:t>
      </w:r>
    </w:p>
    <w:p>
      <w:pPr>
        <w:spacing w:after="0" w:line="12" w:lineRule="exact"/>
        <w:rPr>
          <w:sz w:val="20"/>
          <w:szCs w:val="20"/>
          <w:color w:val="auto"/>
        </w:rPr>
      </w:pPr>
    </w:p>
    <w:p>
      <w:pPr>
        <w:ind w:left="40" w:right="40"/>
        <w:spacing w:after="0" w:line="234" w:lineRule="auto"/>
        <w:rPr>
          <w:sz w:val="20"/>
          <w:szCs w:val="20"/>
          <w:color w:val="auto"/>
        </w:rPr>
      </w:pPr>
      <w:r>
        <w:rPr>
          <w:rFonts w:ascii="Times New Roman" w:cs="Times New Roman" w:eastAsia="Times New Roman" w:hAnsi="Times New Roman"/>
          <w:sz w:val="24"/>
          <w:szCs w:val="24"/>
          <w:color w:val="auto"/>
        </w:rPr>
        <w:t xml:space="preserve">Pashigian, B. P., &amp; Gould, E. D. (1998). Internalizing Externalities: The Pricing of Space in Shopping Malls. </w:t>
      </w:r>
      <w:r>
        <w:rPr>
          <w:rFonts w:ascii="Times New Roman" w:cs="Times New Roman" w:eastAsia="Times New Roman" w:hAnsi="Times New Roman"/>
          <w:sz w:val="24"/>
          <w:szCs w:val="24"/>
          <w:i w:val="1"/>
          <w:iCs w:val="1"/>
          <w:color w:val="auto"/>
        </w:rPr>
        <w:t>Journal of Law and Economics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41</w:t>
      </w:r>
      <w:r>
        <w:rPr>
          <w:rFonts w:ascii="Times New Roman" w:cs="Times New Roman" w:eastAsia="Times New Roman" w:hAnsi="Times New Roman"/>
          <w:sz w:val="24"/>
          <w:szCs w:val="24"/>
          <w:color w:val="auto"/>
        </w:rPr>
        <w:t>(April), 115</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color w:val="auto"/>
        </w:rPr>
        <w:t>142.</w:t>
      </w:r>
    </w:p>
    <w:p>
      <w:pPr>
        <w:spacing w:after="0" w:line="2" w:lineRule="exact"/>
        <w:rPr>
          <w:sz w:val="20"/>
          <w:szCs w:val="20"/>
          <w:color w:val="auto"/>
        </w:rPr>
      </w:pPr>
    </w:p>
    <w:p>
      <w:pPr>
        <w:ind w:left="600"/>
        <w:spacing w:after="0"/>
        <w:rPr>
          <w:rFonts w:ascii="Times New Roman" w:cs="Times New Roman" w:eastAsia="Times New Roman" w:hAnsi="Times New Roman"/>
          <w:sz w:val="24"/>
          <w:szCs w:val="24"/>
          <w:color w:val="auto"/>
        </w:rPr>
      </w:pPr>
      <w:hyperlink r:id="rId35">
        <w:r>
          <w:rPr>
            <w:rFonts w:ascii="Times New Roman" w:cs="Times New Roman" w:eastAsia="Times New Roman" w:hAnsi="Times New Roman"/>
            <w:sz w:val="24"/>
            <w:szCs w:val="24"/>
            <w:color w:val="auto"/>
          </w:rPr>
          <w:t>http://doi.org/10.1086/467386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598170</wp:posOffset>
            </wp:positionV>
            <wp:extent cx="5798820" cy="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3"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p>
      <w:pPr>
        <w:sectPr>
          <w:pgSz w:w="11900" w:h="16838" w:orient="portrait"/>
          <w:cols w:equalWidth="0" w:num="1">
            <w:col w:w="9140"/>
          </w:cols>
          <w:pgMar w:left="1380" w:top="562" w:right="1386" w:bottom="0"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229"/>
        </w:trPr>
        <w:tc>
          <w:tcPr>
            <w:tcW w:w="4400" w:type="dxa"/>
            <w:vAlign w:val="bottom"/>
          </w:tcPr>
          <w:p>
            <w:pPr>
              <w:spacing w:after="0"/>
              <w:rPr>
                <w:sz w:val="19"/>
                <w:szCs w:val="19"/>
                <w:color w:val="auto"/>
              </w:rPr>
            </w:pPr>
          </w:p>
        </w:tc>
        <w:tc>
          <w:tcPr>
            <w:tcW w:w="4740" w:type="dxa"/>
            <w:vAlign w:val="bottom"/>
          </w:tcPr>
          <w:p>
            <w:pPr>
              <w:jc w:val="right"/>
              <w:ind w:right="4315"/>
              <w:spacing w:after="0"/>
              <w:rPr>
                <w:sz w:val="20"/>
                <w:szCs w:val="20"/>
                <w:color w:val="auto"/>
              </w:rPr>
            </w:pPr>
            <w:r>
              <w:rPr>
                <w:rFonts w:ascii="Arial Narrow" w:cs="Arial Narrow" w:eastAsia="Arial Narrow" w:hAnsi="Arial Narrow"/>
                <w:sz w:val="20"/>
                <w:szCs w:val="20"/>
                <w:color w:val="auto"/>
              </w:rPr>
              <w:t>122</w:t>
            </w:r>
          </w:p>
        </w:tc>
      </w:tr>
      <w:tr>
        <w:trPr>
          <w:trHeight w:val="230"/>
        </w:trPr>
        <w:tc>
          <w:tcPr>
            <w:tcW w:w="4400" w:type="dxa"/>
            <w:vAlign w:val="bottom"/>
          </w:tcPr>
          <w:p>
            <w:pPr>
              <w:ind w:left="160"/>
              <w:spacing w:after="0"/>
              <w:rPr>
                <w:sz w:val="20"/>
                <w:szCs w:val="20"/>
                <w:color w:val="auto"/>
              </w:rPr>
            </w:pPr>
            <w:r>
              <w:rPr>
                <w:rFonts w:ascii="Garamond" w:cs="Garamond" w:eastAsia="Garamond" w:hAnsi="Garamond"/>
                <w:sz w:val="20"/>
                <w:szCs w:val="20"/>
                <w:color w:val="auto"/>
              </w:rPr>
              <w:t>Çağlar Yurtseven</w:t>
            </w:r>
          </w:p>
        </w:tc>
        <w:tc>
          <w:tcPr>
            <w:tcW w:w="4740" w:type="dxa"/>
            <w:vAlign w:val="bottom"/>
          </w:tcPr>
          <w:p>
            <w:pPr>
              <w:jc w:val="right"/>
              <w:ind w:right="575"/>
              <w:spacing w:after="0"/>
              <w:rPr>
                <w:sz w:val="20"/>
                <w:szCs w:val="20"/>
                <w:color w:val="auto"/>
              </w:rPr>
            </w:pPr>
            <w:r>
              <w:rPr>
                <w:rFonts w:ascii="Garamond" w:cs="Garamond" w:eastAsia="Garamond" w:hAnsi="Garamond"/>
                <w:sz w:val="20"/>
                <w:szCs w:val="20"/>
                <w:b w:val="1"/>
                <w:bCs w:val="1"/>
                <w:color w:val="auto"/>
              </w:rPr>
              <w:t>ISSN 2071-789X</w:t>
            </w:r>
          </w:p>
        </w:tc>
      </w:tr>
      <w:tr>
        <w:trPr>
          <w:trHeight w:val="239"/>
        </w:trPr>
        <w:tc>
          <w:tcPr>
            <w:tcW w:w="4400" w:type="dxa"/>
            <w:vAlign w:val="bottom"/>
            <w:tcBorders>
              <w:bottom w:val="single" w:sz="8" w:color="auto"/>
            </w:tcBorders>
          </w:tcPr>
          <w:p>
            <w:pPr>
              <w:spacing w:after="0"/>
              <w:rPr>
                <w:sz w:val="20"/>
                <w:szCs w:val="20"/>
                <w:color w:val="auto"/>
              </w:rPr>
            </w:pPr>
          </w:p>
        </w:tc>
        <w:tc>
          <w:tcPr>
            <w:tcW w:w="4740" w:type="dxa"/>
            <w:vAlign w:val="bottom"/>
            <w:tcBorders>
              <w:bottom w:val="single" w:sz="8" w:color="auto"/>
            </w:tcBorders>
          </w:tcPr>
          <w:p>
            <w:pPr>
              <w:jc w:val="right"/>
              <w:spacing w:after="0"/>
              <w:rPr>
                <w:sz w:val="20"/>
                <w:szCs w:val="20"/>
                <w:color w:val="auto"/>
              </w:rPr>
            </w:pPr>
            <w:r>
              <w:rPr>
                <w:rFonts w:ascii="Garamond" w:cs="Garamond" w:eastAsia="Garamond" w:hAnsi="Garamond"/>
                <w:sz w:val="20"/>
                <w:szCs w:val="20"/>
                <w:b w:val="1"/>
                <w:bCs w:val="1"/>
                <w:color w:val="auto"/>
              </w:rPr>
              <w:t>RECENT ISSUES IN SOCIOLOGICAL RESEARCH</w:t>
            </w:r>
          </w:p>
        </w:tc>
      </w:tr>
      <w:tr>
        <w:trPr>
          <w:trHeight w:val="547"/>
        </w:trPr>
        <w:tc>
          <w:tcPr>
            <w:tcW w:w="440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Rutovic,  Z.  (2016).  Economic  aspects  of</w:t>
            </w:r>
          </w:p>
        </w:tc>
        <w:tc>
          <w:tcPr>
            <w:tcW w:w="474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 xml:space="preserve">media  globalization. </w:t>
            </w:r>
            <w:r>
              <w:rPr>
                <w:rFonts w:ascii="Times New Roman" w:cs="Times New Roman" w:eastAsia="Times New Roman" w:hAnsi="Times New Roman"/>
                <w:sz w:val="24"/>
                <w:szCs w:val="24"/>
                <w:i w:val="1"/>
                <w:iCs w:val="1"/>
                <w:color w:val="auto"/>
              </w:rPr>
              <w:t>Journal  of  International</w:t>
            </w:r>
          </w:p>
        </w:tc>
      </w:tr>
      <w:tr>
        <w:trPr>
          <w:trHeight w:val="276"/>
        </w:trPr>
        <w:tc>
          <w:tcPr>
            <w:tcW w:w="4400" w:type="dxa"/>
            <w:vAlign w:val="bottom"/>
          </w:tcPr>
          <w:p>
            <w:pPr>
              <w:ind w:left="600"/>
              <w:spacing w:after="0"/>
              <w:rPr>
                <w:sz w:val="20"/>
                <w:szCs w:val="20"/>
                <w:color w:val="auto"/>
              </w:rPr>
            </w:pPr>
            <w:r>
              <w:rPr>
                <w:rFonts w:ascii="Times New Roman" w:cs="Times New Roman" w:eastAsia="Times New Roman" w:hAnsi="Times New Roman"/>
                <w:sz w:val="24"/>
                <w:szCs w:val="24"/>
                <w:i w:val="1"/>
                <w:iCs w:val="1"/>
                <w:color w:val="auto"/>
              </w:rPr>
              <w:t>Studies</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 xml:space="preserve"> 9</w:t>
            </w:r>
            <w:r>
              <w:rPr>
                <w:rFonts w:ascii="Times New Roman" w:cs="Times New Roman" w:eastAsia="Times New Roman" w:hAnsi="Times New Roman"/>
                <w:sz w:val="24"/>
                <w:szCs w:val="24"/>
                <w:color w:val="auto"/>
              </w:rPr>
              <w:t>(2), 233-243.</w:t>
            </w:r>
          </w:p>
        </w:tc>
        <w:tc>
          <w:tcPr>
            <w:tcW w:w="4740" w:type="dxa"/>
            <w:vAlign w:val="bottom"/>
          </w:tcPr>
          <w:p>
            <w:pPr>
              <w:spacing w:after="0"/>
              <w:rPr>
                <w:sz w:val="24"/>
                <w:szCs w:val="24"/>
                <w:color w:val="auto"/>
              </w:rPr>
            </w:pPr>
          </w:p>
        </w:tc>
      </w:tr>
    </w:tbl>
    <w:p>
      <w:pPr>
        <w:spacing w:after="0" w:line="13" w:lineRule="exact"/>
        <w:rPr>
          <w:sz w:val="20"/>
          <w:szCs w:val="20"/>
          <w:color w:val="auto"/>
        </w:rPr>
      </w:pPr>
    </w:p>
    <w:p>
      <w:pPr>
        <w:jc w:val="both"/>
        <w:ind w:left="600" w:right="40" w:hanging="568"/>
        <w:spacing w:after="0" w:line="234" w:lineRule="auto"/>
        <w:rPr>
          <w:sz w:val="20"/>
          <w:szCs w:val="20"/>
          <w:color w:val="auto"/>
        </w:rPr>
      </w:pPr>
      <w:r>
        <w:rPr>
          <w:rFonts w:ascii="Times New Roman" w:cs="Times New Roman" w:eastAsia="Times New Roman" w:hAnsi="Times New Roman"/>
          <w:sz w:val="24"/>
          <w:szCs w:val="24"/>
          <w:color w:val="auto"/>
        </w:rPr>
        <w:t xml:space="preserve">Srinivas, L. (2002). The active audience: spectatorship, social relations and the experience of cinema in India. </w:t>
      </w:r>
      <w:r>
        <w:rPr>
          <w:rFonts w:ascii="Times New Roman" w:cs="Times New Roman" w:eastAsia="Times New Roman" w:hAnsi="Times New Roman"/>
          <w:sz w:val="24"/>
          <w:szCs w:val="24"/>
          <w:i w:val="1"/>
          <w:iCs w:val="1"/>
          <w:color w:val="auto"/>
        </w:rPr>
        <w:t>Media, Culture &amp; Society</w:t>
      </w:r>
      <w:r>
        <w:rPr>
          <w:rFonts w:ascii="Times New Roman" w:cs="Times New Roman" w:eastAsia="Times New Roman" w:hAnsi="Times New Roman"/>
          <w:sz w:val="24"/>
          <w:szCs w:val="24"/>
          <w:color w:val="auto"/>
        </w:rPr>
        <w:t>, 24(2), 155-173.</w:t>
      </w:r>
    </w:p>
    <w:p>
      <w:pPr>
        <w:spacing w:after="0" w:line="14" w:lineRule="exact"/>
        <w:rPr>
          <w:sz w:val="20"/>
          <w:szCs w:val="20"/>
          <w:color w:val="auto"/>
        </w:rPr>
      </w:pPr>
    </w:p>
    <w:p>
      <w:pPr>
        <w:jc w:val="both"/>
        <w:ind w:left="600" w:right="40" w:hanging="568"/>
        <w:spacing w:after="0" w:line="234" w:lineRule="auto"/>
        <w:rPr>
          <w:sz w:val="20"/>
          <w:szCs w:val="20"/>
          <w:color w:val="auto"/>
        </w:rPr>
      </w:pPr>
      <w:r>
        <w:rPr>
          <w:rFonts w:ascii="Times New Roman" w:cs="Times New Roman" w:eastAsia="Times New Roman" w:hAnsi="Times New Roman"/>
          <w:sz w:val="24"/>
          <w:szCs w:val="24"/>
          <w:color w:val="auto"/>
        </w:rPr>
        <w:t xml:space="preserve">Yasar, Z. (2019). “Emek Is Ours, Istanbul Is Ours”: Reimagining a Movie Theater through Urban Activism. </w:t>
      </w:r>
      <w:r>
        <w:rPr>
          <w:rFonts w:ascii="Times New Roman" w:cs="Times New Roman" w:eastAsia="Times New Roman" w:hAnsi="Times New Roman"/>
          <w:sz w:val="24"/>
          <w:szCs w:val="24"/>
          <w:i w:val="1"/>
          <w:iCs w:val="1"/>
          <w:color w:val="auto"/>
        </w:rPr>
        <w:t>The Velvet Light Trap</w:t>
      </w:r>
      <w:r>
        <w:rPr>
          <w:rFonts w:ascii="Times New Roman" w:cs="Times New Roman" w:eastAsia="Times New Roman" w:hAnsi="Times New Roman"/>
          <w:sz w:val="24"/>
          <w:szCs w:val="24"/>
          <w:color w:val="auto"/>
        </w:rPr>
        <w:t>, (83), 46-59.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5080</wp:posOffset>
            </wp:positionH>
            <wp:positionV relativeFrom="paragraph">
              <wp:posOffset>8134985</wp:posOffset>
            </wp:positionV>
            <wp:extent cx="5798820"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extLst>
                    </a:blip>
                    <a:srcRect/>
                    <a:stretch>
                      <a:fillRect/>
                    </a:stretch>
                  </pic:blipFill>
                  <pic:spPr bwMode="auto">
                    <a:xfrm>
                      <a:off x="0" y="0"/>
                      <a:ext cx="5798820" cy="6350"/>
                    </a:xfrm>
                    <a:prstGeom prst="rect">
                      <a:avLst/>
                    </a:prstGeom>
                    <a:noFill/>
                  </pic:spPr>
                </pic:pic>
              </a:graphicData>
            </a:graphic>
          </wp:anchor>
        </w:drawing>
      </w:r>
    </w:p>
    <w:p>
      <w:pPr>
        <w:sectPr>
          <w:pgSz w:w="11900" w:h="16838" w:orient="portrait"/>
          <w:cols w:equalWidth="0" w:num="1">
            <w:col w:w="9140"/>
          </w:cols>
          <w:pgMar w:left="1380" w:top="562" w:right="138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19"/>
        <w:spacing w:after="0"/>
        <w:rPr>
          <w:sz w:val="20"/>
          <w:szCs w:val="20"/>
          <w:color w:val="auto"/>
        </w:rPr>
      </w:pPr>
      <w:r>
        <w:rPr>
          <w:rFonts w:ascii="Garamond" w:cs="Garamond" w:eastAsia="Garamond" w:hAnsi="Garamond"/>
          <w:sz w:val="20"/>
          <w:szCs w:val="20"/>
          <w:b w:val="1"/>
          <w:bCs w:val="1"/>
          <w:i w:val="1"/>
          <w:iCs w:val="1"/>
          <w:color w:val="auto"/>
        </w:rPr>
        <w:t>Economics &amp; Sociology, Vol. 13, No. 2, 2020</w:t>
      </w:r>
    </w:p>
    <w:sectPr>
      <w:pgSz w:w="11900" w:h="16838" w:orient="portrait"/>
      <w:cols w:equalWidth="0" w:num="1">
        <w:col w:w="9140"/>
      </w:cols>
      <w:pgMar w:left="1380" w:top="562" w:right="138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2000009F" w:csb1="DFD70000"/>
  </w:font>
  <w:font w:name="Garamond">
    <w:panose1 w:val="02020404030301010803"/>
    <w:charset w:val="A2"/>
    <w:family w:val="roman"/>
    <w:pitch w:val="variable"/>
    <w:sig w:usb0="00000287" w:usb1="00000000" w:usb2="00000000" w:usb3="00000000" w:csb0="0000009F" w:csb1="DFD70000"/>
  </w:font>
  <w:font w:name="Cambria Math">
    <w:panose1 w:val="02040503050406030204"/>
    <w:charset w:val="00"/>
    <w:family w:val="roman"/>
    <w:pitch w:val="variable"/>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jpeg"/><Relationship Id="rId10"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7" Type="http://schemas.openxmlformats.org/officeDocument/2006/relationships/image" Target="media/image15.png"/><Relationship Id="rId30"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9" Type="http://schemas.openxmlformats.org/officeDocument/2006/relationships/hyperlink" Target="mailto:cayurtseven@yahoo.com" TargetMode="External"/><Relationship Id="rId11" Type="http://schemas.openxmlformats.org/officeDocument/2006/relationships/hyperlink" Target="https://en.wikipedia.org/wiki/IMAX" TargetMode="External"/><Relationship Id="rId12" Type="http://schemas.openxmlformats.org/officeDocument/2006/relationships/hyperlink" Target="https://en.wikipedia.org/wiki/Disney" TargetMode="External"/><Relationship Id="rId25" Type="http://schemas.openxmlformats.org/officeDocument/2006/relationships/hyperlink" Target="https://m.haberturk.com/yazarlar/ayse-ozek-karasu/2276851-patlamis-misirdan-cimicangaya?fbclid=IwAR0ksr-JLQKaYQjZgoBWMqSpq7PBY1B8nUtY1VGv6k2c5ZS38uhXBCwk2kk" TargetMode="External"/><Relationship Id="rId26" Type="http://schemas.openxmlformats.org/officeDocument/2006/relationships/hyperlink" Target="https://www.gazeteduvar.com.tr/sinema/2019/01/30/sinema-kanunu-resmi-gazetede-yayimlandi/" TargetMode="External"/><Relationship Id="rId28" Type="http://schemas.openxmlformats.org/officeDocument/2006/relationships/hyperlink" Target="https://baydoner.com/kampanyalar/sinema-kampanyasi" TargetMode="External"/><Relationship Id="rId29" Type="http://schemas.openxmlformats.org/officeDocument/2006/relationships/hyperlink" Target="http://doi.org/10.1016/0022-4359(94)90026-4" TargetMode="External"/><Relationship Id="rId31" Type="http://schemas.openxmlformats.org/officeDocument/2006/relationships/hyperlink" Target="http://www.jll.com.tr/turkey/en-gb/research" TargetMode="External"/><Relationship Id="rId32" Type="http://schemas.openxmlformats.org/officeDocument/2006/relationships/hyperlink" Target="https://www.haberturk.com/yazarlar/ayse-ozek-karasu/2276851-patlamis-misirdan-cimicangaya" TargetMode="External"/><Relationship Id="rId33" Type="http://schemas.openxmlformats.org/officeDocument/2006/relationships/hyperlink" Target="http://www.cumhuriyet.com.tr/haber/kultur-sanat/780733/_Ne_gerekiyorsa_yapacagiz_.html" TargetMode="External"/><Relationship Id="rId34" Type="http://schemas.openxmlformats.org/officeDocument/2006/relationships/hyperlink" Target="http://doi.org/10.1016/S0094-1190(03)00002-0" TargetMode="External"/><Relationship Id="rId35" Type="http://schemas.openxmlformats.org/officeDocument/2006/relationships/hyperlink" Target="http://doi.org/10.1086/46738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2020-09-15T05:11:55Z</dcterms:created>
  <dcterms:modified xsi:type="dcterms:W3CDTF">2020-09-15T05:11:55Z</dcterms:modified>
</cp:coreProperties>
</file>