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upplementary-table-1"/>
      <w:r>
        <w:t xml:space="preserve">Supplementary Table 1</w:t>
      </w:r>
      <w:bookmarkEnd w:id="20"/>
    </w:p>
    <w:p>
      <w:pPr>
        <w:pStyle w:val="FirstParagraph"/>
      </w:pPr>
      <w:r>
        <w:rPr>
          <w:i/>
        </w:rPr>
        <w:t xml:space="preserve">Mean arousal ratings (SD) and paired-sample t-tests for all time point contrasts.</w:t>
      </w:r>
    </w:p>
    <w:p>
      <w:pPr>
        <w:pStyle w:val="BodyText"/>
      </w:pPr>
      <w:r>
        <w:rPr>
          <w:b/>
        </w:rPr>
        <w:t xml:space="preserve">Arousal</w:t>
      </w:r>
    </w:p>
    <w:tbl>
      <w:tblPr>
        <w:tblStyle w:val="Table"/>
        <w:tblW w:type="pct" w:w="4999.999999999999"/>
        <w:tblLook w:firstRow="1"/>
      </w:tblPr>
      <w:tblGrid>
        <w:gridCol w:w="1400"/>
        <w:gridCol w:w="1239"/>
        <w:gridCol w:w="1293"/>
        <w:gridCol w:w="377"/>
        <w:gridCol w:w="431"/>
        <w:gridCol w:w="484"/>
        <w:gridCol w:w="862"/>
        <w:gridCol w:w="431"/>
        <w:gridCol w:w="808"/>
        <w:gridCol w:w="5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points contrasts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First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Second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BF</w:t>
            </w:r>
            <w:r>
              <w:rPr>
                <w:vertAlign w:val="subscript"/>
              </w:rP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1-2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-0.60, -0.08</w:t>
            </w:r>
          </w:p>
        </w:tc>
        <w:tc>
          <w:p>
            <w:pPr>
              <w:pStyle w:val="Compact"/>
              <w:jc w:val="right"/>
            </w:pPr>
            <w:r>
              <w:t xml:space="preserve">3.08e+02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1-3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.148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-0.38, 0.14</w:t>
            </w:r>
          </w:p>
        </w:tc>
        <w:tc>
          <w:p>
            <w:pPr>
              <w:pStyle w:val="Compact"/>
              <w:jc w:val="right"/>
            </w:pPr>
            <w:r>
              <w:t xml:space="preserve">2.87e-01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1-4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.122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-0.09, 0.43</w:t>
            </w:r>
          </w:p>
        </w:tc>
        <w:tc>
          <w:p>
            <w:pPr>
              <w:pStyle w:val="Compact"/>
              <w:jc w:val="right"/>
            </w:pPr>
            <w:r>
              <w:t xml:space="preserve">3.31e-01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1-5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.955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-0.25, 0.26</w:t>
            </w:r>
          </w:p>
        </w:tc>
        <w:tc>
          <w:p>
            <w:pPr>
              <w:pStyle w:val="Compact"/>
              <w:jc w:val="right"/>
            </w:pPr>
            <w:r>
              <w:t xml:space="preserve">1.03e-01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1-6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.017</w:t>
            </w:r>
          </w:p>
        </w:tc>
        <w:tc>
          <w:p>
            <w:pPr>
              <w:pStyle w:val="Compact"/>
              <w:jc w:val="right"/>
            </w:pPr>
            <w:r>
              <w:t xml:space="preserve">.170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-0.51, 0.00</w:t>
            </w:r>
          </w:p>
        </w:tc>
        <w:tc>
          <w:p>
            <w:pPr>
              <w:pStyle w:val="Compact"/>
              <w:jc w:val="right"/>
            </w:pPr>
            <w:r>
              <w:t xml:space="preserve">1.64e+00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2-3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-0.02, 0.49</w:t>
            </w:r>
          </w:p>
        </w:tc>
        <w:tc>
          <w:p>
            <w:pPr>
              <w:pStyle w:val="Compact"/>
              <w:jc w:val="right"/>
            </w:pPr>
            <w:r>
              <w:t xml:space="preserve">5.06e+01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2-4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0.21, 0.73</w:t>
            </w:r>
          </w:p>
        </w:tc>
        <w:tc>
          <w:p>
            <w:pPr>
              <w:pStyle w:val="Compact"/>
              <w:jc w:val="right"/>
            </w:pPr>
            <w:r>
              <w:t xml:space="preserve">2.62e+02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2-5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.001</w:t>
            </w:r>
          </w:p>
        </w:tc>
        <w:tc>
          <w:p>
            <w:pPr>
              <w:pStyle w:val="Compact"/>
              <w:jc w:val="right"/>
            </w:pPr>
            <w:r>
              <w:t xml:space="preserve">.016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0.09, 0.61</w:t>
            </w:r>
          </w:p>
        </w:tc>
        <w:tc>
          <w:p>
            <w:pPr>
              <w:pStyle w:val="Compact"/>
              <w:jc w:val="right"/>
            </w:pPr>
            <w:r>
              <w:t xml:space="preserve">2.14e+01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2-6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.301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-0.16, 0.35</w:t>
            </w:r>
          </w:p>
        </w:tc>
        <w:tc>
          <w:p>
            <w:pPr>
              <w:pStyle w:val="Compact"/>
              <w:jc w:val="right"/>
            </w:pPr>
            <w:r>
              <w:t xml:space="preserve">1.73e-01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3-4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p>
            <w:pPr>
              <w:pStyle w:val="Compact"/>
              <w:jc w:val="right"/>
            </w:pPr>
            <w:r>
              <w:t xml:space="preserve">.013</w:t>
            </w:r>
          </w:p>
        </w:tc>
        <w:tc>
          <w:p>
            <w:pPr>
              <w:pStyle w:val="Compact"/>
              <w:jc w:val="right"/>
            </w:pPr>
            <w:r>
              <w:t xml:space="preserve">.143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0.02, 0.54</w:t>
            </w:r>
          </w:p>
        </w:tc>
        <w:tc>
          <w:p>
            <w:pPr>
              <w:pStyle w:val="Compact"/>
              <w:jc w:val="right"/>
            </w:pPr>
            <w:r>
              <w:t xml:space="preserve">2.07e+00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3-5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.226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-0.13, 0.39</w:t>
            </w:r>
          </w:p>
        </w:tc>
        <w:tc>
          <w:p>
            <w:pPr>
              <w:pStyle w:val="Compact"/>
              <w:jc w:val="right"/>
            </w:pPr>
            <w:r>
              <w:t xml:space="preserve">2.11e-01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3-6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.162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-0.40, 0.12</w:t>
            </w:r>
          </w:p>
        </w:tc>
        <w:tc>
          <w:p>
            <w:pPr>
              <w:pStyle w:val="Compact"/>
              <w:jc w:val="right"/>
            </w:pPr>
            <w:r>
              <w:t xml:space="preserve">2.68e-01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4-5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.006</w:t>
            </w:r>
          </w:p>
        </w:tc>
        <w:tc>
          <w:p>
            <w:pPr>
              <w:pStyle w:val="Compact"/>
              <w:jc w:val="right"/>
            </w:pPr>
            <w:r>
              <w:t xml:space="preserve">.078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-0.42, 0.10</w:t>
            </w:r>
          </w:p>
        </w:tc>
        <w:tc>
          <w:p>
            <w:pPr>
              <w:pStyle w:val="Compact"/>
              <w:jc w:val="right"/>
            </w:pPr>
            <w:r>
              <w:t xml:space="preserve">3.99e+00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4-6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-0.65, -0.13</w:t>
            </w:r>
          </w:p>
        </w:tc>
        <w:tc>
          <w:p>
            <w:pPr>
              <w:pStyle w:val="Compact"/>
              <w:jc w:val="right"/>
            </w:pPr>
            <w:r>
              <w:t xml:space="preserve">1.44e+02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5-6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.006</w:t>
            </w:r>
          </w:p>
        </w:tc>
        <w:tc>
          <w:p>
            <w:pPr>
              <w:pStyle w:val="Compact"/>
              <w:jc w:val="right"/>
            </w:pPr>
            <w:r>
              <w:t xml:space="preserve">.078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-0.52, -0.00</w:t>
            </w:r>
          </w:p>
        </w:tc>
        <w:tc>
          <w:p>
            <w:pPr>
              <w:pStyle w:val="Compact"/>
              <w:jc w:val="right"/>
            </w:pPr>
            <w:r>
              <w:t xml:space="preserve">4.10e+00</w:t>
            </w:r>
          </w:p>
        </w:tc>
      </w:tr>
    </w:tbl>
    <w:p>
      <w:pPr>
        <w:pStyle w:val="BodyText"/>
      </w:pPr>
      <w:r>
        <w:rPr>
          <w:i/>
        </w:rPr>
        <w:t xml:space="preserve">Note</w:t>
      </w:r>
      <w:r>
        <w:t xml:space="preserve">: both uncorrected and Holm-corrected (for multiple comparisons)</w:t>
      </w:r>
      <w:r>
        <w:t xml:space="preserve"> </w:t>
      </w:r>
      <w:r>
        <w:rPr>
          <w:i/>
        </w:rPr>
        <w:t xml:space="preserve">p</w:t>
      </w:r>
      <w:r>
        <w:t xml:space="preserve">-values are reported.</w:t>
      </w:r>
    </w:p>
    <w:p>
      <w:r>
        <w:br w:type="page"/>
      </w:r>
    </w:p>
    <w:p>
      <w:pPr>
        <w:pStyle w:val="Heading2"/>
      </w:pPr>
      <w:bookmarkStart w:id="21" w:name="supplementary-table-2"/>
      <w:r>
        <w:t xml:space="preserve">Supplementary Table 2</w:t>
      </w:r>
      <w:bookmarkEnd w:id="21"/>
    </w:p>
    <w:p>
      <w:pPr>
        <w:pStyle w:val="FirstParagraph"/>
      </w:pPr>
      <w:r>
        <w:rPr>
          <w:i/>
        </w:rPr>
        <w:t xml:space="preserve">Mean valence ratings (SD) and paired-sample t-tests for all time point contrasts.</w:t>
      </w:r>
    </w:p>
    <w:p>
      <w:pPr>
        <w:pStyle w:val="BodyText"/>
      </w:pPr>
      <w:r>
        <w:rPr>
          <w:b/>
        </w:rPr>
        <w:t xml:space="preserve">Valence</w:t>
      </w:r>
    </w:p>
    <w:tbl>
      <w:tblPr>
        <w:tblStyle w:val="Table"/>
        <w:tblW w:type="pct" w:w="4999.999999999999"/>
        <w:tblLook w:firstRow="1"/>
      </w:tblPr>
      <w:tblGrid>
        <w:gridCol w:w="1400"/>
        <w:gridCol w:w="1239"/>
        <w:gridCol w:w="1293"/>
        <w:gridCol w:w="377"/>
        <w:gridCol w:w="431"/>
        <w:gridCol w:w="484"/>
        <w:gridCol w:w="862"/>
        <w:gridCol w:w="431"/>
        <w:gridCol w:w="808"/>
        <w:gridCol w:w="5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points contrasts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First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Second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BF</w:t>
            </w:r>
            <w:r>
              <w:rPr>
                <w:vertAlign w:val="subscript"/>
              </w:rP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1-2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.458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-0.18, 0.33</w:t>
            </w:r>
          </w:p>
        </w:tc>
        <w:tc>
          <w:p>
            <w:pPr>
              <w:pStyle w:val="Compact"/>
              <w:jc w:val="right"/>
            </w:pPr>
            <w:r>
              <w:t xml:space="preserve">1.34e-01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1-3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.777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-0.23, 0.28</w:t>
            </w:r>
          </w:p>
        </w:tc>
        <w:tc>
          <w:p>
            <w:pPr>
              <w:pStyle w:val="Compact"/>
              <w:jc w:val="right"/>
            </w:pPr>
            <w:r>
              <w:t xml:space="preserve">1.07e-01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1-4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0.44, 0.97</w:t>
            </w:r>
          </w:p>
        </w:tc>
        <w:tc>
          <w:p>
            <w:pPr>
              <w:pStyle w:val="Compact"/>
              <w:jc w:val="right"/>
            </w:pPr>
            <w:r>
              <w:t xml:space="preserve">1.75e+05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1-5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0.31, 0.84</w:t>
            </w:r>
          </w:p>
        </w:tc>
        <w:tc>
          <w:p>
            <w:pPr>
              <w:pStyle w:val="Compact"/>
              <w:jc w:val="right"/>
            </w:pPr>
            <w:r>
              <w:t xml:space="preserve">6.21e+03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1-6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0.17, 0.69</w:t>
            </w:r>
          </w:p>
        </w:tc>
        <w:tc>
          <w:p>
            <w:pPr>
              <w:pStyle w:val="Compact"/>
              <w:jc w:val="right"/>
            </w:pPr>
            <w:r>
              <w:t xml:space="preserve">1.18e+02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2-3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.470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-0.31, 0.20</w:t>
            </w:r>
          </w:p>
        </w:tc>
        <w:tc>
          <w:p>
            <w:pPr>
              <w:pStyle w:val="Compact"/>
              <w:jc w:val="right"/>
            </w:pPr>
            <w:r>
              <w:t xml:space="preserve">1.33e-01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2-4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0.37, 0.90</w:t>
            </w:r>
          </w:p>
        </w:tc>
        <w:tc>
          <w:p>
            <w:pPr>
              <w:pStyle w:val="Compact"/>
              <w:jc w:val="right"/>
            </w:pPr>
            <w:r>
              <w:t xml:space="preserve">1.54e+04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2-5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0.24, 0.76</w:t>
            </w:r>
          </w:p>
        </w:tc>
        <w:tc>
          <w:p>
            <w:pPr>
              <w:pStyle w:val="Compact"/>
              <w:jc w:val="right"/>
            </w:pPr>
            <w:r>
              <w:t xml:space="preserve">4.66e+02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2-6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.003</w:t>
            </w:r>
          </w:p>
        </w:tc>
        <w:tc>
          <w:p>
            <w:pPr>
              <w:pStyle w:val="Compact"/>
              <w:jc w:val="right"/>
            </w:pPr>
            <w:r>
              <w:t xml:space="preserve">.042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0.08, 0.60</w:t>
            </w:r>
          </w:p>
        </w:tc>
        <w:tc>
          <w:p>
            <w:pPr>
              <w:pStyle w:val="Compact"/>
              <w:jc w:val="right"/>
            </w:pPr>
            <w:r>
              <w:t xml:space="preserve">7.66e+00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3-4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0.43, 0.96</w:t>
            </w:r>
          </w:p>
        </w:tc>
        <w:tc>
          <w:p>
            <w:pPr>
              <w:pStyle w:val="Compact"/>
              <w:jc w:val="right"/>
            </w:pPr>
            <w:r>
              <w:t xml:space="preserve">8.01e+04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3-5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0.31, 0.83</w:t>
            </w:r>
          </w:p>
        </w:tc>
        <w:tc>
          <w:p>
            <w:pPr>
              <w:pStyle w:val="Compact"/>
              <w:jc w:val="right"/>
            </w:pPr>
            <w:r>
              <w:t xml:space="preserve">3.12e+03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3-6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0.16, 0.68</w:t>
            </w:r>
          </w:p>
        </w:tc>
        <w:tc>
          <w:p>
            <w:pPr>
              <w:pStyle w:val="Compact"/>
              <w:jc w:val="right"/>
            </w:pPr>
            <w:r>
              <w:t xml:space="preserve">4.78e+01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4-5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-0.44, 0.08</w:t>
            </w:r>
          </w:p>
        </w:tc>
        <w:tc>
          <w:p>
            <w:pPr>
              <w:pStyle w:val="Compact"/>
              <w:jc w:val="right"/>
            </w:pPr>
            <w:r>
              <w:t xml:space="preserve">5.31e+01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4-6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-0.63, -0.11</w:t>
            </w:r>
          </w:p>
        </w:tc>
        <w:tc>
          <w:p>
            <w:pPr>
              <w:pStyle w:val="Compact"/>
              <w:jc w:val="right"/>
            </w:pPr>
            <w:r>
              <w:t xml:space="preserve">8.42e+02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5-6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.002</w:t>
            </w:r>
          </w:p>
        </w:tc>
        <w:tc>
          <w:p>
            <w:pPr>
              <w:pStyle w:val="Compact"/>
              <w:jc w:val="right"/>
            </w:pPr>
            <w:r>
              <w:t xml:space="preserve">.030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-0.46, 0.06</w:t>
            </w:r>
          </w:p>
        </w:tc>
        <w:tc>
          <w:p>
            <w:pPr>
              <w:pStyle w:val="Compact"/>
              <w:jc w:val="right"/>
            </w:pPr>
            <w:r>
              <w:t xml:space="preserve">1.01e+01</w:t>
            </w:r>
          </w:p>
        </w:tc>
      </w:tr>
    </w:tbl>
    <w:p>
      <w:pPr>
        <w:pStyle w:val="BodyText"/>
      </w:pPr>
      <w:r>
        <w:rPr>
          <w:i/>
        </w:rPr>
        <w:t xml:space="preserve">Note</w:t>
      </w:r>
      <w:r>
        <w:t xml:space="preserve">: both uncorrected and Holm-corrected (for multiple comparisons)</w:t>
      </w:r>
      <w:r>
        <w:t xml:space="preserve"> </w:t>
      </w:r>
      <w:r>
        <w:rPr>
          <w:i/>
        </w:rPr>
        <w:t xml:space="preserve">p</w:t>
      </w:r>
      <w:r>
        <w:t xml:space="preserve">-values are reported.</w:t>
      </w:r>
    </w:p>
    <w:p>
      <w:r>
        <w:br w:type="page"/>
      </w:r>
    </w:p>
    <w:p>
      <w:pPr>
        <w:pStyle w:val="Heading2"/>
      </w:pPr>
      <w:bookmarkStart w:id="22" w:name="supplementary-table-3"/>
      <w:r>
        <w:t xml:space="preserve">Supplementary Table 3</w:t>
      </w:r>
      <w:bookmarkEnd w:id="22"/>
    </w:p>
    <w:p>
      <w:pPr>
        <w:pStyle w:val="FirstParagraph"/>
      </w:pPr>
      <w:r>
        <w:rPr>
          <w:i/>
        </w:rPr>
        <w:t xml:space="preserve">Mean arousal and valence ratings (SD) and associated between-subject t-tests for all time points.</w:t>
      </w:r>
    </w:p>
    <w:p>
      <w:pPr>
        <w:pStyle w:val="BodyText"/>
      </w:pPr>
      <w:r>
        <w:rPr>
          <w:b/>
        </w:rPr>
        <w:t xml:space="preserve">Arousal</w:t>
      </w:r>
    </w:p>
    <w:tbl>
      <w:tblPr>
        <w:tblStyle w:val="Table"/>
        <w:tblW w:type="pct" w:w="5000.0"/>
        <w:tblLook w:firstRow="1"/>
      </w:tblPr>
      <w:tblGrid>
        <w:gridCol w:w="947"/>
        <w:gridCol w:w="1083"/>
        <w:gridCol w:w="1015"/>
        <w:gridCol w:w="473"/>
        <w:gridCol w:w="541"/>
        <w:gridCol w:w="609"/>
        <w:gridCol w:w="1083"/>
        <w:gridCol w:w="473"/>
        <w:gridCol w:w="947"/>
        <w:gridCol w:w="7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Excited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BF</w:t>
            </w:r>
            <w:r>
              <w:rPr>
                <w:vertAlign w:val="subscript"/>
              </w:rP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1.09 (1.38)</w:t>
            </w:r>
          </w:p>
        </w:tc>
        <w:tc>
          <w:p>
            <w:pPr>
              <w:pStyle w:val="Compact"/>
              <w:jc w:val="right"/>
            </w:pPr>
            <w:r>
              <w:t xml:space="preserve">0.65 (1.54)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.054</w:t>
            </w:r>
          </w:p>
        </w:tc>
        <w:tc>
          <w:p>
            <w:pPr>
              <w:pStyle w:val="Compact"/>
              <w:jc w:val="right"/>
            </w:pPr>
            <w:r>
              <w:t xml:space="preserve">.162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-0.07, 0.67</w:t>
            </w:r>
          </w:p>
        </w:tc>
        <w:tc>
          <w:p>
            <w:pPr>
              <w:pStyle w:val="Compact"/>
              <w:jc w:val="right"/>
            </w:pPr>
            <w:r>
              <w:t xml:space="preserve">1.19e+00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1.47 (1.36)</w:t>
            </w:r>
          </w:p>
        </w:tc>
        <w:tc>
          <w:p>
            <w:pPr>
              <w:pStyle w:val="Compact"/>
              <w:jc w:val="right"/>
            </w:pPr>
            <w:r>
              <w:t xml:space="preserve">1.23 (1.39)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.174</w:t>
            </w:r>
          </w:p>
        </w:tc>
        <w:tc>
          <w:p>
            <w:pPr>
              <w:pStyle w:val="Compact"/>
              <w:jc w:val="right"/>
            </w:pPr>
            <w:r>
              <w:t xml:space="preserve">.324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-0.19, 0.54</w:t>
            </w:r>
          </w:p>
        </w:tc>
        <w:tc>
          <w:p>
            <w:pPr>
              <w:pStyle w:val="Compact"/>
              <w:jc w:val="right"/>
            </w:pPr>
            <w:r>
              <w:t xml:space="preserve">4.77e-01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1.16 (1.37)</w:t>
            </w:r>
          </w:p>
        </w:tc>
        <w:tc>
          <w:p>
            <w:pPr>
              <w:pStyle w:val="Compact"/>
              <w:jc w:val="right"/>
            </w:pPr>
            <w:r>
              <w:t xml:space="preserve">0.92 (1.27)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.162</w:t>
            </w:r>
          </w:p>
        </w:tc>
        <w:tc>
          <w:p>
            <w:pPr>
              <w:pStyle w:val="Compact"/>
              <w:jc w:val="right"/>
            </w:pPr>
            <w:r>
              <w:t xml:space="preserve">.324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-0.18, 0.55</w:t>
            </w:r>
          </w:p>
        </w:tc>
        <w:tc>
          <w:p>
            <w:pPr>
              <w:pStyle w:val="Compact"/>
              <w:jc w:val="right"/>
            </w:pPr>
            <w:r>
              <w:t xml:space="preserve">5.04e-01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1.82 (1.59)</w:t>
            </w:r>
          </w:p>
        </w:tc>
        <w:tc>
          <w:p>
            <w:pPr>
              <w:pStyle w:val="Compact"/>
              <w:jc w:val="right"/>
            </w:pPr>
            <w:r>
              <w:t xml:space="preserve">-0.60 (1.22)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1.28, 2.14</w:t>
            </w:r>
          </w:p>
        </w:tc>
        <w:tc>
          <w:p>
            <w:pPr>
              <w:pStyle w:val="Compact"/>
              <w:jc w:val="right"/>
            </w:pPr>
            <w:r>
              <w:t xml:space="preserve">6.63e+12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1.74 (1.28)</w:t>
            </w:r>
          </w:p>
        </w:tc>
        <w:tc>
          <w:p>
            <w:pPr>
              <w:pStyle w:val="Compact"/>
              <w:jc w:val="right"/>
            </w:pPr>
            <w:r>
              <w:t xml:space="preserve">0.02 (1.13)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7.74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1.02, 1.84</w:t>
            </w:r>
          </w:p>
        </w:tc>
        <w:tc>
          <w:p>
            <w:pPr>
              <w:pStyle w:val="Compact"/>
              <w:jc w:val="right"/>
            </w:pPr>
            <w:r>
              <w:t xml:space="preserve">3.09e+09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1.54 (1.27)</w:t>
            </w:r>
          </w:p>
        </w:tc>
        <w:tc>
          <w:p>
            <w:pPr>
              <w:pStyle w:val="Compact"/>
              <w:jc w:val="right"/>
            </w:pPr>
            <w:r>
              <w:t xml:space="preserve">0.92 (1.37)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.006</w:t>
            </w:r>
          </w:p>
        </w:tc>
        <w:tc>
          <w:p>
            <w:pPr>
              <w:pStyle w:val="Compact"/>
              <w:jc w:val="right"/>
            </w:pPr>
            <w:r>
              <w:t xml:space="preserve">.024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0.10, 0.85</w:t>
            </w:r>
          </w:p>
        </w:tc>
        <w:tc>
          <w:p>
            <w:pPr>
              <w:pStyle w:val="Compact"/>
              <w:jc w:val="right"/>
            </w:pPr>
            <w:r>
              <w:t xml:space="preserve">7.25e+00</w:t>
            </w:r>
          </w:p>
        </w:tc>
      </w:tr>
    </w:tbl>
    <w:p>
      <w:pPr>
        <w:pStyle w:val="BodyText"/>
      </w:pPr>
      <w:r>
        <w:rPr>
          <w:b/>
        </w:rPr>
        <w:t xml:space="preserve">Valence</w:t>
      </w:r>
    </w:p>
    <w:tbl>
      <w:tblPr>
        <w:tblStyle w:val="Table"/>
        <w:tblW w:type="pct" w:w="4999.999999999999"/>
        <w:tblLook w:firstRow="1"/>
      </w:tblPr>
      <w:tblGrid>
        <w:gridCol w:w="931"/>
        <w:gridCol w:w="1064"/>
        <w:gridCol w:w="998"/>
        <w:gridCol w:w="532"/>
        <w:gridCol w:w="532"/>
        <w:gridCol w:w="598"/>
        <w:gridCol w:w="1064"/>
        <w:gridCol w:w="532"/>
        <w:gridCol w:w="931"/>
        <w:gridCol w:w="7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Excited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BF</w:t>
            </w:r>
            <w:r>
              <w:rPr>
                <w:vertAlign w:val="subscript"/>
              </w:rP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 (1.00)</w:t>
            </w:r>
          </w:p>
        </w:tc>
        <w:tc>
          <w:p>
            <w:pPr>
              <w:pStyle w:val="Compact"/>
              <w:jc w:val="right"/>
            </w:pPr>
            <w:r>
              <w:t xml:space="preserve">1.90 (1.08)</w:t>
            </w:r>
          </w:p>
        </w:tc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.302</w:t>
            </w:r>
          </w:p>
        </w:tc>
        <w:tc>
          <w:p>
            <w:pPr>
              <w:pStyle w:val="Compact"/>
              <w:jc w:val="right"/>
            </w:pPr>
            <w:r>
              <w:t xml:space="preserve">.906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-0.27, 0.46</w:t>
            </w:r>
          </w:p>
        </w:tc>
        <w:tc>
          <w:p>
            <w:pPr>
              <w:pStyle w:val="Compact"/>
              <w:jc w:val="right"/>
            </w:pPr>
            <w:r>
              <w:t xml:space="preserve">3.05e-01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1.86 (1.14)</w:t>
            </w:r>
          </w:p>
        </w:tc>
        <w:tc>
          <w:p>
            <w:pPr>
              <w:pStyle w:val="Compact"/>
              <w:jc w:val="right"/>
            </w:pPr>
            <w:r>
              <w:t xml:space="preserve">1.87 (1.31)</w:t>
            </w:r>
          </w:p>
        </w:tc>
        <w:tc>
          <w:p>
            <w:pPr>
              <w:pStyle w:val="Compact"/>
              <w:jc w:val="right"/>
            </w:pPr>
            <w:r>
              <w:t xml:space="preserve">114.2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.512</w:t>
            </w:r>
          </w:p>
        </w:tc>
        <w:tc>
          <w:p>
            <w:pPr>
              <w:pStyle w:val="Compact"/>
              <w:jc w:val="right"/>
            </w:pPr>
            <w:r>
              <w:t xml:space="preserve">.940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-0.37, 0.36</w:t>
            </w:r>
          </w:p>
        </w:tc>
        <w:tc>
          <w:p>
            <w:pPr>
              <w:pStyle w:val="Compact"/>
              <w:jc w:val="right"/>
            </w:pPr>
            <w:r>
              <w:t xml:space="preserve">1.92e-01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1.93 (0.88)</w:t>
            </w:r>
          </w:p>
        </w:tc>
        <w:tc>
          <w:p>
            <w:pPr>
              <w:pStyle w:val="Compact"/>
              <w:jc w:val="right"/>
            </w:pPr>
            <w:r>
              <w:t xml:space="preserve">1.92 (1.03)</w:t>
            </w:r>
          </w:p>
        </w:tc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.470</w:t>
            </w:r>
          </w:p>
        </w:tc>
        <w:tc>
          <w:p>
            <w:pPr>
              <w:pStyle w:val="Compact"/>
              <w:jc w:val="right"/>
            </w:pPr>
            <w:r>
              <w:t xml:space="preserve">.940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-0.35, 0.38</w:t>
            </w:r>
          </w:p>
        </w:tc>
        <w:tc>
          <w:p>
            <w:pPr>
              <w:pStyle w:val="Compact"/>
              <w:jc w:val="right"/>
            </w:pPr>
            <w:r>
              <w:t xml:space="preserve">2.08e-01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2.79 (0.77)</w:t>
            </w:r>
          </w:p>
        </w:tc>
        <w:tc>
          <w:p>
            <w:pPr>
              <w:pStyle w:val="Compact"/>
              <w:jc w:val="right"/>
            </w:pPr>
            <w:r>
              <w:t xml:space="preserve">-1.42 (1.55)</w:t>
            </w:r>
          </w:p>
        </w:tc>
        <w:tc>
          <w:p>
            <w:pPr>
              <w:pStyle w:val="Compact"/>
              <w:jc w:val="right"/>
            </w:pPr>
            <w:r>
              <w:t xml:space="preserve">87.47</w:t>
            </w:r>
          </w:p>
        </w:tc>
        <w:tc>
          <w:p>
            <w:pPr>
              <w:pStyle w:val="Compact"/>
              <w:jc w:val="right"/>
            </w:pPr>
            <w:r>
              <w:t xml:space="preserve">18.67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2.83, 3.97</w:t>
            </w:r>
          </w:p>
        </w:tc>
        <w:tc>
          <w:p>
            <w:pPr>
              <w:pStyle w:val="Compact"/>
              <w:jc w:val="right"/>
            </w:pPr>
            <w:r>
              <w:t xml:space="preserve">5.85e+32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2.56 (0.85)</w:t>
            </w:r>
          </w:p>
        </w:tc>
        <w:tc>
          <w:p>
            <w:pPr>
              <w:pStyle w:val="Compact"/>
              <w:jc w:val="right"/>
            </w:pPr>
            <w:r>
              <w:t xml:space="preserve">-0.42 (1.65)</w:t>
            </w:r>
          </w:p>
        </w:tc>
        <w:tc>
          <w:p>
            <w:pPr>
              <w:pStyle w:val="Compact"/>
              <w:jc w:val="right"/>
            </w:pPr>
            <w:r>
              <w:t xml:space="preserve">88.97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1.79, 2.72</w:t>
            </w:r>
          </w:p>
        </w:tc>
        <w:tc>
          <w:p>
            <w:pPr>
              <w:pStyle w:val="Compact"/>
              <w:jc w:val="right"/>
            </w:pPr>
            <w:r>
              <w:t xml:space="preserve">3.00e+19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2.30 (0.94)</w:t>
            </w:r>
          </w:p>
        </w:tc>
        <w:tc>
          <w:p>
            <w:pPr>
              <w:pStyle w:val="Compact"/>
              <w:jc w:val="right"/>
            </w:pPr>
            <w:r>
              <w:t xml:space="preserve">0.53 (1.44)</w:t>
            </w:r>
          </w:p>
        </w:tc>
        <w:tc>
          <w:p>
            <w:pPr>
              <w:pStyle w:val="Compact"/>
              <w:jc w:val="right"/>
            </w:pPr>
            <w:r>
              <w:t xml:space="preserve">102.3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1.03, 1.85</w:t>
            </w:r>
          </w:p>
        </w:tc>
        <w:tc>
          <w:p>
            <w:pPr>
              <w:pStyle w:val="Compact"/>
              <w:jc w:val="right"/>
            </w:pPr>
            <w:r>
              <w:t xml:space="preserve">3.82e+09</w:t>
            </w:r>
          </w:p>
        </w:tc>
      </w:tr>
    </w:tbl>
    <w:p>
      <w:pPr>
        <w:pStyle w:val="BodyText"/>
      </w:pPr>
      <w:r>
        <w:rPr>
          <w:i/>
        </w:rPr>
        <w:t xml:space="preserve">Note</w:t>
      </w:r>
      <w:r>
        <w:t xml:space="preserve">:</w:t>
      </w:r>
      <w:r>
        <w:t xml:space="preserve"> </w:t>
      </w:r>
      <w:r>
        <w:rPr>
          <w:i/>
        </w:rPr>
        <w:t xml:space="preserve">df</w:t>
      </w:r>
      <w:r>
        <w:t xml:space="preserve">-values were corrected (Welch’s approximation) in case of a violation of the assumption of homogeneity of variances. Moreover, both uncorrected and Holm-corrected (for multiple comparisons)</w:t>
      </w:r>
      <w:r>
        <w:t xml:space="preserve"> </w:t>
      </w:r>
      <w:r>
        <w:rPr>
          <w:i/>
        </w:rPr>
        <w:t xml:space="preserve">p</w:t>
      </w:r>
      <w:r>
        <w:t xml:space="preserve">-values are reported.</w:t>
      </w:r>
    </w:p>
    <w:p>
      <w:r>
        <w:br w:type="page"/>
      </w:r>
    </w:p>
    <w:p>
      <w:pPr>
        <w:pStyle w:val="Heading2"/>
      </w:pPr>
      <w:bookmarkStart w:id="23" w:name="table-1"/>
      <w:r>
        <w:t xml:space="preserve">Table 1</w:t>
      </w:r>
      <w:bookmarkEnd w:id="23"/>
    </w:p>
    <w:p>
      <w:pPr>
        <w:pStyle w:val="FirstParagraph"/>
      </w:pPr>
      <w:r>
        <w:rPr>
          <w:i/>
        </w:rPr>
        <w:t xml:space="preserve">.</w:t>
      </w:r>
    </w:p>
    <w:tbl>
      <w:tblPr>
        <w:tblStyle w:val="Table"/>
        <w:tblW w:type="pct" w:w="5000.0"/>
        <w:tblLook w:firstRow="1"/>
      </w:tblPr>
      <w:tblGrid>
        <w:gridCol w:w="410"/>
        <w:gridCol w:w="378"/>
        <w:gridCol w:w="946"/>
        <w:gridCol w:w="946"/>
        <w:gridCol w:w="1072"/>
        <w:gridCol w:w="1104"/>
        <w:gridCol w:w="1230"/>
        <w:gridCol w:w="851"/>
        <w:gridCol w:w="97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 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Patch repetition ratio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time in patches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Variability in leave times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Travel time between patches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 before first patch entered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area explored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berries collected (SD)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excited</w:t>
            </w:r>
          </w:p>
        </w:tc>
        <w:tc>
          <w:p>
            <w:pPr>
              <w:pStyle w:val="Compact"/>
              <w:jc w:val="right"/>
            </w:pPr>
            <w:r>
              <w:t xml:space="preserve">0.68 (0.21)</w:t>
            </w:r>
          </w:p>
        </w:tc>
        <w:tc>
          <w:p>
            <w:pPr>
              <w:pStyle w:val="Compact"/>
              <w:jc w:val="right"/>
            </w:pPr>
            <w:r>
              <w:t xml:space="preserve">32.85 (20.73)</w:t>
            </w:r>
          </w:p>
        </w:tc>
        <w:tc>
          <w:p>
            <w:pPr>
              <w:pStyle w:val="Compact"/>
              <w:jc w:val="right"/>
            </w:pPr>
            <w:r>
              <w:t xml:space="preserve">21.54 (14.75)</w:t>
            </w:r>
          </w:p>
        </w:tc>
        <w:tc>
          <w:p>
            <w:pPr>
              <w:pStyle w:val="Compact"/>
              <w:jc w:val="right"/>
            </w:pPr>
            <w:r>
              <w:t xml:space="preserve">8.51 (3.16)</w:t>
            </w:r>
          </w:p>
        </w:tc>
        <w:tc>
          <w:p>
            <w:pPr>
              <w:pStyle w:val="Compact"/>
              <w:jc w:val="right"/>
            </w:pPr>
            <w:r>
              <w:t xml:space="preserve">12.48 (9.66)</w:t>
            </w:r>
          </w:p>
        </w:tc>
        <w:tc>
          <w:p>
            <w:pPr>
              <w:pStyle w:val="Compact"/>
              <w:jc w:val="right"/>
            </w:pPr>
            <w:r>
              <w:t xml:space="preserve">3.96 (0.28)</w:t>
            </w:r>
          </w:p>
        </w:tc>
        <w:tc>
          <w:p>
            <w:pPr>
              <w:pStyle w:val="Compact"/>
              <w:jc w:val="right"/>
            </w:pPr>
            <w:r>
              <w:t xml:space="preserve">107.33 (21.38)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sad</w:t>
            </w:r>
          </w:p>
        </w:tc>
        <w:tc>
          <w:p>
            <w:pPr>
              <w:pStyle w:val="Compact"/>
              <w:jc w:val="right"/>
            </w:pPr>
            <w:r>
              <w:t xml:space="preserve">0.74 (0.22)</w:t>
            </w:r>
          </w:p>
        </w:tc>
        <w:tc>
          <w:p>
            <w:pPr>
              <w:pStyle w:val="Compact"/>
              <w:jc w:val="right"/>
            </w:pPr>
            <w:r>
              <w:t xml:space="preserve">35.08 (22.52)</w:t>
            </w:r>
          </w:p>
        </w:tc>
        <w:tc>
          <w:p>
            <w:pPr>
              <w:pStyle w:val="Compact"/>
              <w:jc w:val="right"/>
            </w:pPr>
            <w:r>
              <w:t xml:space="preserve">18.93 (11.14)</w:t>
            </w:r>
          </w:p>
        </w:tc>
        <w:tc>
          <w:p>
            <w:pPr>
              <w:pStyle w:val="Compact"/>
              <w:jc w:val="right"/>
            </w:pPr>
            <w:r>
              <w:t xml:space="preserve">8.98 (4.03)</w:t>
            </w:r>
          </w:p>
        </w:tc>
        <w:tc>
          <w:p>
            <w:pPr>
              <w:pStyle w:val="Compact"/>
              <w:jc w:val="right"/>
            </w:pPr>
            <w:r>
              <w:t xml:space="preserve">12.44 (7.35)</w:t>
            </w:r>
          </w:p>
        </w:tc>
        <w:tc>
          <w:p>
            <w:pPr>
              <w:pStyle w:val="Compact"/>
              <w:jc w:val="right"/>
            </w:pPr>
            <w:r>
              <w:t xml:space="preserve">3.92 (0.32)</w:t>
            </w:r>
          </w:p>
        </w:tc>
        <w:tc>
          <w:p>
            <w:pPr>
              <w:pStyle w:val="Compact"/>
              <w:jc w:val="right"/>
            </w:pPr>
            <w:r>
              <w:t xml:space="preserve">110.72 (21.92)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main</w:t>
            </w:r>
          </w:p>
        </w:tc>
        <w:tc>
          <w:p>
            <w:pPr>
              <w:pStyle w:val="Compact"/>
              <w:jc w:val="right"/>
            </w:pPr>
            <w:r>
              <w:t xml:space="preserve">excited</w:t>
            </w:r>
          </w:p>
        </w:tc>
        <w:tc>
          <w:p>
            <w:pPr>
              <w:pStyle w:val="Compact"/>
              <w:jc w:val="right"/>
            </w:pPr>
            <w:r>
              <w:t xml:space="preserve">0.96 (0.10)</w:t>
            </w:r>
          </w:p>
        </w:tc>
        <w:tc>
          <w:p>
            <w:pPr>
              <w:pStyle w:val="Compact"/>
              <w:jc w:val="right"/>
            </w:pPr>
            <w:r>
              <w:t xml:space="preserve">46.28 (17.32)</w:t>
            </w:r>
          </w:p>
        </w:tc>
        <w:tc>
          <w:p>
            <w:pPr>
              <w:pStyle w:val="Compact"/>
              <w:jc w:val="right"/>
            </w:pPr>
            <w:r>
              <w:t xml:space="preserve">12.76 (8.80)</w:t>
            </w:r>
          </w:p>
        </w:tc>
        <w:tc>
          <w:p>
            <w:pPr>
              <w:pStyle w:val="Compact"/>
              <w:jc w:val="right"/>
            </w:pPr>
            <w:r>
              <w:t xml:space="preserve">9.14 (2.95)</w:t>
            </w:r>
          </w:p>
        </w:tc>
        <w:tc>
          <w:p>
            <w:pPr>
              <w:pStyle w:val="Compact"/>
              <w:jc w:val="right"/>
            </w:pPr>
            <w:r>
              <w:t xml:space="preserve">10.35 (12.89)</w:t>
            </w:r>
          </w:p>
        </w:tc>
        <w:tc>
          <w:p>
            <w:pPr>
              <w:pStyle w:val="Compact"/>
              <w:jc w:val="right"/>
            </w:pPr>
            <w:r>
              <w:t xml:space="preserve">4.08 (0.28)</w:t>
            </w:r>
          </w:p>
        </w:tc>
        <w:tc>
          <w:p>
            <w:pPr>
              <w:pStyle w:val="Compact"/>
              <w:jc w:val="right"/>
            </w:pPr>
            <w:r>
              <w:t xml:space="preserve">128.89 (17.16)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main</w:t>
            </w:r>
          </w:p>
        </w:tc>
        <w:tc>
          <w:p>
            <w:pPr>
              <w:pStyle w:val="Compact"/>
              <w:jc w:val="right"/>
            </w:pPr>
            <w:r>
              <w:t xml:space="preserve">sad</w:t>
            </w:r>
          </w:p>
        </w:tc>
        <w:tc>
          <w:p>
            <w:pPr>
              <w:pStyle w:val="Compact"/>
              <w:jc w:val="right"/>
            </w:pPr>
            <w:r>
              <w:t xml:space="preserve">0.96 (0.08)</w:t>
            </w:r>
          </w:p>
        </w:tc>
        <w:tc>
          <w:p>
            <w:pPr>
              <w:pStyle w:val="Compact"/>
              <w:jc w:val="right"/>
            </w:pPr>
            <w:r>
              <w:t xml:space="preserve">42.24 (13.37)</w:t>
            </w:r>
          </w:p>
        </w:tc>
        <w:tc>
          <w:p>
            <w:pPr>
              <w:pStyle w:val="Compact"/>
              <w:jc w:val="right"/>
            </w:pPr>
            <w:r>
              <w:t xml:space="preserve">11.93 (8.99)</w:t>
            </w:r>
          </w:p>
        </w:tc>
        <w:tc>
          <w:p>
            <w:pPr>
              <w:pStyle w:val="Compact"/>
              <w:jc w:val="right"/>
            </w:pPr>
            <w:r>
              <w:t xml:space="preserve">9.41 (3.72)</w:t>
            </w:r>
          </w:p>
        </w:tc>
        <w:tc>
          <w:p>
            <w:pPr>
              <w:pStyle w:val="Compact"/>
              <w:jc w:val="right"/>
            </w:pPr>
            <w:r>
              <w:t xml:space="preserve">13.05 (12.70)</w:t>
            </w:r>
          </w:p>
        </w:tc>
        <w:tc>
          <w:p>
            <w:pPr>
              <w:pStyle w:val="Compact"/>
              <w:jc w:val="right"/>
            </w:pPr>
            <w:r>
              <w:t xml:space="preserve">4.01 (0.28)</w:t>
            </w:r>
          </w:p>
        </w:tc>
        <w:tc>
          <w:p>
            <w:pPr>
              <w:pStyle w:val="Compact"/>
              <w:jc w:val="right"/>
            </w:pPr>
            <w:r>
              <w:t xml:space="preserve">127.03 (16.86)</w:t>
            </w:r>
          </w:p>
        </w:tc>
      </w:tr>
    </w:tbl>
    <w:sectPr w:rsidR="00C32785" w:rsidSect="008E0199">
      <w:pgSz w:w="16817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2020-12-09T10:21:14Z</dcterms:created>
  <dcterms:modified xsi:type="dcterms:W3CDTF">2020-12-09T10:21:14Z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