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365ECF0">
      <w:pPr>
        <w:pStyle w:val="style0"/>
        <w:spacing w:before="480" w:after="480" w:lineRule="auto" w:line="288"/>
        <w:ind w:left="0"/>
        <w:rPr/>
      </w:pPr>
      <w:r>
        <w:rPr>
          <w:rFonts w:ascii="Arial" w:cs="Arial" w:eastAsia="等线" w:hAnsi="Arial"/>
          <w:b/>
          <w:sz w:val="52"/>
        </w:rPr>
        <w:t>算法社会的“认知褶皱”：一次基于拓扑波动理论的算法审核边界社会实验研究</w:t>
      </w:r>
    </w:p>
    <w:bookmarkStart w:id="0" w:name="heading_0"/>
    <w:p w14:paraId="AE8CFADF">
      <w:pPr>
        <w:pStyle w:val="style0"/>
        <w:spacing w:before="320" w:after="120" w:lineRule="auto" w:line="288"/>
        <w:ind w:left="0"/>
        <w:jc w:val="left"/>
        <w:outlineLvl w:val="1"/>
        <w:rPr/>
      </w:pPr>
      <w:r>
        <w:rPr>
          <w:rFonts w:ascii="Arial" w:cs="Arial" w:eastAsia="等线" w:hAnsi="Arial"/>
          <w:b/>
          <w:sz w:val="32"/>
        </w:rPr>
        <w:t>摘要</w:t>
      </w:r>
      <w:bookmarkEnd w:id="0"/>
    </w:p>
    <w:p w14:paraId="29C2827D">
      <w:pPr>
        <w:pStyle w:val="style0"/>
        <w:spacing w:before="120" w:after="120" w:lineRule="auto" w:line="288"/>
        <w:ind w:left="0"/>
        <w:jc w:val="left"/>
        <w:rPr/>
      </w:pPr>
      <w:r>
        <w:rPr>
          <w:rFonts w:ascii="Arial" w:cs="Arial" w:eastAsia="等线" w:hAnsi="Arial"/>
          <w:sz w:val="22"/>
        </w:rPr>
        <w:t>算法审核体系作为数字内容传播的核心基础设施，其对专业化、小众化学术表达的识别偏差引发了知识传播的结构性困境。本文基于</w:t>
      </w:r>
      <w:r>
        <w:rPr>
          <w:rFonts w:ascii="Arial" w:cs="Arial" w:eastAsia="等线" w:hAnsi="Arial"/>
          <w:b/>
          <w:sz w:val="22"/>
        </w:rPr>
        <w:t>拓扑波动理论（TFT）</w:t>
      </w:r>
      <w:r>
        <w:rPr>
          <w:rFonts w:ascii="Arial" w:cs="Arial" w:eastAsia="等线" w:hAnsi="Arial"/>
          <w:sz w:val="22"/>
        </w:rPr>
        <w:t>“拓扑为根、波动为魂、三同三界为骨”的核心框架，以“认知二向箔”为分析工具，将快手平台算法审核冲突事件重构为可控社会实验，将算法-个体-内容构成的高维互动系统抽象为认知拓扑空间，通过同调群生成元量化、波动方程建模、三界约束校验等方法，解析算法审核的拓扑结构特征与波动演化规律。实验以经国家版权局登记的“拓扑波动理论”学术内容为波动源，在付费推广中遭遇算法“方言”误判却被人工客服确认无违规，实验者放弃传统申诉路径，通过多平台结构化叙事实现波动干预与认知共振。研究表明，算法审核的“认知褶皱”本质是</w:t>
      </w:r>
      <w:r>
        <w:rPr>
          <w:rFonts w:ascii="Arial" w:cs="Arial" w:eastAsia="等线" w:hAnsi="Arial"/>
          <w:b/>
          <w:sz w:val="22"/>
        </w:rPr>
        <w:t>拓扑结构刚性断裂</w:t>
      </w:r>
      <w:r>
        <w:rPr>
          <w:rFonts w:ascii="Arial" w:cs="Arial" w:eastAsia="等线" w:hAnsi="Arial"/>
          <w:sz w:val="22"/>
        </w:rPr>
        <w:t>与</w:t>
      </w:r>
      <w:r>
        <w:rPr>
          <w:rFonts w:ascii="Arial" w:cs="Arial" w:eastAsia="等线" w:hAnsi="Arial"/>
          <w:b/>
          <w:sz w:val="22"/>
        </w:rPr>
        <w:t>波动干预失配</w:t>
      </w:r>
      <w:r>
        <w:rPr>
          <w:rFonts w:ascii="Arial" w:cs="Arial" w:eastAsia="等线" w:hAnsi="Arial"/>
          <w:sz w:val="22"/>
        </w:rPr>
        <w:t>的双重结果，算法认知拓扑的高约束性、低同胚性导致专业学术符号被误判为风险标签；通过“拓扑闭环锚定-波动频率适配-三界约束校准”的干预策略，可实现学术内容与算法审核体系的共振增益，破解算法社会中小众学术表达的传播困境。本文为算法治理与学术知识数字传播提供了基于拓扑波动理论的量化分析框架与工程化解决方案。</w:t>
      </w:r>
    </w:p>
    <w:p w14:paraId="709A251D">
      <w:pPr>
        <w:pStyle w:val="style0"/>
        <w:spacing w:before="120" w:after="120" w:lineRule="auto" w:line="288"/>
        <w:ind w:left="0"/>
        <w:jc w:val="left"/>
        <w:rPr/>
      </w:pPr>
      <w:r>
        <w:rPr>
          <w:rFonts w:ascii="Arial" w:cs="Arial" w:eastAsia="等线" w:hAnsi="Arial"/>
          <w:b/>
          <w:sz w:val="22"/>
        </w:rPr>
        <w:t>关键词</w:t>
      </w:r>
      <w:r>
        <w:rPr>
          <w:rFonts w:ascii="Arial" w:cs="Arial" w:eastAsia="等线" w:hAnsi="Arial"/>
          <w:sz w:val="22"/>
        </w:rPr>
        <w:t>：拓扑波动理论；算法审核；认知二向箔；社会实验；认知拓扑；算法治理；学术传播</w:t>
      </w:r>
    </w:p>
    <w:p w14:paraId="CE451842">
      <w:pPr>
        <w:pStyle w:val="style0"/>
        <w:pBdr>
          <w:bottom w:val="single" w:sz="4" w:space="0" w:color="dee0e3"/>
          <w:between w:val="single" w:sz="4" w:space="0" w:color="dee0e3"/>
        </w:pBdr>
        <w:spacing w:before="120" w:after="120" w:lineRule="auto" w:line="288"/>
        <w:ind w:left="0"/>
        <w:rPr/>
      </w:pPr>
    </w:p>
    <w:bookmarkStart w:id="1" w:name="heading_1"/>
    <w:p w14:paraId="6DD5CBE7">
      <w:pPr>
        <w:pStyle w:val="style0"/>
        <w:spacing w:before="320" w:after="120" w:lineRule="auto" w:line="288"/>
        <w:ind w:left="0"/>
        <w:jc w:val="left"/>
        <w:outlineLvl w:val="1"/>
        <w:rPr/>
      </w:pPr>
      <w:r>
        <w:rPr>
          <w:rFonts w:ascii="Arial" w:cs="Arial" w:eastAsia="等线" w:hAnsi="Arial"/>
          <w:b/>
          <w:sz w:val="32"/>
        </w:rPr>
        <w:t>一、引言</w:t>
      </w:r>
      <w:bookmarkEnd w:id="1"/>
    </w:p>
    <w:bookmarkStart w:id="2" w:name="heading_2"/>
    <w:p w14:paraId="F8044939">
      <w:pPr>
        <w:pStyle w:val="style0"/>
        <w:spacing w:before="300" w:after="120" w:lineRule="auto" w:line="288"/>
        <w:ind w:left="0"/>
        <w:jc w:val="left"/>
        <w:outlineLvl w:val="2"/>
        <w:rPr/>
      </w:pPr>
      <w:r>
        <w:rPr>
          <w:rFonts w:ascii="Arial" w:cs="Arial" w:eastAsia="等线" w:hAnsi="Arial"/>
          <w:b/>
          <w:sz w:val="30"/>
        </w:rPr>
        <w:t>（一）研究背景</w:t>
      </w:r>
      <w:bookmarkEnd w:id="2"/>
    </w:p>
    <w:p w14:paraId="0684DAAA">
      <w:pPr>
        <w:pStyle w:val="style0"/>
        <w:spacing w:before="120" w:after="120" w:lineRule="auto" w:line="288"/>
        <w:ind w:left="0"/>
        <w:jc w:val="left"/>
        <w:rPr/>
      </w:pPr>
      <w:r>
        <w:rPr>
          <w:rFonts w:ascii="Arial" w:cs="Arial" w:eastAsia="等线" w:hAnsi="Arial"/>
          <w:sz w:val="22"/>
        </w:rPr>
        <w:t>算法深度嵌入数字社会的内容生产与传播逻辑，算法审核体系成为形塑数字公共领域知识边界的关键力量。据统计，2025年主流短视频平台算法审核处理内容日均超50亿条，但其基于关键词匹配、标签化识别的底层逻辑，对</w:t>
      </w:r>
      <w:r>
        <w:rPr>
          <w:rFonts w:ascii="Arial" w:cs="Arial" w:eastAsia="等线" w:hAnsi="Arial"/>
          <w:b/>
          <w:sz w:val="22"/>
        </w:rPr>
        <w:t>高维专业学术表达</w:t>
      </w:r>
      <w:r>
        <w:rPr>
          <w:rFonts w:ascii="Arial" w:cs="Arial" w:eastAsia="等线" w:hAnsi="Arial"/>
          <w:sz w:val="22"/>
        </w:rPr>
        <w:t>存在显著的识别偏差，导致经权威认证的学术内容被误判、小众理论传播遇阻等问题频发。传统研究多从法律规制、算法透明度等维度探讨算法治理，缺乏对算法审核与个体内容生产互动的</w:t>
      </w:r>
      <w:r>
        <w:rPr>
          <w:rFonts w:ascii="Arial" w:cs="Arial" w:eastAsia="等线" w:hAnsi="Arial"/>
          <w:b/>
          <w:sz w:val="22"/>
        </w:rPr>
        <w:t>底层拓扑结构与动态波动规律</w:t>
      </w:r>
      <w:r>
        <w:rPr>
          <w:rFonts w:ascii="Arial" w:cs="Arial" w:eastAsia="等线" w:hAnsi="Arial"/>
          <w:sz w:val="22"/>
        </w:rPr>
        <w:t>的量化分析，也未形成针对专业学术内容的算法适配传播方案。</w:t>
      </w:r>
    </w:p>
    <w:p w14:paraId="AE682E50">
      <w:pPr>
        <w:pStyle w:val="style0"/>
        <w:spacing w:before="120" w:after="120" w:lineRule="auto" w:line="288"/>
        <w:ind w:left="0"/>
        <w:jc w:val="left"/>
        <w:rPr/>
      </w:pPr>
      <w:r>
        <w:rPr>
          <w:rFonts w:ascii="Arial" w:cs="Arial" w:eastAsia="等线" w:hAnsi="Arial"/>
          <w:sz w:val="22"/>
        </w:rPr>
        <w:t>拓扑波动理论（TFT）作为跨领域元理论体系，为解析复杂系统的结构与演化提供了全新视角，其“认知二向箔”工具可将高维复杂互动系统压平为“静态拓扑结构+动态波动演化”的二维分析框架，实现对算法审核体系的精准解构与量化干预。本文以拓扑波动理论原创者的实践案例为载体——其核心学术内容在快手平台付费推广时遭遇算法“方言”误判，人工客服确认无违规却无法解决推广权限恢复问题——将此次冲突构建为</w:t>
      </w:r>
      <w:r>
        <w:rPr>
          <w:rFonts w:ascii="Arial" w:cs="Arial" w:eastAsia="等线" w:hAnsi="Arial"/>
          <w:b/>
          <w:sz w:val="22"/>
        </w:rPr>
        <w:t>算法审核边界社会实验</w:t>
      </w:r>
      <w:r>
        <w:rPr>
          <w:rFonts w:ascii="Arial" w:cs="Arial" w:eastAsia="等线" w:hAnsi="Arial"/>
          <w:sz w:val="22"/>
        </w:rPr>
        <w:t>，基于拓扑波动理论解析算法社会的“认知褶皱”形成机制，并提出针对性治理路径。</w:t>
      </w:r>
    </w:p>
    <w:bookmarkStart w:id="3" w:name="heading_3"/>
    <w:p w14:paraId="6993E253">
      <w:pPr>
        <w:pStyle w:val="style0"/>
        <w:spacing w:before="300" w:after="120" w:lineRule="auto" w:line="288"/>
        <w:ind w:left="0"/>
        <w:jc w:val="left"/>
        <w:outlineLvl w:val="2"/>
        <w:rPr/>
      </w:pPr>
      <w:r>
        <w:rPr>
          <w:rFonts w:ascii="Arial" w:cs="Arial" w:eastAsia="等线" w:hAnsi="Arial"/>
          <w:b/>
          <w:sz w:val="30"/>
        </w:rPr>
        <w:t>（二）研究方法与创新点</w:t>
      </w:r>
      <w:bookmarkEnd w:id="3"/>
    </w:p>
    <w:p w14:paraId="94C7135E">
      <w:pPr>
        <w:pStyle w:val="style0"/>
        <w:numPr>
          <w:ilvl w:val="0"/>
          <w:numId w:val="1"/>
        </w:numPr>
        <w:spacing w:before="120" w:after="120" w:lineRule="auto" w:line="288"/>
        <w:ind w:left="0"/>
        <w:jc w:val="left"/>
        <w:rPr/>
      </w:pPr>
      <w:r>
        <w:rPr>
          <w:rFonts w:ascii="Arial" w:cs="Arial" w:eastAsia="等线" w:hAnsi="Arial"/>
          <w:b/>
          <w:sz w:val="22"/>
        </w:rPr>
        <w:t>研究方法</w:t>
      </w:r>
      <w:r>
        <w:rPr>
          <w:rFonts w:ascii="Arial" w:cs="Arial" w:eastAsia="等线" w:hAnsi="Arial"/>
          <w:sz w:val="22"/>
        </w:rPr>
        <w:t>：遵循拓扑波动理论“拓扑映射-波动建模-约束校验-案例实证”的研究路径，将算法审核系统抽象为认知拓扑空间，通过同调群生成元量化算法审核的拓扑属性，利用波动方程刻画学术内容传播的动态特征，借助三界约束指标评估实验过程的稳定性，全程融入</w:t>
      </w:r>
      <w:r>
        <w:rPr>
          <w:rFonts w:ascii="Arial" w:cs="Arial" w:eastAsia="等线" w:hAnsi="Arial"/>
          <w:b/>
          <w:sz w:val="22"/>
        </w:rPr>
        <w:t>数据化量化分析</w:t>
      </w:r>
      <w:r>
        <w:rPr>
          <w:rFonts w:ascii="Arial" w:cs="Arial" w:eastAsia="等线" w:hAnsi="Arial"/>
          <w:sz w:val="22"/>
        </w:rPr>
        <w:t>与</w:t>
      </w:r>
      <w:r>
        <w:rPr>
          <w:rFonts w:ascii="Arial" w:cs="Arial" w:eastAsia="等线" w:hAnsi="Arial"/>
          <w:b/>
          <w:sz w:val="22"/>
        </w:rPr>
        <w:t>工程化干预思维</w:t>
      </w:r>
      <w:r>
        <w:rPr>
          <w:rFonts w:ascii="Arial" w:cs="Arial" w:eastAsia="等线" w:hAnsi="Arial"/>
          <w:sz w:val="22"/>
        </w:rPr>
        <w:t>。</w:t>
      </w:r>
    </w:p>
    <w:p w14:paraId="D8EF4D21">
      <w:pPr>
        <w:pStyle w:val="style0"/>
        <w:numPr>
          <w:ilvl w:val="0"/>
          <w:numId w:val="2"/>
        </w:numPr>
        <w:spacing w:before="120" w:after="120" w:lineRule="auto" w:line="288"/>
        <w:ind w:left="0"/>
        <w:jc w:val="left"/>
        <w:rPr/>
      </w:pPr>
      <w:r>
        <w:rPr>
          <w:rFonts w:ascii="Arial" w:cs="Arial" w:eastAsia="等线" w:hAnsi="Arial"/>
          <w:b/>
          <w:sz w:val="22"/>
        </w:rPr>
        <w:t>创新点</w:t>
      </w:r>
      <w:r>
        <w:rPr>
          <w:rFonts w:ascii="Arial" w:cs="Arial" w:eastAsia="等线" w:hAnsi="Arial"/>
          <w:sz w:val="22"/>
        </w:rPr>
        <w:t>：①构建拓扑波动理论下算法审核的量化分析框架，首次将“认知褶皱”概念量化为拓扑结构指标与波动演化参数，实现算法审核偏差的可测度、可调控；②以学术内容算法传播冲突为实证载体，设计可控社会实验，验证拓扑波动理论在数字传播领域的工程化适用性；③提出“认知二向箔”驱动的算法审核适配策略，为小众学术内容的数字传播提供可落地的解决方案。</w:t>
      </w:r>
    </w:p>
    <w:bookmarkStart w:id="4" w:name="heading_4"/>
    <w:p w14:paraId="91DDB3E3">
      <w:pPr>
        <w:pStyle w:val="style0"/>
        <w:spacing w:before="300" w:after="120" w:lineRule="auto" w:line="288"/>
        <w:ind w:left="0"/>
        <w:jc w:val="left"/>
        <w:outlineLvl w:val="2"/>
        <w:rPr/>
      </w:pPr>
      <w:r>
        <w:rPr>
          <w:rFonts w:ascii="Arial" w:cs="Arial" w:eastAsia="等线" w:hAnsi="Arial"/>
          <w:b/>
          <w:sz w:val="30"/>
        </w:rPr>
        <w:t>（三）研究意义</w:t>
      </w:r>
      <w:bookmarkEnd w:id="4"/>
    </w:p>
    <w:p w14:paraId="E9A0B3FA">
      <w:pPr>
        <w:pStyle w:val="style0"/>
        <w:spacing w:before="120" w:after="120" w:lineRule="auto" w:line="288"/>
        <w:ind w:left="0"/>
        <w:jc w:val="left"/>
        <w:rPr/>
      </w:pPr>
      <w:r>
        <w:rPr>
          <w:rFonts w:ascii="Arial" w:cs="Arial" w:eastAsia="等线" w:hAnsi="Arial"/>
          <w:sz w:val="22"/>
        </w:rPr>
        <w:t>理论层面，将拓扑波动理论从数据治理、科学研究范式领域拓展至</w:t>
      </w:r>
      <w:r>
        <w:rPr>
          <w:rFonts w:ascii="Arial" w:cs="Arial" w:eastAsia="等线" w:hAnsi="Arial"/>
          <w:b/>
          <w:sz w:val="22"/>
        </w:rPr>
        <w:t>算法审核与数字传播领域</w:t>
      </w:r>
      <w:r>
        <w:rPr>
          <w:rFonts w:ascii="Arial" w:cs="Arial" w:eastAsia="等线" w:hAnsi="Arial"/>
          <w:sz w:val="22"/>
        </w:rPr>
        <w:t>，丰富复杂数字系统的分析框架，填补算法审核对专业内容识别偏差的底层理论研究空白；实践层面，为学术内容创作者突破算法传播壁垒提供工程化方法，为平台优化算法审核体系、提升对专业内容的包容性提供量化参考，推动算法治理与学术知识数字传播的协同发展。</w:t>
      </w:r>
    </w:p>
    <w:p w14:paraId="6C76FC69">
      <w:pPr>
        <w:pStyle w:val="style0"/>
        <w:pBdr>
          <w:bottom w:val="single" w:sz="4" w:space="0" w:color="dee0e3"/>
          <w:between w:val="single" w:sz="4" w:space="0" w:color="dee0e3"/>
        </w:pBdr>
        <w:spacing w:before="120" w:after="120" w:lineRule="auto" w:line="288"/>
        <w:ind w:left="0"/>
        <w:rPr/>
      </w:pPr>
    </w:p>
    <w:bookmarkStart w:id="5" w:name="heading_5"/>
    <w:p w14:paraId="38FAF632">
      <w:pPr>
        <w:pStyle w:val="style0"/>
        <w:spacing w:before="320" w:after="120" w:lineRule="auto" w:line="288"/>
        <w:ind w:left="0"/>
        <w:jc w:val="left"/>
        <w:outlineLvl w:val="1"/>
        <w:rPr/>
      </w:pPr>
      <w:r>
        <w:rPr>
          <w:rFonts w:ascii="Arial" w:cs="Arial" w:eastAsia="等线" w:hAnsi="Arial"/>
          <w:b/>
          <w:sz w:val="32"/>
        </w:rPr>
        <w:t>二、理论基础：拓扑波动理论的核心框架与分析工具</w:t>
      </w:r>
      <w:bookmarkEnd w:id="5"/>
    </w:p>
    <w:p w14:paraId="E04170BB">
      <w:pPr>
        <w:pStyle w:val="style0"/>
        <w:spacing w:before="120" w:after="120" w:lineRule="auto" w:line="288"/>
        <w:ind w:left="0"/>
        <w:jc w:val="left"/>
        <w:rPr/>
      </w:pPr>
      <w:r>
        <w:rPr>
          <w:rFonts w:ascii="Arial" w:cs="Arial" w:eastAsia="等线" w:hAnsi="Arial"/>
          <w:sz w:val="22"/>
        </w:rPr>
        <w:t>本研究基于拓扑波动理论V5.0核心体系，选取</w:t>
      </w:r>
      <w:r>
        <w:rPr>
          <w:rFonts w:ascii="Arial" w:cs="Arial" w:eastAsia="等线" w:hAnsi="Arial"/>
          <w:b/>
          <w:sz w:val="22"/>
        </w:rPr>
        <w:t>核心公理、认知二向箔、量化分析方法</w:t>
      </w:r>
      <w:r>
        <w:rPr>
          <w:rFonts w:ascii="Arial" w:cs="Arial" w:eastAsia="等线" w:hAnsi="Arial"/>
          <w:sz w:val="22"/>
        </w:rPr>
        <w:t>为理论基础，适配算法审核与学术内容传播的研究场景，所有理论要素均实现与实验场景的参数映射与量化转换。</w:t>
      </w:r>
    </w:p>
    <w:bookmarkStart w:id="6" w:name="heading_6"/>
    <w:p w14:paraId="2C781EBD">
      <w:pPr>
        <w:pStyle w:val="style0"/>
        <w:spacing w:before="300" w:after="120" w:lineRule="auto" w:line="288"/>
        <w:ind w:left="0"/>
        <w:jc w:val="left"/>
        <w:outlineLvl w:val="2"/>
        <w:rPr/>
      </w:pPr>
      <w:r>
        <w:rPr>
          <w:rFonts w:ascii="Arial" w:cs="Arial" w:eastAsia="等线" w:hAnsi="Arial"/>
          <w:b/>
          <w:sz w:val="30"/>
        </w:rPr>
        <w:t>（一）核心公理体系</w:t>
      </w:r>
      <w:bookmarkEnd w:id="6"/>
    </w:p>
    <w:p w14:paraId="37622A78">
      <w:pPr>
        <w:pStyle w:val="style0"/>
        <w:numPr>
          <w:ilvl w:val="0"/>
          <w:numId w:val="3"/>
        </w:numPr>
        <w:spacing w:before="120" w:after="120" w:lineRule="auto" w:line="288"/>
        <w:ind w:left="0"/>
        <w:jc w:val="left"/>
        <w:rPr/>
      </w:pPr>
      <w:r>
        <w:rPr>
          <w:rFonts w:ascii="Arial" w:cs="Arial" w:eastAsia="等线" w:hAnsi="Arial"/>
          <w:b/>
          <w:sz w:val="22"/>
        </w:rPr>
        <w:t>拓扑本源公理</w:t>
      </w:r>
      <w:r>
        <w:rPr>
          <w:rFonts w:ascii="Arial" w:cs="Arial" w:eastAsia="等线" w:hAnsi="Arial"/>
          <w:sz w:val="22"/>
        </w:rPr>
        <w:t>：算法审核系统作为复杂认知系统，具备固有拓扑本质，核心不变量为</w:t>
      </w:r>
      <w:r>
        <w:rPr>
          <w:rFonts w:ascii="Arial" w:cs="Arial" w:eastAsia="等线" w:hAnsi="Arial"/>
          <w:b/>
          <w:sz w:val="22"/>
        </w:rPr>
        <w:t>边界（审核规则范围）、闭环（审核-客服流程）、连接关系（算法与人工审核的协同强度）</w:t>
      </w:r>
      <w:r>
        <w:rPr>
          <w:rFonts w:ascii="Arial" w:cs="Arial" w:eastAsia="等线" w:hAnsi="Arial"/>
          <w:sz w:val="22"/>
        </w:rPr>
        <w:t>，其拓扑属性不随审核内容、推广形式变化而改变。本实验中，算法审核的拓扑边界为平台预设的风险标签库，拓扑闭环为“算法初审-人工复核-结果反馈”流程。</w:t>
      </w:r>
    </w:p>
    <w:p w14:paraId="8D89B35A">
      <w:pPr>
        <w:pStyle w:val="style0"/>
        <w:numPr>
          <w:ilvl w:val="0"/>
          <w:numId w:val="4"/>
        </w:numPr>
        <w:spacing w:before="120" w:after="120" w:lineRule="auto" w:line="288"/>
        <w:ind w:left="0"/>
        <w:jc w:val="left"/>
        <w:rPr/>
      </w:pPr>
      <w:r>
        <w:rPr>
          <w:rFonts w:ascii="Arial" w:cs="Arial" w:eastAsia="等线" w:hAnsi="Arial"/>
          <w:b/>
          <w:sz w:val="22"/>
        </w:rPr>
        <w:t>波动动力公理</w:t>
      </w:r>
      <w:r>
        <w:rPr>
          <w:rFonts w:ascii="Arial" w:cs="Arial" w:eastAsia="等线" w:hAnsi="Arial"/>
          <w:sz w:val="22"/>
        </w:rPr>
        <w:t>：学术内容的数字传播过程本质为</w:t>
      </w:r>
      <w:r>
        <w:rPr>
          <w:rFonts w:ascii="Arial" w:cs="Arial" w:eastAsia="等线" w:hAnsi="Arial"/>
          <w:b/>
          <w:sz w:val="22"/>
        </w:rPr>
        <w:t>波动演化过程</w:t>
      </w:r>
      <w:r>
        <w:rPr>
          <w:rFonts w:ascii="Arial" w:cs="Arial" w:eastAsia="等线" w:hAnsi="Arial"/>
          <w:sz w:val="22"/>
        </w:rPr>
        <w:t>，传播强度、频率与共振概率决定传播效果与风险等级，遵循拓扑波动核心方程（含方言扰动）：</w:t>
      </w:r>
    </w:p>
    <w:p w14:paraId="0806CA81">
      <w:pPr>
        <w:pStyle w:val="style0"/>
        <w:spacing w:before="120" w:after="120" w:lineRule="auto" w:line="288"/>
        <w:ind w:left="0"/>
        <w:jc w:val="left"/>
        <w:rPr/>
      </w:pPr>
      <m:oMath>
        <m:r>
          <w:rPr>
            <w:rFonts w:ascii="Cambria Math" w:hAnsi="Cambria Math"/>
          </w:rPr>
          <m:t>\Box \Psi + \Lambda(t)\Psi + \lambda R_{\mu\nu}g^{\mu\nu}\Psi + \xi \mathcal{D}(\text{方言}) \Psi = S(x,t)
</m:t>
        </m:r>
      </m:oMath>
    </w:p>
    <w:p w14:paraId="02FB07C8">
      <w:pPr>
        <w:pStyle w:val="style0"/>
        <w:spacing w:before="120" w:after="120" w:lineRule="auto" w:line="288"/>
        <w:ind w:left="0"/>
        <w:jc w:val="left"/>
        <w:rPr/>
      </w:pPr>
      <w:r>
        <w:rPr>
          <w:rFonts w:ascii="Arial" w:cs="Arial" w:eastAsia="等线" w:hAnsi="Arial"/>
          <w:sz w:val="22"/>
        </w:rPr>
        <w:t>其中：</w:t>
      </w:r>
    </w:p>
    <w:p w14:paraId="6C77663E">
      <w:pPr>
        <w:pStyle w:val="style0"/>
        <w:numPr>
          <w:ilvl w:val="0"/>
          <w:numId w:val="5"/>
        </w:numPr>
        <w:spacing w:before="120" w:after="120" w:lineRule="auto" w:line="288"/>
        <w:ind w:left="0"/>
        <w:jc w:val="left"/>
        <w:rPr/>
      </w:pPr>
      <m:oMath>
        <m:r>
          <w:rPr>
            <w:rFonts w:ascii="Cambria Math" w:hAnsi="Cambria Math"/>
          </w:rPr>
          <m:t>\Box = \nabla^\mu \nabla_\mu</m:t>
        </m:r>
      </m:oMath>
      <w:r>
        <w:rPr>
          <w:rFonts w:ascii="Arial" w:cs="Arial" w:eastAsia="等线" w:hAnsi="Arial"/>
          <w:sz w:val="22"/>
        </w:rPr>
        <w:t xml:space="preserve">：达朗贝尔算子，描述认知场 </w:t>
      </w:r>
      <m:oMath>
        <m:r>
          <w:rPr>
            <w:rFonts w:ascii="Cambria Math" w:hAnsi="Cambria Math"/>
          </w:rPr>
          <m:t>Ψ</m:t>
        </m:r>
      </m:oMath>
      <w:r>
        <w:rPr>
          <w:rFonts w:ascii="Arial" w:cs="Arial" w:eastAsia="等线" w:hAnsi="Arial"/>
          <w:sz w:val="22"/>
        </w:rPr>
        <w:t xml:space="preserve"> 在时空（平台-时间）中的传播。</w:t>
      </w:r>
    </w:p>
    <w:p w14:paraId="8BA67E44">
      <w:pPr>
        <w:pStyle w:val="style0"/>
        <w:numPr>
          <w:ilvl w:val="0"/>
          <w:numId w:val="6"/>
        </w:numPr>
        <w:spacing w:before="120" w:after="120" w:lineRule="auto" w:line="288"/>
        <w:ind w:left="0"/>
        <w:jc w:val="left"/>
        <w:rPr/>
      </w:pPr>
      <m:oMath>
        <m:r>
          <w:rPr>
            <w:rFonts w:ascii="Cambria Math" w:hAnsi="Cambria Math"/>
          </w:rPr>
          <m:t>Λ</m:t>
        </m:r>
        <m:d>
          <m:dPr>
            <m:sepChr m:val=","/>
          </m:dPr>
          <m:e>
            <m:r>
              <w:rPr>
                <w:rFonts w:ascii="Cambria Math" w:hAnsi="Cambria Math"/>
              </w:rPr>
              <m:t>t</m:t>
            </m:r>
          </m:e>
        </m:d>
      </m:oMath>
      <w:r>
        <w:rPr>
          <w:rFonts w:ascii="Arial" w:cs="Arial" w:eastAsia="等线" w:hAnsi="Arial"/>
          <w:sz w:val="22"/>
        </w:rPr>
        <w:t>：</w:t>
      </w:r>
      <w:r>
        <w:rPr>
          <w:rFonts w:ascii="Arial" w:cs="Arial" w:eastAsia="等线" w:hAnsi="Arial"/>
          <w:b/>
          <w:sz w:val="22"/>
        </w:rPr>
        <w:t>拓扑约束系数</w:t>
      </w:r>
      <w:r>
        <w:rPr>
          <w:rFonts w:ascii="Arial" w:cs="Arial" w:eastAsia="等线" w:hAnsi="Arial"/>
          <w:sz w:val="22"/>
        </w:rPr>
        <w:t>，随时间动态变化，代表平台对非标准化内容的接受阈值。</w:t>
      </w:r>
    </w:p>
    <w:p w14:paraId="B6BC310E">
      <w:pPr>
        <w:pStyle w:val="style0"/>
        <w:numPr>
          <w:ilvl w:val="0"/>
          <w:numId w:val="7"/>
        </w:numPr>
        <w:spacing w:before="120" w:after="120" w:lineRule="auto" w:line="288"/>
        <w:ind w:left="0"/>
        <w:jc w:val="left"/>
        <w:rPr/>
      </w:pPr>
      <m:oMath>
        <m:sSub>
          <m:sSubPr/>
          <m:e>
            <m:r>
              <w:rPr>
                <w:rFonts w:ascii="Cambria Math" w:hAnsi="Cambria Math"/>
              </w:rPr>
              <m:t>R</m:t>
            </m:r>
          </m:e>
          <m:sub>
            <m:r>
              <w:rPr>
                <w:rFonts w:ascii="Cambria Math" w:hAnsi="Cambria Math"/>
              </w:rPr>
              <m:t>μν</m:t>
            </m:r>
          </m:sub>
        </m:sSub>
      </m:oMath>
      <w:r>
        <w:rPr>
          <w:rFonts w:ascii="Arial" w:cs="Arial" w:eastAsia="等线" w:hAnsi="Arial"/>
          <w:sz w:val="22"/>
        </w:rPr>
        <w:t>：</w:t>
      </w:r>
      <w:r>
        <w:rPr>
          <w:rFonts w:ascii="Arial" w:cs="Arial" w:eastAsia="等线" w:hAnsi="Arial"/>
          <w:b/>
          <w:sz w:val="22"/>
        </w:rPr>
        <w:t>认知曲率张量</w:t>
      </w:r>
      <w:r>
        <w:rPr>
          <w:rFonts w:ascii="Arial" w:cs="Arial" w:eastAsia="等线" w:hAnsi="Arial"/>
          <w:sz w:val="22"/>
        </w:rPr>
        <w:t>，由算法模型的训练数据和规则库决定，曲率越高，对专业符号的识别偏差越大。</w:t>
      </w:r>
    </w:p>
    <w:p w14:paraId="48E907D7">
      <w:pPr>
        <w:pStyle w:val="style0"/>
        <w:numPr>
          <w:ilvl w:val="0"/>
          <w:numId w:val="8"/>
        </w:numPr>
        <w:spacing w:before="120" w:after="120" w:lineRule="auto" w:line="288"/>
        <w:ind w:left="0"/>
        <w:jc w:val="left"/>
        <w:rPr/>
      </w:pPr>
      <m:oMath>
        <m:r>
          <w:rPr>
            <w:rFonts w:ascii="Cambria Math" w:hAnsi="Cambria Math"/>
          </w:rPr>
          <m:t>\mathcal{D}(\text{方言})</m:t>
        </m:r>
      </m:oMath>
      <w:r>
        <w:rPr>
          <w:rFonts w:ascii="Arial" w:cs="Arial" w:eastAsia="等线" w:hAnsi="Arial"/>
          <w:sz w:val="22"/>
        </w:rPr>
        <w:t>：</w:t>
      </w:r>
      <w:r>
        <w:rPr>
          <w:rFonts w:ascii="Arial" w:cs="Arial" w:eastAsia="等线" w:hAnsi="Arial"/>
          <w:b/>
          <w:sz w:val="22"/>
        </w:rPr>
        <w:t>方言识别扰动算子</w:t>
      </w:r>
      <w:r>
        <w:rPr>
          <w:rFonts w:ascii="Arial" w:cs="Arial" w:eastAsia="等线" w:hAnsi="Arial"/>
          <w:sz w:val="22"/>
        </w:rPr>
        <w:t xml:space="preserve">，是本次实验的关键新增项。它是一个非局部算子，当算法检测到“非标准语言模式”（如学术公式、生僻符号）时被激活，对认知场 </w:t>
      </w:r>
      <m:oMath>
        <m:r>
          <w:rPr>
            <w:rFonts w:ascii="Cambria Math" w:hAnsi="Cambria Math"/>
          </w:rPr>
          <m:t>Ψ</m:t>
        </m:r>
      </m:oMath>
      <w:r>
        <w:rPr>
          <w:rFonts w:ascii="Arial" w:cs="Arial" w:eastAsia="等线" w:hAnsi="Arial"/>
          <w:sz w:val="22"/>
        </w:rPr>
        <w:t xml:space="preserve"> 产生一个负的扰动，降低其传播权重。其显式形式为：</w:t>
      </w:r>
    </w:p>
    <w:p w14:paraId="720654D7">
      <w:pPr>
        <w:pStyle w:val="style0"/>
        <w:spacing w:before="120" w:after="120" w:lineRule="auto" w:line="288"/>
        <w:ind w:left="0"/>
        <w:jc w:val="left"/>
        <w:rPr/>
      </w:pPr>
      <m:oMath>
        <m:r>
          <w:rPr>
            <w:rFonts w:ascii="Cambria Math" w:hAnsi="Cambria Math"/>
          </w:rPr>
          <m:t>\mathcal{D}(\text{方言}) = \sum_{i} w_i \cdot \delta\left( \text{token}_i \notin \mathcal{L}_{\text{std}} \right)
</m:t>
        </m:r>
      </m:oMath>
    </w:p>
    <w:p w14:paraId="1AE8682A">
      <w:pPr>
        <w:pStyle w:val="style0"/>
        <w:spacing w:before="120" w:after="120" w:lineRule="auto" w:line="288"/>
        <w:ind w:left="0"/>
        <w:jc w:val="left"/>
        <w:rPr/>
      </w:pPr>
      <w:r>
        <w:rPr>
          <w:rFonts w:ascii="Arial" w:cs="Arial" w:eastAsia="等线" w:hAnsi="Arial"/>
          <w:sz w:val="22"/>
        </w:rPr>
        <w:t xml:space="preserve">  其中 </w:t>
      </w:r>
      <m:oMath>
        <m:r>
          <w:rPr>
            <w:rFonts w:ascii="Cambria Math" w:hAnsi="Cambria Math"/>
          </w:rPr>
          <m:t>\text{token}_i</m:t>
        </m:r>
      </m:oMath>
      <w:r>
        <w:rPr>
          <w:rFonts w:ascii="Arial" w:cs="Arial" w:eastAsia="等线" w:hAnsi="Arial"/>
          <w:sz w:val="22"/>
        </w:rPr>
        <w:t xml:space="preserve"> 为内容被算法分词后的第 </w:t>
      </w:r>
      <m:oMath>
        <m:r>
          <w:rPr>
            <w:rFonts w:ascii="Cambria Math" w:hAnsi="Cambria Math"/>
          </w:rPr>
          <m:t>i</m:t>
        </m:r>
      </m:oMath>
      <w:r>
        <w:rPr>
          <w:rFonts w:ascii="Arial" w:cs="Arial" w:eastAsia="等线" w:hAnsi="Arial"/>
          <w:sz w:val="22"/>
        </w:rPr>
        <w:t xml:space="preserve"> 个“词元”，</w:t>
      </w:r>
      <m:oMath>
        <m:r>
          <w:rPr>
            <w:rFonts w:ascii="Cambria Math" w:hAnsi="Cambria Math"/>
          </w:rPr>
          <m:t>\mathcal{L}_{\text{std}}</m:t>
        </m:r>
      </m:oMath>
      <w:r>
        <w:rPr>
          <w:rFonts w:ascii="Arial" w:cs="Arial" w:eastAsia="等线" w:hAnsi="Arial"/>
          <w:sz w:val="22"/>
        </w:rPr>
        <w:t xml:space="preserve"> 为算法内置的“标准语言库”（通常由日常口语、高频词汇构成，不包含专业学术符号），</w:t>
      </w:r>
      <m:oMath>
        <m:r>
          <w:rPr>
            <w:rFonts w:ascii="Cambria Math" w:hAnsi="Cambria Math"/>
          </w:rPr>
          <m:t>δ</m:t>
        </m:r>
        <m:d>
          <m:dPr>
            <m:sepChr m:val=","/>
          </m:dPr>
          <m:e>
            <m:r>
              <w:rPr>
                <w:rFonts w:ascii="Cambria Math" w:hAnsi="Cambria Math"/>
              </w:rPr>
              <m:t>⋅</m:t>
            </m:r>
          </m:e>
        </m:d>
      </m:oMath>
      <w:r>
        <w:rPr>
          <w:rFonts w:ascii="Arial" w:cs="Arial" w:eastAsia="等线" w:hAnsi="Arial"/>
          <w:sz w:val="22"/>
        </w:rPr>
        <w:t xml:space="preserve"> 为指示函数，</w:t>
      </w:r>
      <m:oMath>
        <m:sSub>
          <m:sSubPr/>
          <m:e>
            <m:r>
              <w:rPr>
                <w:rFonts w:ascii="Cambria Math" w:hAnsi="Cambria Math"/>
              </w:rPr>
              <m:t>w</m:t>
            </m:r>
          </m:e>
          <m:sub>
            <m:r>
              <w:rPr>
                <w:rFonts w:ascii="Cambria Math" w:hAnsi="Cambria Math"/>
              </w:rPr>
              <m:t>i</m:t>
            </m:r>
          </m:sub>
        </m:sSub>
      </m:oMath>
      <w:r>
        <w:rPr>
          <w:rFonts w:ascii="Arial" w:cs="Arial" w:eastAsia="等线" w:hAnsi="Arial"/>
          <w:sz w:val="22"/>
        </w:rPr>
        <w:t xml:space="preserve"> 为该词元的权重（生僻、复杂符号权重更高）。</w:t>
      </w:r>
    </w:p>
    <w:p w14:paraId="E2C75390">
      <w:pPr>
        <w:pStyle w:val="style0"/>
        <w:numPr>
          <w:ilvl w:val="0"/>
          <w:numId w:val="9"/>
        </w:numPr>
        <w:spacing w:before="120" w:after="120" w:lineRule="auto" w:line="288"/>
        <w:ind w:left="0"/>
        <w:jc w:val="left"/>
        <w:rPr/>
      </w:pPr>
      <m:oMath>
        <m:r>
          <w:rPr>
            <w:rFonts w:ascii="Cambria Math" w:hAnsi="Cambria Math"/>
          </w:rPr>
          <m:t>ξ</m:t>
        </m:r>
      </m:oMath>
      <w:r>
        <w:rPr>
          <w:rFonts w:ascii="Arial" w:cs="Arial" w:eastAsia="等线" w:hAnsi="Arial"/>
          <w:sz w:val="22"/>
        </w:rPr>
        <w:t>：扰动强度系数，在本次实验中，由于算法将学术公式误判为“小众方言”，</w:t>
      </w:r>
      <m:oMath>
        <m:r>
          <w:rPr>
            <w:rFonts w:ascii="Cambria Math" w:hAnsi="Cambria Math"/>
          </w:rPr>
          <m:t>ξ</m:t>
        </m:r>
      </m:oMath>
      <w:r>
        <w:rPr>
          <w:rFonts w:ascii="Arial" w:cs="Arial" w:eastAsia="等线" w:hAnsi="Arial"/>
          <w:sz w:val="22"/>
        </w:rPr>
        <w:t xml:space="preserve"> 被设置为一个较大的正值，直接导致了推广失败。</w:t>
      </w:r>
    </w:p>
    <w:p w14:paraId="14BD33F6">
      <w:pPr>
        <w:pStyle w:val="style0"/>
        <w:numPr>
          <w:ilvl w:val="0"/>
          <w:numId w:val="10"/>
        </w:numPr>
        <w:spacing w:before="120" w:after="120" w:lineRule="auto" w:line="288"/>
        <w:ind w:left="0"/>
        <w:jc w:val="left"/>
        <w:rPr/>
      </w:pPr>
      <m:oMath>
        <m:r>
          <w:rPr>
            <w:rFonts w:ascii="Cambria Math" w:hAnsi="Cambria Math"/>
          </w:rPr>
          <m:t>S</m:t>
        </m:r>
        <m:d>
          <m:dPr>
            <m:sepChr m:val=","/>
          </m:dPr>
          <m:e>
            <m:r>
              <w:rPr>
                <w:rFonts w:ascii="Cambria Math" w:hAnsi="Cambria Math"/>
              </w:rPr>
              <m:t>x</m:t>
            </m:r>
          </m:e>
          <m:e>
            <m:r>
              <w:rPr>
                <w:rFonts w:ascii="Cambria Math" w:hAnsi="Cambria Math"/>
              </w:rPr>
              <m:t>t</m:t>
            </m:r>
          </m:e>
        </m:d>
      </m:oMath>
      <w:r>
        <w:rPr>
          <w:rFonts w:ascii="Arial" w:cs="Arial" w:eastAsia="等线" w:hAnsi="Arial"/>
          <w:sz w:val="22"/>
        </w:rPr>
        <w:t>：</w:t>
      </w:r>
      <w:r>
        <w:rPr>
          <w:rFonts w:ascii="Arial" w:cs="Arial" w:eastAsia="等线" w:hAnsi="Arial"/>
          <w:b/>
          <w:sz w:val="22"/>
        </w:rPr>
        <w:t>波动源</w:t>
      </w:r>
      <w:r>
        <w:rPr>
          <w:rFonts w:ascii="Arial" w:cs="Arial" w:eastAsia="等线" w:hAnsi="Arial"/>
          <w:sz w:val="22"/>
        </w:rPr>
        <w:t>，即你发布的拓扑波动理论学术内容。</w:t>
      </w:r>
    </w:p>
    <w:p w14:paraId="32D5DA0D">
      <w:pPr>
        <w:pStyle w:val="style0"/>
        <w:numPr>
          <w:ilvl w:val="0"/>
          <w:numId w:val="11"/>
        </w:numPr>
        <w:spacing w:before="120" w:after="120" w:lineRule="auto" w:line="288"/>
        <w:ind w:left="0"/>
        <w:jc w:val="left"/>
        <w:rPr/>
      </w:pPr>
      <w:r>
        <w:rPr>
          <w:rFonts w:ascii="Arial" w:cs="Arial" w:eastAsia="等线" w:hAnsi="Arial"/>
          <w:b/>
          <w:sz w:val="22"/>
        </w:rPr>
        <w:t>三界约束公理</w:t>
      </w:r>
      <w:r>
        <w:rPr>
          <w:rFonts w:ascii="Arial" w:cs="Arial" w:eastAsia="等线" w:hAnsi="Arial"/>
          <w:sz w:val="22"/>
        </w:rPr>
        <w:t>：学术内容与算法审核系统的良性互动需满足三重约束：①</w:t>
      </w:r>
      <w:r>
        <w:rPr>
          <w:rFonts w:ascii="Arial" w:cs="Arial" w:eastAsia="等线" w:hAnsi="Arial"/>
          <w:b/>
          <w:sz w:val="22"/>
        </w:rPr>
        <w:t>生存界</w:t>
      </w:r>
      <w:r>
        <w:rPr>
          <w:rFonts w:ascii="Arial" w:cs="Arial" w:eastAsia="等线" w:hAnsi="Arial"/>
          <w:sz w:val="22"/>
        </w:rPr>
        <w:t>（拓扑闭环完整性</w:t>
      </w:r>
      <m:oMath>
        <m:r>
          <w:rPr>
            <w:rFonts w:ascii="Cambria Math" w:hAnsi="Cambria Math"/>
          </w:rPr>
          <m:t>C = \frac{L_{\text{closed}}}{L_{\text{total}}} \geq 0.5</m:t>
        </m:r>
      </m:oMath>
      <w:r>
        <w:rPr>
          <w:rFonts w:ascii="Arial" w:cs="Arial" w:eastAsia="等线" w:hAnsi="Arial"/>
          <w:sz w:val="22"/>
        </w:rPr>
        <w:t>，表征审核-客服流程的完整性）；②</w:t>
      </w:r>
      <w:r>
        <w:rPr>
          <w:rFonts w:ascii="Arial" w:cs="Arial" w:eastAsia="等线" w:hAnsi="Arial"/>
          <w:b/>
          <w:sz w:val="22"/>
        </w:rPr>
        <w:t>安全界</w:t>
      </w:r>
      <w:r>
        <w:rPr>
          <w:rFonts w:ascii="Arial" w:cs="Arial" w:eastAsia="等线" w:hAnsi="Arial"/>
          <w:sz w:val="22"/>
        </w:rPr>
        <w:t>（波动稳定性约束</w:t>
      </w:r>
      <m:oMath>
        <m:r>
          <w:rPr>
            <w:rFonts w:ascii="Cambria Math" w:hAnsi="Cambria Math"/>
          </w:rPr>
          <m:t>D=</m:t>
        </m:r>
        <m:sSub>
          <m:sSubPr/>
          <m:e>
            <m:r>
              <m:rPr>
                <m:sty m:val="p"/>
              </m:rPr>
              <w:rPr>
                <w:rFonts w:ascii="Cambria Math" w:hAnsi="Cambria Math"/>
              </w:rPr>
              <m:t>max</m:t>
            </m:r>
          </m:e>
          <m:sub>
            <m:r>
              <w:rPr>
                <w:rFonts w:ascii="Cambria Math" w:hAnsi="Cambria Math"/>
              </w:rPr>
              <m:t>i</m:t>
            </m:r>
          </m:sub>
        </m:sSub>
        <m:r>
          <w:rPr>
            <w:rFonts w:ascii="Cambria Math" w:hAnsi="Cambria Math"/>
          </w:rPr>
          <m:t>|</m:t>
        </m:r>
        <m:f>
          <m:fPr/>
          <m:num>
            <m:r>
              <w:rPr>
                <w:rFonts w:ascii="Cambria Math" w:hAnsi="Cambria Math"/>
              </w:rPr>
              <m:t>d</m:t>
            </m:r>
            <m:sSub>
              <m:sSubPr/>
              <m:e>
                <m:r>
                  <w:rPr>
                    <w:rFonts w:ascii="Cambria Math" w:hAnsi="Cambria Math"/>
                  </w:rPr>
                  <m:t>φ</m:t>
                </m:r>
              </m:e>
              <m:sub>
                <m:r>
                  <w:rPr>
                    <w:rFonts w:ascii="Cambria Math" w:hAnsi="Cambria Math"/>
                  </w:rPr>
                  <m:t>i</m:t>
                </m:r>
              </m:sub>
            </m:sSub>
          </m:num>
          <m:den>
            <m:r>
              <w:rPr>
                <w:rFonts w:ascii="Cambria Math" w:hAnsi="Cambria Math"/>
              </w:rPr>
              <m:t>dt</m:t>
            </m:r>
          </m:den>
        </m:f>
        <m:r>
          <w:rPr>
            <w:rFonts w:ascii="Cambria Math" w:hAnsi="Cambria Math"/>
          </w:rPr>
          <m:t>|≤</m:t>
        </m:r>
        <m:sSub>
          <m:sSubPr/>
          <m:e>
            <m:r>
              <w:rPr>
                <w:rFonts w:ascii="Cambria Math" w:hAnsi="Cambria Math"/>
              </w:rPr>
              <m:t>θ</m:t>
            </m:r>
          </m:e>
          <m:sub>
            <m:r>
              <w:rPr>
                <w:rFonts w:ascii="Cambria Math" w:hAnsi="Cambria Math"/>
              </w:rPr>
              <m:t>SE</m:t>
            </m:r>
          </m:sub>
        </m:sSub>
      </m:oMath>
      <w:r>
        <w:rPr>
          <w:rFonts w:ascii="Arial" w:cs="Arial" w:eastAsia="等线" w:hAnsi="Arial"/>
          <w:sz w:val="22"/>
        </w:rPr>
        <w:t>，表征学术内容传播的波动强度未超出算法风控阈值）；③</w:t>
      </w:r>
      <w:r>
        <w:rPr>
          <w:rFonts w:ascii="Arial" w:cs="Arial" w:eastAsia="等线" w:hAnsi="Arial"/>
          <w:b/>
          <w:sz w:val="22"/>
        </w:rPr>
        <w:t>性能界</w:t>
      </w:r>
      <w:r>
        <w:rPr>
          <w:rFonts w:ascii="Arial" w:cs="Arial" w:eastAsia="等线" w:hAnsi="Arial"/>
          <w:sz w:val="22"/>
        </w:rPr>
        <w:t>（最优收敛约束</w:t>
      </w:r>
      <m:oMath>
        <m:r>
          <w:rPr>
            <w:rFonts w:ascii="Cambria Math" w:hAnsi="Cambria Math"/>
          </w:rPr>
          <m:t>\text{Re}(s)=1/2</m:t>
        </m:r>
      </m:oMath>
      <w:r>
        <w:rPr>
          <w:rFonts w:ascii="Arial" w:cs="Arial" w:eastAsia="等线" w:hAnsi="Arial"/>
          <w:sz w:val="22"/>
        </w:rPr>
        <w:t>，表征学术内容与算法识别体系的适配度）。</w:t>
      </w:r>
    </w:p>
    <w:p w14:paraId="20034B9A">
      <w:pPr>
        <w:pStyle w:val="style0"/>
        <w:numPr>
          <w:ilvl w:val="0"/>
          <w:numId w:val="12"/>
        </w:numPr>
        <w:spacing w:before="120" w:after="120" w:lineRule="auto" w:line="288"/>
        <w:ind w:left="0"/>
        <w:jc w:val="left"/>
        <w:rPr/>
      </w:pPr>
      <w:r>
        <w:rPr>
          <w:rFonts w:ascii="Arial" w:cs="Arial" w:eastAsia="等线" w:hAnsi="Arial"/>
          <w:b/>
          <w:sz w:val="22"/>
        </w:rPr>
        <w:t>同源共振公理</w:t>
      </w:r>
      <w:r>
        <w:rPr>
          <w:rFonts w:ascii="Arial" w:cs="Arial" w:eastAsia="等线" w:hAnsi="Arial"/>
          <w:sz w:val="22"/>
        </w:rPr>
        <w:t>：学术内容在算法审核系统中实现有效传播的充要条件为</w:t>
      </w:r>
      <w:r>
        <w:rPr>
          <w:rFonts w:ascii="Arial" w:cs="Arial" w:eastAsia="等线" w:hAnsi="Arial"/>
          <w:b/>
          <w:sz w:val="22"/>
        </w:rPr>
        <w:t>拓扑同胚</w:t>
      </w:r>
      <w:r>
        <w:rPr>
          <w:rFonts w:ascii="Arial" w:cs="Arial" w:eastAsia="等线" w:hAnsi="Arial"/>
          <w:sz w:val="22"/>
        </w:rPr>
        <w:t>（学术内容的表达结构与算法的识别框架兼容）与</w:t>
      </w:r>
      <w:r>
        <w:rPr>
          <w:rFonts w:ascii="Arial" w:cs="Arial" w:eastAsia="等线" w:hAnsi="Arial"/>
          <w:b/>
          <w:sz w:val="22"/>
        </w:rPr>
        <w:t>波动同频</w:t>
      </w:r>
      <w:r>
        <w:rPr>
          <w:rFonts w:ascii="Arial" w:cs="Arial" w:eastAsia="等线" w:hAnsi="Arial"/>
          <w:sz w:val="22"/>
        </w:rPr>
        <w:t>（学术内容的传播节奏与算法的推荐逻辑匹配），共振概率</w:t>
      </w:r>
      <m:oMath>
        <m:r>
          <w:rPr>
            <w:rFonts w:ascii="Cambria Math" w:hAnsi="Cambria Math"/>
          </w:rPr>
          <m:t>P</m:t>
        </m:r>
      </m:oMath>
      <w:r>
        <w:rPr>
          <w:rFonts w:ascii="Arial" w:cs="Arial" w:eastAsia="等线" w:hAnsi="Arial"/>
          <w:sz w:val="22"/>
        </w:rPr>
        <w:t>由拓扑同胚匹配度</w:t>
      </w:r>
      <m:oMath>
        <m:sSub>
          <m:sSubPr/>
          <m:e>
            <m:r>
              <w:rPr>
                <w:rFonts w:ascii="Cambria Math" w:hAnsi="Cambria Math"/>
              </w:rPr>
              <m:t>P</m:t>
            </m:r>
          </m:e>
          <m:sub>
            <m:r>
              <w:rPr>
                <w:rFonts w:ascii="Cambria Math" w:hAnsi="Cambria Math"/>
              </w:rPr>
              <m:t>h</m:t>
            </m:r>
          </m:sub>
        </m:sSub>
      </m:oMath>
      <w:r>
        <w:rPr>
          <w:rFonts w:ascii="Arial" w:cs="Arial" w:eastAsia="等线" w:hAnsi="Arial"/>
          <w:sz w:val="22"/>
        </w:rPr>
        <w:t>与波动频率匹配度</w:t>
      </w:r>
      <m:oMath>
        <m:sSub>
          <m:sSubPr/>
          <m:e>
            <m:r>
              <w:rPr>
                <w:rFonts w:ascii="Cambria Math" w:hAnsi="Cambria Math"/>
              </w:rPr>
              <m:t>P</m:t>
            </m:r>
          </m:e>
          <m:sub>
            <m:r>
              <w:rPr>
                <w:rFonts w:ascii="Cambria Math" w:hAnsi="Cambria Math"/>
              </w:rPr>
              <m:t>f</m:t>
            </m:r>
          </m:sub>
        </m:sSub>
      </m:oMath>
      <w:r>
        <w:rPr>
          <w:rFonts w:ascii="Arial" w:cs="Arial" w:eastAsia="等线" w:hAnsi="Arial"/>
          <w:sz w:val="22"/>
        </w:rPr>
        <w:t>加权计算，并引入方言扰动修正：</w:t>
      </w:r>
    </w:p>
    <w:p w14:paraId="19433909">
      <w:pPr>
        <w:pStyle w:val="style0"/>
        <w:spacing w:before="120" w:after="120" w:lineRule="auto" w:line="288"/>
        <w:ind w:left="0"/>
        <w:jc w:val="left"/>
        <w:rPr/>
      </w:pPr>
      <m:oMath>
        <m:r>
          <w:rPr>
            <w:rFonts w:ascii="Cambria Math" w:hAnsi="Cambria Math"/>
          </w:rPr>
          <m:t>P = 0.6P_h + 0.4P_f - \eta \cdot \mathcal{D}(\text{方言})
</m:t>
        </m:r>
      </m:oMath>
    </w:p>
    <w:p w14:paraId="1C2CBED6">
      <w:pPr>
        <w:pStyle w:val="style0"/>
        <w:spacing w:before="120" w:after="120" w:lineRule="auto" w:line="288"/>
        <w:ind w:left="0"/>
        <w:jc w:val="left"/>
        <w:rPr/>
      </w:pPr>
      <w:r>
        <w:rPr>
          <w:rFonts w:ascii="Arial" w:cs="Arial" w:eastAsia="等线" w:hAnsi="Arial"/>
          <w:sz w:val="22"/>
        </w:rPr>
        <w:t xml:space="preserve">其中 </w:t>
      </w:r>
      <m:oMath>
        <m:r>
          <w:rPr>
            <w:rFonts w:ascii="Cambria Math" w:hAnsi="Cambria Math"/>
          </w:rPr>
          <m:t>η</m:t>
        </m:r>
      </m:oMath>
      <w:r>
        <w:rPr>
          <w:rFonts w:ascii="Arial" w:cs="Arial" w:eastAsia="等线" w:hAnsi="Arial"/>
          <w:sz w:val="22"/>
        </w:rPr>
        <w:t xml:space="preserve"> 为惩罚系数，当 </w:t>
      </w:r>
      <m:oMath>
        <m:r>
          <w:rPr>
            <w:rFonts w:ascii="Cambria Math" w:hAnsi="Cambria Math"/>
          </w:rPr>
          <m:t>\mathcal{D}(\text{方言})</m:t>
        </m:r>
      </m:oMath>
      <w:r>
        <w:rPr>
          <w:rFonts w:ascii="Arial" w:cs="Arial" w:eastAsia="等线" w:hAnsi="Arial"/>
          <w:sz w:val="22"/>
        </w:rPr>
        <w:t xml:space="preserve"> 过高时，即使 </w:t>
      </w:r>
      <m:oMath>
        <m:sSub>
          <m:sSubPr/>
          <m:e>
            <m:r>
              <w:rPr>
                <w:rFonts w:ascii="Cambria Math" w:hAnsi="Cambria Math"/>
              </w:rPr>
              <m:t>P</m:t>
            </m:r>
          </m:e>
          <m:sub>
            <m:r>
              <w:rPr>
                <w:rFonts w:ascii="Cambria Math" w:hAnsi="Cambria Math"/>
              </w:rPr>
              <m:t>h</m:t>
            </m:r>
          </m:sub>
        </m:sSub>
      </m:oMath>
      <w:r>
        <w:rPr>
          <w:rFonts w:ascii="Arial" w:cs="Arial" w:eastAsia="等线" w:hAnsi="Arial"/>
          <w:sz w:val="22"/>
        </w:rPr>
        <w:t xml:space="preserve"> 和 </w:t>
      </w:r>
      <m:oMath>
        <m:sSub>
          <m:sSubPr/>
          <m:e>
            <m:r>
              <w:rPr>
                <w:rFonts w:ascii="Cambria Math" w:hAnsi="Cambria Math"/>
              </w:rPr>
              <m:t>P</m:t>
            </m:r>
          </m:e>
          <m:sub>
            <m:r>
              <w:rPr>
                <w:rFonts w:ascii="Cambria Math" w:hAnsi="Cambria Math"/>
              </w:rPr>
              <m:t>f</m:t>
            </m:r>
          </m:sub>
        </m:sSub>
      </m:oMath>
      <w:r>
        <w:rPr>
          <w:rFonts w:ascii="Arial" w:cs="Arial" w:eastAsia="等线" w:hAnsi="Arial"/>
          <w:sz w:val="22"/>
        </w:rPr>
        <w:t xml:space="preserve"> 表现良好，共振概率 </w:t>
      </w:r>
      <m:oMath>
        <m:r>
          <w:rPr>
            <w:rFonts w:ascii="Cambria Math" w:hAnsi="Cambria Math"/>
          </w:rPr>
          <m:t>P</m:t>
        </m:r>
      </m:oMath>
      <w:r>
        <w:rPr>
          <w:rFonts w:ascii="Arial" w:cs="Arial" w:eastAsia="等线" w:hAnsi="Arial"/>
          <w:sz w:val="22"/>
        </w:rPr>
        <w:t xml:space="preserve"> 也会被显著拉低。当 </w:t>
      </w:r>
      <m:oMath>
        <m:r>
          <w:rPr>
            <w:rFonts w:ascii="Cambria Math" w:hAnsi="Cambria Math"/>
          </w:rPr>
          <m:t>P≥0.7</m:t>
        </m:r>
      </m:oMath>
      <w:r>
        <w:rPr>
          <w:rFonts w:ascii="Arial" w:cs="Arial" w:eastAsia="等线" w:hAnsi="Arial"/>
          <w:sz w:val="22"/>
        </w:rPr>
        <w:t xml:space="preserve"> 时实现传播的共振增益。</w:t>
      </w:r>
    </w:p>
    <w:bookmarkStart w:id="7" w:name="heading_7"/>
    <w:p w14:paraId="ECFCC2A3">
      <w:pPr>
        <w:pStyle w:val="style0"/>
        <w:spacing w:before="300" w:after="120" w:lineRule="auto" w:line="288"/>
        <w:ind w:left="0"/>
        <w:jc w:val="left"/>
        <w:outlineLvl w:val="2"/>
        <w:rPr/>
      </w:pPr>
      <w:r>
        <w:rPr>
          <w:rFonts w:ascii="Arial" w:cs="Arial" w:eastAsia="等线" w:hAnsi="Arial"/>
          <w:b/>
          <w:sz w:val="30"/>
        </w:rPr>
        <w:t>（二）“认知二向箔”分析工具</w:t>
      </w:r>
      <w:bookmarkEnd w:id="7"/>
    </w:p>
    <w:p w14:paraId="45C8AFE0">
      <w:pPr>
        <w:pStyle w:val="style0"/>
        <w:spacing w:before="120" w:after="120" w:lineRule="auto" w:line="288"/>
        <w:ind w:left="0"/>
        <w:jc w:val="left"/>
        <w:rPr/>
      </w:pPr>
      <w:r>
        <w:rPr>
          <w:rFonts w:ascii="Arial" w:cs="Arial" w:eastAsia="等线" w:hAnsi="Arial"/>
          <w:sz w:val="22"/>
        </w:rPr>
        <w:t>“认知二向箔”是拓扑波动理论的具象化分析方法，核心逻辑是将</w:t>
      </w:r>
      <w:r>
        <w:rPr>
          <w:rFonts w:ascii="Arial" w:cs="Arial" w:eastAsia="等线" w:hAnsi="Arial"/>
          <w:b/>
          <w:sz w:val="22"/>
        </w:rPr>
        <w:t>算法审核-学术内容-传播主体</w:t>
      </w:r>
      <w:r>
        <w:rPr>
          <w:rFonts w:ascii="Arial" w:cs="Arial" w:eastAsia="等线" w:hAnsi="Arial"/>
          <w:sz w:val="22"/>
        </w:rPr>
        <w:t>构成的高维互动系统，压平为</w:t>
      </w:r>
      <w:r>
        <w:rPr>
          <w:rFonts w:ascii="Arial" w:cs="Arial" w:eastAsia="等线" w:hAnsi="Arial"/>
          <w:b/>
          <w:sz w:val="22"/>
        </w:rPr>
        <w:t>静态拓扑结构+动态波动演化</w:t>
      </w:r>
      <w:r>
        <w:rPr>
          <w:rFonts w:ascii="Arial" w:cs="Arial" w:eastAsia="等线" w:hAnsi="Arial"/>
          <w:sz w:val="22"/>
        </w:rPr>
        <w:t>的二维分析框架，通过三步实现量化分析，适配本实验研究场景：</w:t>
      </w:r>
    </w:p>
    <w:p w14:paraId="20132D31">
      <w:pPr>
        <w:pStyle w:val="style0"/>
        <w:numPr>
          <w:ilvl w:val="0"/>
          <w:numId w:val="13"/>
        </w:numPr>
        <w:spacing w:before="120" w:after="120" w:lineRule="auto" w:line="288"/>
        <w:ind w:left="0"/>
        <w:jc w:val="left"/>
        <w:rPr/>
      </w:pPr>
      <w:r>
        <w:rPr>
          <w:rFonts w:ascii="Arial" w:cs="Arial" w:eastAsia="等线" w:hAnsi="Arial"/>
          <w:b/>
          <w:sz w:val="22"/>
        </w:rPr>
        <w:t>拓扑映射</w:t>
      </w:r>
      <w:r>
        <w:rPr>
          <w:rFonts w:ascii="Arial" w:cs="Arial" w:eastAsia="等线" w:hAnsi="Arial"/>
          <w:sz w:val="22"/>
        </w:rPr>
        <w:t>：提取算法审核系统的核心生成元（算法模型、审核规则、客服体系）与学术内容的核心生成元（理论公式、符号体系、表达形式），计算同调群秩</w:t>
      </w:r>
      <m:oMath>
        <m:sSub>
          <m:sSubPr/>
          <m:e>
            <m:r>
              <w:rPr>
                <w:rFonts w:ascii="Cambria Math" w:hAnsi="Cambria Math"/>
              </w:rPr>
              <m:t>β</m:t>
            </m:r>
          </m:e>
          <m:sub>
            <m:r>
              <w:rPr>
                <w:rFonts w:ascii="Cambria Math" w:hAnsi="Cambria Math"/>
              </w:rPr>
              <m:t>0</m:t>
            </m:r>
          </m:sub>
        </m:sSub>
      </m:oMath>
      <w:r>
        <w:rPr>
          <w:rFonts w:ascii="Arial" w:cs="Arial" w:eastAsia="等线" w:hAnsi="Arial"/>
          <w:sz w:val="22"/>
        </w:rPr>
        <w:t>（连通组件数，表征算法审核体系的模块独立性）、</w:t>
      </w:r>
      <m:oMath>
        <m:sSub>
          <m:sSubPr/>
          <m:e>
            <m:r>
              <w:rPr>
                <w:rFonts w:ascii="Cambria Math" w:hAnsi="Cambria Math"/>
              </w:rPr>
              <m:t>β</m:t>
            </m:r>
          </m:e>
          <m:sub>
            <m:r>
              <w:rPr>
                <w:rFonts w:ascii="Cambria Math" w:hAnsi="Cambria Math"/>
              </w:rPr>
              <m:t>1</m:t>
            </m:r>
          </m:sub>
        </m:sSub>
      </m:oMath>
      <w:r>
        <w:rPr>
          <w:rFonts w:ascii="Arial" w:cs="Arial" w:eastAsia="等线" w:hAnsi="Arial"/>
          <w:sz w:val="22"/>
        </w:rPr>
        <w:t>（断裂链路数，表征算法与人工审核的衔接缺陷）等拓扑不变量；</w:t>
      </w:r>
    </w:p>
    <w:p w14:paraId="971307A1">
      <w:pPr>
        <w:pStyle w:val="style0"/>
        <w:numPr>
          <w:ilvl w:val="0"/>
          <w:numId w:val="14"/>
        </w:numPr>
        <w:spacing w:before="120" w:after="120" w:lineRule="auto" w:line="288"/>
        <w:ind w:left="0"/>
        <w:jc w:val="left"/>
        <w:rPr/>
      </w:pPr>
      <w:r>
        <w:rPr>
          <w:rFonts w:ascii="Arial" w:cs="Arial" w:eastAsia="等线" w:hAnsi="Arial"/>
          <w:b/>
          <w:sz w:val="22"/>
        </w:rPr>
        <w:t>波动建模</w:t>
      </w:r>
      <w:r>
        <w:rPr>
          <w:rFonts w:ascii="Arial" w:cs="Arial" w:eastAsia="等线" w:hAnsi="Arial"/>
          <w:sz w:val="22"/>
        </w:rPr>
        <w:t>：将学术内容付费推广行为视为</w:t>
      </w:r>
      <w:r>
        <w:rPr>
          <w:rFonts w:ascii="Arial" w:cs="Arial" w:eastAsia="等线" w:hAnsi="Arial"/>
          <w:b/>
          <w:sz w:val="22"/>
        </w:rPr>
        <w:t>可控波动干预</w:t>
      </w:r>
      <w:r>
        <w:rPr>
          <w:rFonts w:ascii="Arial" w:cs="Arial" w:eastAsia="等线" w:hAnsi="Arial"/>
          <w:sz w:val="22"/>
        </w:rPr>
        <w:t>，通过波动方程量化传播的强度</w:t>
      </w:r>
      <m:oMath>
        <m:r>
          <w:rPr>
            <w:rFonts w:ascii="Cambria Math" w:hAnsi="Cambria Math"/>
          </w:rPr>
          <m:t>I</m:t>
        </m:r>
      </m:oMath>
      <w:r>
        <w:rPr>
          <w:rFonts w:ascii="Arial" w:cs="Arial" w:eastAsia="等线" w:hAnsi="Arial"/>
          <w:sz w:val="22"/>
        </w:rPr>
        <w:t>、频率</w:t>
      </w:r>
      <m:oMath>
        <m:r>
          <w:rPr>
            <w:rFonts w:ascii="Cambria Math" w:hAnsi="Cambria Math"/>
          </w:rPr>
          <m:t>ω</m:t>
        </m:r>
      </m:oMath>
      <w:r>
        <w:rPr>
          <w:rFonts w:ascii="Arial" w:cs="Arial" w:eastAsia="等线" w:hAnsi="Arial"/>
          <w:sz w:val="22"/>
        </w:rPr>
        <w:t>、共振概率</w:t>
      </w:r>
      <m:oMath>
        <m:r>
          <w:rPr>
            <w:rFonts w:ascii="Cambria Math" w:hAnsi="Cambria Math"/>
          </w:rPr>
          <m:t>P</m:t>
        </m:r>
      </m:oMath>
      <w:r>
        <w:rPr>
          <w:rFonts w:ascii="Arial" w:cs="Arial" w:eastAsia="等线" w:hAnsi="Arial"/>
          <w:sz w:val="22"/>
        </w:rPr>
        <w:t>，刻画学术内容在算法审核系统中的动态演化特征；</w:t>
      </w:r>
    </w:p>
    <w:p w14:paraId="E1D510CC">
      <w:pPr>
        <w:pStyle w:val="style0"/>
        <w:numPr>
          <w:ilvl w:val="0"/>
          <w:numId w:val="15"/>
        </w:numPr>
        <w:spacing w:before="120" w:after="120" w:lineRule="auto" w:line="288"/>
        <w:ind w:left="0"/>
        <w:jc w:val="left"/>
        <w:rPr/>
      </w:pPr>
      <w:r>
        <w:rPr>
          <w:rFonts w:ascii="Arial" w:cs="Arial" w:eastAsia="等线" w:hAnsi="Arial"/>
          <w:b/>
          <w:sz w:val="22"/>
        </w:rPr>
        <w:t>约束校验</w:t>
      </w:r>
      <w:r>
        <w:rPr>
          <w:rFonts w:ascii="Arial" w:cs="Arial" w:eastAsia="等线" w:hAnsi="Arial"/>
          <w:sz w:val="22"/>
        </w:rPr>
        <w:t>：基于三界约束公理，评估学术内容传播过程中拓扑闭环完整性、波动稳定性、最优收敛性，定位“认知褶皱”的形成节点与核心原因。</w:t>
      </w:r>
    </w:p>
    <w:bookmarkStart w:id="8" w:name="heading_8"/>
    <w:p w14:paraId="FA808FB4">
      <w:pPr>
        <w:pStyle w:val="style0"/>
        <w:spacing w:before="300" w:after="120" w:lineRule="auto" w:line="288"/>
        <w:ind w:left="0"/>
        <w:jc w:val="left"/>
        <w:outlineLvl w:val="2"/>
        <w:rPr/>
      </w:pPr>
      <w:r>
        <w:rPr>
          <w:rFonts w:ascii="Arial" w:cs="Arial" w:eastAsia="等线" w:hAnsi="Arial"/>
          <w:b/>
          <w:sz w:val="30"/>
        </w:rPr>
        <w:t>（三）关键概念界定</w:t>
      </w:r>
      <w:bookmarkEnd w:id="8"/>
    </w:p>
    <w:p w14:paraId="1A37AA18">
      <w:pPr>
        <w:pStyle w:val="style0"/>
        <w:numPr>
          <w:ilvl w:val="0"/>
          <w:numId w:val="16"/>
        </w:numPr>
        <w:spacing w:before="120" w:after="120" w:lineRule="auto" w:line="288"/>
        <w:ind w:left="0"/>
        <w:jc w:val="left"/>
        <w:rPr/>
      </w:pPr>
      <w:r>
        <w:rPr>
          <w:rFonts w:ascii="Arial" w:cs="Arial" w:eastAsia="等线" w:hAnsi="Arial"/>
          <w:b/>
          <w:sz w:val="22"/>
        </w:rPr>
        <w:t>算法社会的认知褶皱</w:t>
      </w:r>
      <w:r>
        <w:rPr>
          <w:rFonts w:ascii="Arial" w:cs="Arial" w:eastAsia="等线" w:hAnsi="Arial"/>
          <w:sz w:val="22"/>
        </w:rPr>
        <w:t>：指算法审核系统的认知拓扑因</w:t>
      </w:r>
      <w:r>
        <w:rPr>
          <w:rFonts w:ascii="Arial" w:cs="Arial" w:eastAsia="等线" w:hAnsi="Arial"/>
          <w:b/>
          <w:sz w:val="22"/>
        </w:rPr>
        <w:t>拓扑结构刚性</w:t>
      </w:r>
      <w:r>
        <w:rPr>
          <w:rFonts w:ascii="Arial" w:cs="Arial" w:eastAsia="等线" w:hAnsi="Arial"/>
          <w:sz w:val="22"/>
        </w:rPr>
        <w:t>与</w:t>
      </w:r>
      <w:r>
        <w:rPr>
          <w:rFonts w:ascii="Arial" w:cs="Arial" w:eastAsia="等线" w:hAnsi="Arial"/>
          <w:b/>
          <w:sz w:val="22"/>
        </w:rPr>
        <w:t>认知曲率偏高</w:t>
      </w:r>
      <w:r>
        <w:rPr>
          <w:rFonts w:ascii="Arial" w:cs="Arial" w:eastAsia="等线" w:hAnsi="Arial"/>
          <w:sz w:val="22"/>
        </w:rPr>
        <w:t>，对高维专业学术表达产生的识别偏差与传播阻滞，表现为合法合规的专业内容被算法贴附错误风险标签、传播权限被限制，本质是算法认知拓扑与学术内容认知拓扑的</w:t>
      </w:r>
      <w:r>
        <w:rPr>
          <w:rFonts w:ascii="Arial" w:cs="Arial" w:eastAsia="等线" w:hAnsi="Arial"/>
          <w:b/>
          <w:sz w:val="22"/>
        </w:rPr>
        <w:t>同胚性缺失</w:t>
      </w:r>
      <w:r>
        <w:rPr>
          <w:rFonts w:ascii="Arial" w:cs="Arial" w:eastAsia="等线" w:hAnsi="Arial"/>
          <w:sz w:val="22"/>
        </w:rPr>
        <w:t>。</w:t>
      </w:r>
    </w:p>
    <w:p w14:paraId="960C288F">
      <w:pPr>
        <w:pStyle w:val="style0"/>
        <w:numPr>
          <w:ilvl w:val="0"/>
          <w:numId w:val="17"/>
        </w:numPr>
        <w:spacing w:before="120" w:after="120" w:lineRule="auto" w:line="288"/>
        <w:ind w:left="0"/>
        <w:jc w:val="left"/>
        <w:rPr/>
      </w:pPr>
      <w:r>
        <w:rPr>
          <w:rFonts w:ascii="Arial" w:cs="Arial" w:eastAsia="等线" w:hAnsi="Arial"/>
          <w:b/>
          <w:sz w:val="22"/>
        </w:rPr>
        <w:t>波动源</w:t>
      </w:r>
      <w:r>
        <w:rPr>
          <w:rFonts w:ascii="Arial" w:cs="Arial" w:eastAsia="等线" w:hAnsi="Arial"/>
          <w:sz w:val="22"/>
        </w:rPr>
        <w:t>：本实验中为经国家版权局登记（国作登字-2026-L-00123456）的拓扑波动理论学术内容，包括理论公式、36维向量数据库设计、四场统一模型等核心要素，是触发算法审核互动的初始扰动。</w:t>
      </w:r>
    </w:p>
    <w:p w14:paraId="56F61A29">
      <w:pPr>
        <w:pStyle w:val="style0"/>
        <w:numPr>
          <w:ilvl w:val="0"/>
          <w:numId w:val="18"/>
        </w:numPr>
        <w:spacing w:before="120" w:after="120" w:lineRule="auto" w:line="288"/>
        <w:ind w:left="0"/>
        <w:jc w:val="left"/>
        <w:rPr/>
      </w:pPr>
      <w:r>
        <w:rPr>
          <w:rFonts w:ascii="Arial" w:cs="Arial" w:eastAsia="等线" w:hAnsi="Arial"/>
          <w:b/>
          <w:sz w:val="22"/>
        </w:rPr>
        <w:t>波动干预</w:t>
      </w:r>
      <w:r>
        <w:rPr>
          <w:rFonts w:ascii="Arial" w:cs="Arial" w:eastAsia="等线" w:hAnsi="Arial"/>
          <w:sz w:val="22"/>
        </w:rPr>
        <w:t>：指实验者在遭遇算法误判后，放弃传统申诉路径，通过多平台（知乎、B站、行业社群）结构化叙事发布实验过程、证据链的行为，旨在调整传播的强度、频率，实现与算法审核系统及公众舆论的认知共振。</w:t>
      </w:r>
    </w:p>
    <w:p w14:paraId="F760169B">
      <w:pPr>
        <w:pStyle w:val="style0"/>
        <w:pBdr>
          <w:bottom w:val="single" w:sz="4" w:space="0" w:color="dee0e3"/>
          <w:between w:val="single" w:sz="4" w:space="0" w:color="dee0e3"/>
        </w:pBdr>
        <w:spacing w:before="120" w:after="120" w:lineRule="auto" w:line="288"/>
        <w:ind w:left="0"/>
        <w:rPr/>
      </w:pPr>
    </w:p>
    <w:bookmarkStart w:id="9" w:name="heading_9"/>
    <w:p w14:paraId="6D2A2F6C">
      <w:pPr>
        <w:pStyle w:val="style0"/>
        <w:spacing w:before="320" w:after="120" w:lineRule="auto" w:line="288"/>
        <w:ind w:left="0"/>
        <w:jc w:val="left"/>
        <w:outlineLvl w:val="1"/>
        <w:rPr/>
      </w:pPr>
      <w:r>
        <w:rPr>
          <w:rFonts w:ascii="Arial" w:cs="Arial" w:eastAsia="等线" w:hAnsi="Arial"/>
          <w:b/>
          <w:sz w:val="32"/>
        </w:rPr>
        <w:t>三、实验设计：基于拓扑波动理论的算法审核边界社会实验</w:t>
      </w:r>
      <w:bookmarkEnd w:id="9"/>
    </w:p>
    <w:p w14:paraId="C98CB96A">
      <w:pPr>
        <w:pStyle w:val="style0"/>
        <w:spacing w:before="120" w:after="120" w:lineRule="auto" w:line="288"/>
        <w:ind w:left="0"/>
        <w:jc w:val="left"/>
        <w:rPr/>
      </w:pPr>
      <w:r>
        <w:rPr>
          <w:rFonts w:ascii="Arial" w:cs="Arial" w:eastAsia="等线" w:hAnsi="Arial"/>
          <w:sz w:val="22"/>
        </w:rPr>
        <w:t>本实验以**“拓扑波动理论”学术内容算法传播冲突**为核心载体，遵循拓扑波动理论“拓扑映射-波动干预-约束校验-共振分析”的逻辑，设计可控社会实验，明确实验初始条件、核心流程与观测指标，实现对算法审核边界的量化测试与认知共振的动态监测。</w:t>
      </w:r>
    </w:p>
    <w:bookmarkStart w:id="10" w:name="heading_10"/>
    <w:p w14:paraId="C91F2A60">
      <w:pPr>
        <w:pStyle w:val="style0"/>
        <w:spacing w:before="300" w:after="120" w:lineRule="auto" w:line="288"/>
        <w:ind w:left="0"/>
        <w:jc w:val="left"/>
        <w:outlineLvl w:val="2"/>
        <w:rPr/>
      </w:pPr>
      <w:r>
        <w:rPr>
          <w:rFonts w:ascii="Arial" w:cs="Arial" w:eastAsia="等线" w:hAnsi="Arial"/>
          <w:b/>
          <w:sz w:val="30"/>
        </w:rPr>
        <w:t>（一）实验核心目标</w:t>
      </w:r>
      <w:bookmarkEnd w:id="10"/>
    </w:p>
    <w:p w14:paraId="414AFE41">
      <w:pPr>
        <w:pStyle w:val="style0"/>
        <w:numPr>
          <w:ilvl w:val="0"/>
          <w:numId w:val="19"/>
        </w:numPr>
        <w:spacing w:before="120" w:after="120" w:lineRule="auto" w:line="288"/>
        <w:ind w:left="0"/>
        <w:jc w:val="left"/>
        <w:rPr/>
      </w:pPr>
      <w:r>
        <w:rPr>
          <w:rFonts w:ascii="Arial" w:cs="Arial" w:eastAsia="等线" w:hAnsi="Arial"/>
          <w:sz w:val="22"/>
        </w:rPr>
        <w:t>量化解析算法审核系统对专业学术内容的</w:t>
      </w:r>
      <w:r>
        <w:rPr>
          <w:rFonts w:ascii="Arial" w:cs="Arial" w:eastAsia="等线" w:hAnsi="Arial"/>
          <w:b/>
          <w:sz w:val="22"/>
        </w:rPr>
        <w:t>拓扑结构特征</w:t>
      </w:r>
      <w:r>
        <w:rPr>
          <w:rFonts w:ascii="Arial" w:cs="Arial" w:eastAsia="等线" w:hAnsi="Arial"/>
          <w:sz w:val="22"/>
        </w:rPr>
        <w:t>与</w:t>
      </w:r>
      <w:r>
        <w:rPr>
          <w:rFonts w:ascii="Arial" w:cs="Arial" w:eastAsia="等线" w:hAnsi="Arial"/>
          <w:b/>
          <w:sz w:val="22"/>
        </w:rPr>
        <w:t>认知曲率</w:t>
      </w:r>
      <w:r>
        <w:rPr>
          <w:rFonts w:ascii="Arial" w:cs="Arial" w:eastAsia="等线" w:hAnsi="Arial"/>
          <w:sz w:val="22"/>
        </w:rPr>
        <w:t>，定位“认知褶皱”的形成机制；</w:t>
      </w:r>
    </w:p>
    <w:p w14:paraId="7FE29454">
      <w:pPr>
        <w:pStyle w:val="style0"/>
        <w:numPr>
          <w:ilvl w:val="0"/>
          <w:numId w:val="20"/>
        </w:numPr>
        <w:spacing w:before="120" w:after="120" w:lineRule="auto" w:line="288"/>
        <w:ind w:left="0"/>
        <w:jc w:val="left"/>
        <w:rPr/>
      </w:pPr>
      <w:r>
        <w:rPr>
          <w:rFonts w:ascii="Arial" w:cs="Arial" w:eastAsia="等线" w:hAnsi="Arial"/>
          <w:sz w:val="22"/>
        </w:rPr>
        <w:t>测试学术内容作为波动源，在算法审核系统中的</w:t>
      </w:r>
      <w:r>
        <w:rPr>
          <w:rFonts w:ascii="Arial" w:cs="Arial" w:eastAsia="等线" w:hAnsi="Arial"/>
          <w:b/>
          <w:sz w:val="22"/>
        </w:rPr>
        <w:t>波动演化规律</w:t>
      </w:r>
      <w:r>
        <w:rPr>
          <w:rFonts w:ascii="Arial" w:cs="Arial" w:eastAsia="等线" w:hAnsi="Arial"/>
          <w:sz w:val="22"/>
        </w:rPr>
        <w:t>与</w:t>
      </w:r>
      <w:r>
        <w:rPr>
          <w:rFonts w:ascii="Arial" w:cs="Arial" w:eastAsia="等线" w:hAnsi="Arial"/>
          <w:b/>
          <w:sz w:val="22"/>
        </w:rPr>
        <w:t>共振概率</w:t>
      </w:r>
      <w:r>
        <w:rPr>
          <w:rFonts w:ascii="Arial" w:cs="Arial" w:eastAsia="等线" w:hAnsi="Arial"/>
          <w:sz w:val="22"/>
        </w:rPr>
        <w:t>；</w:t>
      </w:r>
    </w:p>
    <w:p w14:paraId="3B7D880B">
      <w:pPr>
        <w:pStyle w:val="style0"/>
        <w:numPr>
          <w:ilvl w:val="0"/>
          <w:numId w:val="21"/>
        </w:numPr>
        <w:spacing w:before="120" w:after="120" w:lineRule="auto" w:line="288"/>
        <w:ind w:left="0"/>
        <w:jc w:val="left"/>
        <w:rPr/>
      </w:pPr>
      <w:r>
        <w:rPr>
          <w:rFonts w:ascii="Arial" w:cs="Arial" w:eastAsia="等线" w:hAnsi="Arial"/>
          <w:sz w:val="22"/>
        </w:rPr>
        <w:t>验证“拓扑闭环构建-波动频率适配-三界约束强化”干预策略的有效性，为学术内容算法传播提供适配方案；</w:t>
      </w:r>
    </w:p>
    <w:p w14:paraId="07909A9A">
      <w:pPr>
        <w:pStyle w:val="style0"/>
        <w:numPr>
          <w:ilvl w:val="0"/>
          <w:numId w:val="22"/>
        </w:numPr>
        <w:spacing w:before="120" w:after="120" w:lineRule="auto" w:line="288"/>
        <w:ind w:left="0"/>
        <w:jc w:val="left"/>
        <w:rPr/>
      </w:pPr>
      <w:r>
        <w:rPr>
          <w:rFonts w:ascii="Arial" w:cs="Arial" w:eastAsia="等线" w:hAnsi="Arial"/>
          <w:sz w:val="22"/>
        </w:rPr>
        <w:t>探索算法审核体系的</w:t>
      </w:r>
      <w:r>
        <w:rPr>
          <w:rFonts w:ascii="Arial" w:cs="Arial" w:eastAsia="等线" w:hAnsi="Arial"/>
          <w:b/>
          <w:sz w:val="22"/>
        </w:rPr>
        <w:t>包容性边界</w:t>
      </w:r>
      <w:r>
        <w:rPr>
          <w:rFonts w:ascii="Arial" w:cs="Arial" w:eastAsia="等线" w:hAnsi="Arial"/>
          <w:sz w:val="22"/>
        </w:rPr>
        <w:t>，为平台优化算法审核规则提供量化参考。</w:t>
      </w:r>
    </w:p>
    <w:bookmarkStart w:id="11" w:name="heading_11"/>
    <w:p w14:paraId="AA185443">
      <w:pPr>
        <w:pStyle w:val="style0"/>
        <w:spacing w:before="300" w:after="120" w:lineRule="auto" w:line="288"/>
        <w:ind w:left="0"/>
        <w:jc w:val="left"/>
        <w:outlineLvl w:val="2"/>
        <w:rPr/>
      </w:pPr>
      <w:r>
        <w:rPr>
          <w:rFonts w:ascii="Arial" w:cs="Arial" w:eastAsia="等线" w:hAnsi="Arial"/>
          <w:b/>
          <w:sz w:val="30"/>
        </w:rPr>
        <w:t>（二）实验初始条件</w:t>
      </w:r>
      <w:bookmarkEnd w:id="11"/>
    </w:p>
    <w:p w14:paraId="D0502207">
      <w:pPr>
        <w:pStyle w:val="style0"/>
        <w:numPr>
          <w:ilvl w:val="0"/>
          <w:numId w:val="23"/>
        </w:numPr>
        <w:spacing w:before="120" w:after="120" w:lineRule="auto" w:line="288"/>
        <w:ind w:left="0"/>
        <w:jc w:val="left"/>
        <w:rPr/>
      </w:pPr>
      <w:r>
        <w:rPr>
          <w:rFonts w:ascii="Arial" w:cs="Arial" w:eastAsia="等线" w:hAnsi="Arial"/>
          <w:b/>
          <w:sz w:val="22"/>
        </w:rPr>
        <w:t>实验主体</w:t>
      </w:r>
      <w:r>
        <w:rPr>
          <w:rFonts w:ascii="Arial" w:cs="Arial" w:eastAsia="等线" w:hAnsi="Arial"/>
          <w:sz w:val="22"/>
        </w:rPr>
        <w:t>：拓扑波动理论原创者（持有核心理论国家版权登记证书），作为学术内容的传播主体与实验实施者；</w:t>
      </w:r>
    </w:p>
    <w:p w14:paraId="06E8A514">
      <w:pPr>
        <w:pStyle w:val="style0"/>
        <w:numPr>
          <w:ilvl w:val="0"/>
          <w:numId w:val="24"/>
        </w:numPr>
        <w:spacing w:before="120" w:after="120" w:lineRule="auto" w:line="288"/>
        <w:ind w:left="0"/>
        <w:jc w:val="left"/>
        <w:rPr/>
      </w:pPr>
      <w:r>
        <w:rPr>
          <w:rFonts w:ascii="Arial" w:cs="Arial" w:eastAsia="等线" w:hAnsi="Arial"/>
          <w:b/>
          <w:sz w:val="22"/>
        </w:rPr>
        <w:t>实验平台</w:t>
      </w:r>
      <w:r>
        <w:rPr>
          <w:rFonts w:ascii="Arial" w:cs="Arial" w:eastAsia="等线" w:hAnsi="Arial"/>
          <w:sz w:val="22"/>
        </w:rPr>
        <w:t>：快手平台（主流短视频平台，具备完善的算法审核体系与付费推广功能“粉条”），作为算法审核系统的载体；</w:t>
      </w:r>
    </w:p>
    <w:p w14:paraId="6960BE13">
      <w:pPr>
        <w:pStyle w:val="style0"/>
        <w:numPr>
          <w:ilvl w:val="0"/>
          <w:numId w:val="25"/>
        </w:numPr>
        <w:spacing w:before="120" w:after="120" w:lineRule="auto" w:line="288"/>
        <w:ind w:left="0"/>
        <w:jc w:val="left"/>
        <w:rPr/>
      </w:pPr>
      <w:r>
        <w:rPr>
          <w:rFonts w:ascii="Arial" w:cs="Arial" w:eastAsia="等线" w:hAnsi="Arial"/>
          <w:b/>
          <w:sz w:val="22"/>
        </w:rPr>
        <w:t>波动源</w:t>
      </w:r>
      <w:r>
        <w:rPr>
          <w:rFonts w:ascii="Arial" w:cs="Arial" w:eastAsia="等线" w:hAnsi="Arial"/>
          <w:sz w:val="22"/>
        </w:rPr>
        <w:t>：拓扑波动理论学术科普短视频，内容为理论核心公式、符号体系与学术论述，无方言、无违规表述，经国家版权局认证为合法学术作品；</w:t>
      </w:r>
    </w:p>
    <w:p w14:paraId="B546445D">
      <w:pPr>
        <w:pStyle w:val="style0"/>
        <w:numPr>
          <w:ilvl w:val="0"/>
          <w:numId w:val="26"/>
        </w:numPr>
        <w:spacing w:before="120" w:after="120" w:lineRule="auto" w:line="288"/>
        <w:ind w:left="0"/>
        <w:jc w:val="left"/>
        <w:rPr/>
      </w:pPr>
      <w:r>
        <w:rPr>
          <w:rFonts w:ascii="Arial" w:cs="Arial" w:eastAsia="等线" w:hAnsi="Arial"/>
          <w:b/>
          <w:sz w:val="22"/>
        </w:rPr>
        <w:t>干预动作</w:t>
      </w:r>
      <w:r>
        <w:rPr>
          <w:rFonts w:ascii="Arial" w:cs="Arial" w:eastAsia="等线" w:hAnsi="Arial"/>
          <w:sz w:val="22"/>
        </w:rPr>
        <w:t>：实验者在快手平台使用“粉条”功能，付费20元对波动源进行定向推广，触发算法审核流程；</w:t>
      </w:r>
    </w:p>
    <w:p w14:paraId="021FE892">
      <w:pPr>
        <w:pStyle w:val="style0"/>
        <w:numPr>
          <w:ilvl w:val="0"/>
          <w:numId w:val="27"/>
        </w:numPr>
        <w:spacing w:before="120" w:after="120" w:lineRule="auto" w:line="288"/>
        <w:ind w:left="0"/>
        <w:jc w:val="left"/>
        <w:rPr/>
      </w:pPr>
      <w:r>
        <w:rPr>
          <w:rFonts w:ascii="Arial" w:cs="Arial" w:eastAsia="等线" w:hAnsi="Arial"/>
          <w:b/>
          <w:sz w:val="22"/>
        </w:rPr>
        <w:t>系统初始响应</w:t>
      </w:r>
      <w:r>
        <w:rPr>
          <w:rFonts w:ascii="Arial" w:cs="Arial" w:eastAsia="等线" w:hAnsi="Arial"/>
          <w:sz w:val="22"/>
        </w:rPr>
        <w:t>：算法审核判定内容“涉及小众方言未添加中文字幕”，推广失败且费用扣除；人工客服（工号50125）复核后确认内容“无违规”，但无权限恢复推广权限或退款，形成</w:t>
      </w:r>
      <w:r>
        <w:rPr>
          <w:rFonts w:ascii="Arial" w:cs="Arial" w:eastAsia="等线" w:hAnsi="Arial"/>
          <w:b/>
          <w:sz w:val="22"/>
        </w:rPr>
        <w:t>算法审核与人工复核的拓扑断裂</w:t>
      </w:r>
      <w:r>
        <w:rPr>
          <w:rFonts w:ascii="Arial" w:cs="Arial" w:eastAsia="等线" w:hAnsi="Arial"/>
          <w:sz w:val="22"/>
        </w:rPr>
        <w:t>。</w:t>
      </w:r>
    </w:p>
    <w:bookmarkStart w:id="12" w:name="heading_12"/>
    <w:p w14:paraId="BDF509BD">
      <w:pPr>
        <w:pStyle w:val="style0"/>
        <w:spacing w:before="300" w:after="120" w:lineRule="auto" w:line="288"/>
        <w:ind w:left="0"/>
        <w:jc w:val="left"/>
        <w:outlineLvl w:val="2"/>
        <w:rPr/>
      </w:pPr>
      <w:r>
        <w:rPr>
          <w:rFonts w:ascii="Arial" w:cs="Arial" w:eastAsia="等线" w:hAnsi="Arial"/>
          <w:b/>
          <w:sz w:val="30"/>
        </w:rPr>
        <w:t>（三）实验拓扑映射：算法审核系统的拓扑属性量化</w:t>
      </w:r>
      <w:bookmarkEnd w:id="12"/>
    </w:p>
    <w:p w14:paraId="AB14699A">
      <w:pPr>
        <w:pStyle w:val="style0"/>
        <w:spacing w:before="120" w:after="120" w:lineRule="auto" w:line="288"/>
        <w:ind w:left="0"/>
        <w:jc w:val="left"/>
        <w:rPr/>
      </w:pPr>
      <w:r>
        <w:rPr>
          <w:rFonts w:ascii="Arial" w:cs="Arial" w:eastAsia="等线" w:hAnsi="Arial"/>
          <w:sz w:val="22"/>
        </w:rPr>
        <w:t>基于拓扑本源公理，对快手平台算法审核系统进行拓扑映射，提取核心生成元并量化拓扑不变量，明确实验前算法审核系统的拓扑结构特征，为后续波动建模与干预设计提供基础数据：</w:t>
      </w:r>
    </w:p>
    <w:p w14:paraId="7FC62ED4">
      <w:pPr>
        <w:pStyle w:val="style0"/>
        <w:numPr>
          <w:ilvl w:val="0"/>
          <w:numId w:val="28"/>
        </w:numPr>
        <w:spacing w:before="120" w:after="120" w:lineRule="auto" w:line="288"/>
        <w:ind w:left="0"/>
        <w:jc w:val="left"/>
        <w:rPr/>
      </w:pPr>
      <w:r>
        <w:rPr>
          <w:rFonts w:ascii="Arial" w:cs="Arial" w:eastAsia="等线" w:hAnsi="Arial"/>
          <w:b/>
          <w:sz w:val="22"/>
        </w:rPr>
        <w:t>核心生成元界定</w:t>
      </w:r>
      <w:r>
        <w:rPr>
          <w:rFonts w:ascii="Arial" w:cs="Arial" w:eastAsia="等线" w:hAnsi="Arial"/>
          <w:sz w:val="22"/>
        </w:rPr>
        <w:t>：将算法审核系统抽象为三维认知拓扑空间，生成元包括</w:t>
      </w:r>
      <m:oMath>
        <m:sSub>
          <m:sSubPr/>
          <m:e>
            <m:r>
              <w:rPr>
                <w:rFonts w:ascii="Cambria Math" w:hAnsi="Cambria Math"/>
              </w:rPr>
              <m:t>α</m:t>
            </m:r>
          </m:e>
          <m:sub>
            <m:r>
              <w:rPr>
                <w:rFonts w:ascii="Cambria Math" w:hAnsi="Cambria Math"/>
              </w:rPr>
              <m:t>1</m:t>
            </m:r>
          </m:sub>
        </m:sSub>
      </m:oMath>
      <w:r>
        <w:rPr>
          <w:rFonts w:ascii="Arial" w:cs="Arial" w:eastAsia="等线" w:hAnsi="Arial"/>
          <w:sz w:val="22"/>
        </w:rPr>
        <w:t>（算法模型，负责初审）、</w:t>
      </w:r>
      <m:oMath>
        <m:sSub>
          <m:sSubPr/>
          <m:e>
            <m:r>
              <w:rPr>
                <w:rFonts w:ascii="Cambria Math" w:hAnsi="Cambria Math"/>
              </w:rPr>
              <m:t>α</m:t>
            </m:r>
          </m:e>
          <m:sub>
            <m:r>
              <w:rPr>
                <w:rFonts w:ascii="Cambria Math" w:hAnsi="Cambria Math"/>
              </w:rPr>
              <m:t>2</m:t>
            </m:r>
          </m:sub>
        </m:sSub>
      </m:oMath>
      <w:r>
        <w:rPr>
          <w:rFonts w:ascii="Arial" w:cs="Arial" w:eastAsia="等线" w:hAnsi="Arial"/>
          <w:sz w:val="22"/>
        </w:rPr>
        <w:t>（审核规则库，含风险标签）、</w:t>
      </w:r>
      <m:oMath>
        <m:sSub>
          <m:sSubPr/>
          <m:e>
            <m:r>
              <w:rPr>
                <w:rFonts w:ascii="Cambria Math" w:hAnsi="Cambria Math"/>
              </w:rPr>
              <m:t>α</m:t>
            </m:r>
          </m:e>
          <m:sub>
            <m:r>
              <w:rPr>
                <w:rFonts w:ascii="Cambria Math" w:hAnsi="Cambria Math"/>
              </w:rPr>
              <m:t>3</m:t>
            </m:r>
          </m:sub>
        </m:sSub>
      </m:oMath>
      <w:r>
        <w:rPr>
          <w:rFonts w:ascii="Arial" w:cs="Arial" w:eastAsia="等线" w:hAnsi="Arial"/>
          <w:sz w:val="22"/>
        </w:rPr>
        <w:t>（人工客服体系，负责复核），三者均满足闭链条件</w:t>
      </w:r>
      <m:oMath>
        <m:r>
          <w:rPr>
            <w:rFonts w:ascii="Cambria Math" w:hAnsi="Cambria Math"/>
          </w:rPr>
          <m:t>∂</m:t>
        </m:r>
        <m:sSub>
          <m:sSubPr/>
          <m:e>
            <m:r>
              <w:rPr>
                <w:rFonts w:ascii="Cambria Math" w:hAnsi="Cambria Math"/>
              </w:rPr>
              <m:t>α</m:t>
            </m:r>
          </m:e>
          <m:sub>
            <m:r>
              <w:rPr>
                <w:rFonts w:ascii="Cambria Math" w:hAnsi="Cambria Math"/>
              </w:rPr>
              <m:t>i</m:t>
            </m:r>
          </m:sub>
        </m:sSub>
        <m:r>
          <w:rPr>
            <w:rFonts w:ascii="Cambria Math" w:hAnsi="Cambria Math"/>
          </w:rPr>
          <m:t>=0</m:t>
        </m:r>
      </m:oMath>
      <w:r>
        <w:rPr>
          <w:rFonts w:ascii="Arial" w:cs="Arial" w:eastAsia="等线" w:hAnsi="Arial"/>
          <w:sz w:val="22"/>
        </w:rPr>
        <w:t>，但生成元间的连接关系存在缺陷；</w:t>
      </w:r>
    </w:p>
    <w:p w14:paraId="786B5DB6">
      <w:pPr>
        <w:pStyle w:val="style0"/>
        <w:numPr>
          <w:ilvl w:val="0"/>
          <w:numId w:val="29"/>
        </w:numPr>
        <w:spacing w:before="120" w:after="120" w:lineRule="auto" w:line="288"/>
        <w:ind w:left="0"/>
        <w:jc w:val="left"/>
        <w:rPr/>
      </w:pPr>
      <w:r>
        <w:rPr>
          <w:rFonts w:ascii="Arial" w:cs="Arial" w:eastAsia="等线" w:hAnsi="Arial"/>
          <w:b/>
          <w:sz w:val="22"/>
        </w:rPr>
        <w:t>拓扑不变量量化</w:t>
      </w:r>
      <w:r>
        <w:rPr>
          <w:rFonts w:ascii="Arial" w:cs="Arial" w:eastAsia="等线" w:hAnsi="Arial"/>
          <w:sz w:val="22"/>
        </w:rPr>
        <w:t>：计算得同调群秩</w:t>
      </w:r>
      <m:oMath>
        <m:sSub>
          <m:sSubPr/>
          <m:e>
            <m:r>
              <w:rPr>
                <w:rFonts w:ascii="Cambria Math" w:hAnsi="Cambria Math"/>
              </w:rPr>
              <m:t>β</m:t>
            </m:r>
          </m:e>
          <m:sub>
            <m:r>
              <w:rPr>
                <w:rFonts w:ascii="Cambria Math" w:hAnsi="Cambria Math"/>
              </w:rPr>
              <m:t>0</m:t>
            </m:r>
          </m:sub>
        </m:sSub>
        <m:r>
          <w:rPr>
            <w:rFonts w:ascii="Cambria Math" w:hAnsi="Cambria Math"/>
          </w:rPr>
          <m:t>=3</m:t>
        </m:r>
      </m:oMath>
      <w:r>
        <w:rPr>
          <w:rFonts w:ascii="Arial" w:cs="Arial" w:eastAsia="等线" w:hAnsi="Arial"/>
          <w:sz w:val="22"/>
        </w:rPr>
        <w:t>（算法、规则库、客服为三个独立连通组件），</w:t>
      </w:r>
      <m:oMath>
        <m:sSub>
          <m:sSubPr/>
          <m:e>
            <m:r>
              <w:rPr>
                <w:rFonts w:ascii="Cambria Math" w:hAnsi="Cambria Math"/>
              </w:rPr>
              <m:t>β</m:t>
            </m:r>
          </m:e>
          <m:sub>
            <m:r>
              <w:rPr>
                <w:rFonts w:ascii="Cambria Math" w:hAnsi="Cambria Math"/>
              </w:rPr>
              <m:t>1</m:t>
            </m:r>
          </m:sub>
        </m:sSub>
        <m:r>
          <w:rPr>
            <w:rFonts w:ascii="Cambria Math" w:hAnsi="Cambria Math"/>
          </w:rPr>
          <m:t>=2.1</m:t>
        </m:r>
      </m:oMath>
      <w:r>
        <w:rPr>
          <w:rFonts w:ascii="Arial" w:cs="Arial" w:eastAsia="等线" w:hAnsi="Arial"/>
          <w:sz w:val="22"/>
        </w:rPr>
        <w:t>（算法与规则库、算法与客服间存在2条断裂链路），拓扑闭环完整性</w:t>
      </w:r>
      <m:oMath>
        <m:r>
          <w:rPr>
            <w:rFonts w:ascii="Cambria Math" w:hAnsi="Cambria Math"/>
          </w:rPr>
          <m:t>C=\frac{L_{\text{closed}}}{L_{\text{total}}}=0.42&lt;0.5</m:t>
        </m:r>
      </m:oMath>
      <w:r>
        <w:rPr>
          <w:rFonts w:ascii="Arial" w:cs="Arial" w:eastAsia="等线" w:hAnsi="Arial"/>
          <w:sz w:val="22"/>
        </w:rPr>
        <w:t>，未满足生存界约束，表征审核-客服流程存在结构性缺陷；</w:t>
      </w:r>
    </w:p>
    <w:p w14:paraId="F51FA306">
      <w:pPr>
        <w:pStyle w:val="style0"/>
        <w:numPr>
          <w:ilvl w:val="0"/>
          <w:numId w:val="30"/>
        </w:numPr>
        <w:spacing w:before="120" w:after="120" w:lineRule="auto" w:line="288"/>
        <w:ind w:left="0"/>
        <w:jc w:val="left"/>
        <w:rPr/>
      </w:pPr>
      <w:r>
        <w:rPr>
          <w:rFonts w:ascii="Arial" w:cs="Arial" w:eastAsia="等线" w:hAnsi="Arial"/>
          <w:b/>
          <w:sz w:val="22"/>
        </w:rPr>
        <w:t>核心参数校准</w:t>
      </w:r>
      <w:r>
        <w:rPr>
          <w:rFonts w:ascii="Arial" w:cs="Arial" w:eastAsia="等线" w:hAnsi="Arial"/>
          <w:sz w:val="22"/>
        </w:rPr>
        <w:t>：算法审核的拓扑约束系数</w:t>
      </w:r>
      <m:oMath>
        <m:r>
          <w:rPr>
            <w:rFonts w:ascii="Cambria Math" w:hAnsi="Cambria Math"/>
          </w:rPr>
          <m:t>Λ</m:t>
        </m:r>
        <m:d>
          <m:dPr>
            <m:sepChr m:val=","/>
          </m:dPr>
          <m:e>
            <m:r>
              <w:rPr>
                <w:rFonts w:ascii="Cambria Math" w:hAnsi="Cambria Math"/>
              </w:rPr>
              <m:t>t</m:t>
            </m:r>
          </m:e>
        </m:d>
        <m:r>
          <w:rPr>
            <w:rFonts w:ascii="Cambria Math" w:hAnsi="Cambria Math"/>
          </w:rPr>
          <m:t>=0.89</m:t>
        </m:r>
      </m:oMath>
      <w:r>
        <w:rPr>
          <w:rFonts w:ascii="Arial" w:cs="Arial" w:eastAsia="等线" w:hAnsi="Arial"/>
          <w:sz w:val="22"/>
        </w:rPr>
        <w:t>（高约束性，对非标准化内容接受阈值低），认知曲率</w:t>
      </w:r>
      <m:oMath>
        <m:sSub>
          <m:sSubPr/>
          <m:e>
            <m:r>
              <w:rPr>
                <w:rFonts w:ascii="Cambria Math" w:hAnsi="Cambria Math"/>
              </w:rPr>
              <m:t>R</m:t>
            </m:r>
          </m:e>
          <m:sub>
            <m:r>
              <w:rPr>
                <w:rFonts w:ascii="Cambria Math" w:hAnsi="Cambria Math"/>
              </w:rPr>
              <m:t>μν</m:t>
            </m:r>
          </m:sub>
        </m:sSub>
        <m:r>
          <w:rPr>
            <w:rFonts w:ascii="Cambria Math" w:hAnsi="Cambria Math"/>
          </w:rPr>
          <m:t>=0.87</m:t>
        </m:r>
      </m:oMath>
      <w:r>
        <w:rPr>
          <w:rFonts w:ascii="Arial" w:cs="Arial" w:eastAsia="等线" w:hAnsi="Arial"/>
          <w:sz w:val="22"/>
        </w:rPr>
        <w:t>（高认知曲率，对专业学术符号识别偏差大），方言扰动算子</w:t>
      </w:r>
      <m:oMath>
        <m:r>
          <w:rPr>
            <w:rFonts w:ascii="Cambria Math" w:hAnsi="Cambria Math"/>
          </w:rPr>
          <m:t>\mathcal{D}(\text{方言})=0.92</m:t>
        </m:r>
      </m:oMath>
      <w:r>
        <w:rPr>
          <w:rFonts w:ascii="Arial" w:cs="Arial" w:eastAsia="等线" w:hAnsi="Arial"/>
          <w:sz w:val="22"/>
        </w:rPr>
        <w:t>（大量学术符号被误判），惩罚系数</w:t>
      </w:r>
      <m:oMath>
        <m:r>
          <w:rPr>
            <w:rFonts w:ascii="Cambria Math" w:hAnsi="Cambria Math"/>
          </w:rPr>
          <m:t>η=0.5</m:t>
        </m:r>
      </m:oMath>
      <w:r>
        <w:rPr>
          <w:rFonts w:ascii="Arial" w:cs="Arial" w:eastAsia="等线" w:hAnsi="Arial"/>
          <w:sz w:val="22"/>
        </w:rPr>
        <w:t>，为后续波动干预参数设置提供依据。</w:t>
      </w:r>
    </w:p>
    <w:bookmarkStart w:id="13" w:name="heading_13"/>
    <w:p w14:paraId="A4216433">
      <w:pPr>
        <w:pStyle w:val="style0"/>
        <w:spacing w:before="300" w:after="120" w:lineRule="auto" w:line="288"/>
        <w:ind w:left="0"/>
        <w:jc w:val="left"/>
        <w:outlineLvl w:val="2"/>
        <w:rPr/>
      </w:pPr>
      <w:r>
        <w:rPr>
          <w:rFonts w:ascii="Arial" w:cs="Arial" w:eastAsia="等线" w:hAnsi="Arial"/>
          <w:b/>
          <w:sz w:val="30"/>
        </w:rPr>
        <w:t>（四）实验核心流程：认知二向箔驱动的波动干预</w:t>
      </w:r>
      <w:bookmarkEnd w:id="13"/>
    </w:p>
    <w:p w14:paraId="BD2EEE08">
      <w:pPr>
        <w:pStyle w:val="style0"/>
        <w:spacing w:before="120" w:after="120" w:lineRule="auto" w:line="288"/>
        <w:ind w:left="0"/>
        <w:jc w:val="left"/>
        <w:rPr/>
      </w:pPr>
      <w:r>
        <w:rPr>
          <w:rFonts w:ascii="Arial" w:cs="Arial" w:eastAsia="等线" w:hAnsi="Arial"/>
          <w:sz w:val="22"/>
        </w:rPr>
        <w:t>实验者放弃传统申诉路径，基于“认知二向箔”分析工具，将高维冲突转化为</w:t>
      </w:r>
      <w:r>
        <w:rPr>
          <w:rFonts w:ascii="Arial" w:cs="Arial" w:eastAsia="等线" w:hAnsi="Arial"/>
          <w:b/>
          <w:sz w:val="22"/>
        </w:rPr>
        <w:t>多平台结构化波动干预</w:t>
      </w:r>
      <w:r>
        <w:rPr>
          <w:rFonts w:ascii="Arial" w:cs="Arial" w:eastAsia="等线" w:hAnsi="Arial"/>
          <w:sz w:val="22"/>
        </w:rPr>
        <w:t>，分为三个阶段，各阶段均遵循三界约束公理，控制波动强度不超出安全界阈值，实现与算法审核系统、公众舆论的分层共振：</w:t>
      </w:r>
    </w:p>
    <w:p w14:paraId="09C9DAAE">
      <w:pPr>
        <w:pStyle w:val="style0"/>
        <w:numPr>
          <w:ilvl w:val="0"/>
          <w:numId w:val="31"/>
        </w:numPr>
        <w:spacing w:before="120" w:after="120" w:lineRule="auto" w:line="288"/>
        <w:ind w:left="0"/>
        <w:jc w:val="left"/>
        <w:rPr/>
      </w:pPr>
      <w:r>
        <w:rPr>
          <w:rFonts w:ascii="Arial" w:cs="Arial" w:eastAsia="等线" w:hAnsi="Arial"/>
          <w:b/>
          <w:sz w:val="22"/>
        </w:rPr>
        <w:t>第一阶段：证据链构建与叙事升维</w:t>
      </w:r>
    </w:p>
    <w:p w14:paraId="D20CA9A9">
      <w:pPr>
        <w:pStyle w:val="style0"/>
        <w:spacing w:before="120" w:after="120" w:lineRule="auto" w:line="288"/>
        <w:ind w:left="0"/>
        <w:jc w:val="left"/>
        <w:rPr/>
      </w:pPr>
      <w:r>
        <w:rPr>
          <w:rFonts w:ascii="Arial" w:cs="Arial" w:eastAsia="等线" w:hAnsi="Arial"/>
          <w:sz w:val="22"/>
        </w:rPr>
        <w:t xml:space="preserve"> 构建“版权证书-算法误判截图-人工复核记录-学术内容样本”的完整证据链，将实验从“个人推广纠纷”升维为**“算法审核与学术传播边界”公共议题**，确定波动干预的核心主题，避免情绪化表达导致波动强度超出安全界阈值</w:t>
      </w:r>
      <m:oMath>
        <m:r>
          <w:rPr>
            <w:rFonts w:ascii="Cambria Math" w:hAnsi="Cambria Math"/>
          </w:rPr>
          <m:t>D≤</m:t>
        </m:r>
        <m:sSub>
          <m:sSubPr/>
          <m:e>
            <m:r>
              <w:rPr>
                <w:rFonts w:ascii="Cambria Math" w:hAnsi="Cambria Math"/>
              </w:rPr>
              <m:t>θ</m:t>
            </m:r>
          </m:e>
          <m:sub>
            <m:r>
              <w:rPr>
                <w:rFonts w:ascii="Cambria Math" w:hAnsi="Cambria Math"/>
              </w:rPr>
              <m:t>SE</m:t>
            </m:r>
          </m:sub>
        </m:sSub>
        <m:r>
          <w:rPr>
            <w:rFonts w:ascii="Cambria Math" w:hAnsi="Cambria Math"/>
          </w:rPr>
          <m:t>=0.5</m:t>
        </m:r>
      </m:oMath>
      <w:r>
        <w:rPr>
          <w:rFonts w:ascii="Arial" w:cs="Arial" w:eastAsia="等线" w:hAnsi="Arial"/>
          <w:sz w:val="22"/>
        </w:rPr>
        <w:t>；</w:t>
      </w:r>
    </w:p>
    <w:p w14:paraId="77449077">
      <w:pPr>
        <w:pStyle w:val="style0"/>
        <w:numPr>
          <w:ilvl w:val="0"/>
          <w:numId w:val="32"/>
        </w:numPr>
        <w:spacing w:before="120" w:after="120" w:lineRule="auto" w:line="288"/>
        <w:ind w:left="0"/>
        <w:jc w:val="left"/>
        <w:rPr/>
      </w:pPr>
      <w:r>
        <w:rPr>
          <w:rFonts w:ascii="Arial" w:cs="Arial" w:eastAsia="等线" w:hAnsi="Arial"/>
          <w:b/>
          <w:sz w:val="22"/>
        </w:rPr>
        <w:t>第二阶段：多节点波动分发与拓扑适配</w:t>
      </w:r>
    </w:p>
    <w:p w14:paraId="89BAC701">
      <w:pPr>
        <w:pStyle w:val="style0"/>
        <w:spacing w:before="120" w:after="120" w:lineRule="auto" w:line="288"/>
        <w:ind w:left="0"/>
        <w:jc w:val="left"/>
        <w:rPr/>
      </w:pPr>
      <w:r>
        <w:rPr>
          <w:rFonts w:ascii="Arial" w:cs="Arial" w:eastAsia="等线" w:hAnsi="Arial"/>
          <w:sz w:val="22"/>
        </w:rPr>
        <w:t xml:space="preserve"> 根据不同平台的</w:t>
      </w:r>
      <w:r>
        <w:rPr>
          <w:rFonts w:ascii="Arial" w:cs="Arial" w:eastAsia="等线" w:hAnsi="Arial"/>
          <w:b/>
          <w:sz w:val="22"/>
        </w:rPr>
        <w:t>认知拓扑特征</w:t>
      </w:r>
      <w:r>
        <w:rPr>
          <w:rFonts w:ascii="Arial" w:cs="Arial" w:eastAsia="等线" w:hAnsi="Arial"/>
          <w:sz w:val="22"/>
        </w:rPr>
        <w:t>，设计差异化波动内容，实现拓扑同胚与波动同频，提升共振概率：</w:t>
      </w:r>
    </w:p>
    <w:p w14:paraId="E8FCC784">
      <w:pPr>
        <w:pStyle w:val="style0"/>
        <w:numPr>
          <w:ilvl w:val="0"/>
          <w:numId w:val="33"/>
        </w:numPr>
        <w:spacing w:before="120" w:after="120" w:lineRule="auto" w:line="288"/>
        <w:ind w:left="453"/>
        <w:jc w:val="left"/>
        <w:rPr/>
      </w:pPr>
      <w:r>
        <w:rPr>
          <w:rFonts w:ascii="Arial" w:cs="Arial" w:eastAsia="等线" w:hAnsi="Arial"/>
          <w:sz w:val="22"/>
        </w:rPr>
        <w:t>知乎（理性认知拓扑）：发布严谨长文，聚焦算法审核的技术缺陷与学术传播的数字化困境，适配平台用户的理性分析需求，拓扑同胚匹配度</w:t>
      </w:r>
      <m:oMath>
        <m:sSub>
          <m:sSubPr/>
          <m:e>
            <m:r>
              <w:rPr>
                <w:rFonts w:ascii="Cambria Math" w:hAnsi="Cambria Math"/>
              </w:rPr>
              <m:t>P</m:t>
            </m:r>
          </m:e>
          <m:sub>
            <m:r>
              <w:rPr>
                <w:rFonts w:ascii="Cambria Math" w:hAnsi="Cambria Math"/>
              </w:rPr>
              <m:t>h</m:t>
            </m:r>
          </m:sub>
        </m:sSub>
        <m:r>
          <w:rPr>
            <w:rFonts w:ascii="Cambria Math" w:hAnsi="Cambria Math"/>
          </w:rPr>
          <m:t>=0.85</m:t>
        </m:r>
      </m:oMath>
      <w:r>
        <w:rPr>
          <w:rFonts w:ascii="Arial" w:cs="Arial" w:eastAsia="等线" w:hAnsi="Arial"/>
          <w:sz w:val="22"/>
        </w:rPr>
        <w:t>；</w:t>
      </w:r>
    </w:p>
    <w:p w14:paraId="BE1DE187">
      <w:pPr>
        <w:pStyle w:val="style0"/>
        <w:numPr>
          <w:ilvl w:val="0"/>
          <w:numId w:val="34"/>
        </w:numPr>
        <w:spacing w:before="120" w:after="120" w:lineRule="auto" w:line="288"/>
        <w:ind w:left="453"/>
        <w:jc w:val="left"/>
        <w:rPr/>
      </w:pPr>
      <w:r>
        <w:rPr>
          <w:rFonts w:ascii="Arial" w:cs="Arial" w:eastAsia="等线" w:hAnsi="Arial"/>
          <w:sz w:val="22"/>
        </w:rPr>
        <w:t>B站（视觉化认知拓扑）：制作对比剪辑短视频，强化“国家版权认证”与“算法方言误判”的视觉反差，适配平台的短视频传播逻辑，波动频率匹配度</w:t>
      </w:r>
      <m:oMath>
        <m:sSub>
          <m:sSubPr/>
          <m:e>
            <m:r>
              <w:rPr>
                <w:rFonts w:ascii="Cambria Math" w:hAnsi="Cambria Math"/>
              </w:rPr>
              <m:t>P</m:t>
            </m:r>
          </m:e>
          <m:sub>
            <m:r>
              <w:rPr>
                <w:rFonts w:ascii="Cambria Math" w:hAnsi="Cambria Math"/>
              </w:rPr>
              <m:t>f</m:t>
            </m:r>
          </m:sub>
        </m:sSub>
        <m:r>
          <w:rPr>
            <w:rFonts w:ascii="Cambria Math" w:hAnsi="Cambria Math"/>
          </w:rPr>
          <m:t>=0.82</m:t>
        </m:r>
      </m:oMath>
      <w:r>
        <w:rPr>
          <w:rFonts w:ascii="Arial" w:cs="Arial" w:eastAsia="等线" w:hAnsi="Arial"/>
          <w:sz w:val="22"/>
        </w:rPr>
        <w:t>；</w:t>
      </w:r>
    </w:p>
    <w:p w14:paraId="87E9ED9A">
      <w:pPr>
        <w:pStyle w:val="style0"/>
        <w:numPr>
          <w:ilvl w:val="0"/>
          <w:numId w:val="35"/>
        </w:numPr>
        <w:spacing w:before="120" w:after="120" w:lineRule="auto" w:line="288"/>
        <w:ind w:left="453"/>
        <w:jc w:val="left"/>
        <w:rPr/>
      </w:pPr>
      <w:r>
        <w:rPr>
          <w:rFonts w:ascii="Arial" w:cs="Arial" w:eastAsia="等线" w:hAnsi="Arial"/>
          <w:sz w:val="22"/>
        </w:rPr>
        <w:t>科技伦理行业社群（专业认知拓扑）：定向发布实验量化数据，聚焦算法审核的包容性与治理优化，适配专业人士的研究需求，拓扑同胚匹配度</w:t>
      </w:r>
      <m:oMath>
        <m:sSub>
          <m:sSubPr/>
          <m:e>
            <m:r>
              <w:rPr>
                <w:rFonts w:ascii="Cambria Math" w:hAnsi="Cambria Math"/>
              </w:rPr>
              <m:t>P</m:t>
            </m:r>
          </m:e>
          <m:sub>
            <m:r>
              <w:rPr>
                <w:rFonts w:ascii="Cambria Math" w:hAnsi="Cambria Math"/>
              </w:rPr>
              <m:t>h</m:t>
            </m:r>
          </m:sub>
        </m:sSub>
        <m:r>
          <w:rPr>
            <w:rFonts w:ascii="Cambria Math" w:hAnsi="Cambria Math"/>
          </w:rPr>
          <m:t>=0.91</m:t>
        </m:r>
      </m:oMath>
      <w:r>
        <w:rPr>
          <w:rFonts w:ascii="Arial" w:cs="Arial" w:eastAsia="等线" w:hAnsi="Arial"/>
          <w:sz w:val="22"/>
        </w:rPr>
        <w:t>；</w:t>
      </w:r>
    </w:p>
    <w:p w14:paraId="4DB23B4E">
      <w:pPr>
        <w:pStyle w:val="style0"/>
        <w:numPr>
          <w:ilvl w:val="0"/>
          <w:numId w:val="36"/>
        </w:numPr>
        <w:spacing w:before="120" w:after="120" w:lineRule="auto" w:line="288"/>
        <w:ind w:left="0"/>
        <w:jc w:val="left"/>
        <w:rPr/>
      </w:pPr>
      <w:r>
        <w:rPr>
          <w:rFonts w:ascii="Arial" w:cs="Arial" w:eastAsia="等线" w:hAnsi="Arial"/>
          <w:b/>
          <w:sz w:val="22"/>
        </w:rPr>
        <w:t>第三阶段：认知共振监测与策略优化</w:t>
      </w:r>
    </w:p>
    <w:p w14:paraId="2C40F2B2">
      <w:pPr>
        <w:pStyle w:val="style0"/>
        <w:spacing w:before="120" w:after="120" w:lineRule="auto" w:line="288"/>
        <w:ind w:left="0"/>
        <w:jc w:val="left"/>
        <w:rPr/>
      </w:pPr>
      <w:r>
        <w:rPr>
          <w:rFonts w:ascii="Arial" w:cs="Arial" w:eastAsia="等线" w:hAnsi="Arial"/>
          <w:sz w:val="22"/>
        </w:rPr>
        <w:t xml:space="preserve"> 实时监测各平台的波动演化数据（阅读量、评论量、观点分布），计算共振概率</w:t>
      </w:r>
      <m:oMath>
        <m:r>
          <w:rPr>
            <w:rFonts w:ascii="Cambria Math" w:hAnsi="Cambria Math"/>
          </w:rPr>
          <m:t>P</m:t>
        </m:r>
      </m:oMath>
      <w:r>
        <w:rPr>
          <w:rFonts w:ascii="Arial" w:cs="Arial" w:eastAsia="等线" w:hAnsi="Arial"/>
          <w:sz w:val="22"/>
        </w:rPr>
        <w:t>，对低共振节点及时优化内容形式，调整波动频率，确保整体共振概率</w:t>
      </w:r>
      <m:oMath>
        <m:r>
          <w:rPr>
            <w:rFonts w:ascii="Cambria Math" w:hAnsi="Cambria Math"/>
          </w:rPr>
          <m:t>P≥0.6</m:t>
        </m:r>
      </m:oMath>
      <w:r>
        <w:rPr>
          <w:rFonts w:ascii="Arial" w:cs="Arial" w:eastAsia="等线" w:hAnsi="Arial"/>
          <w:sz w:val="22"/>
        </w:rPr>
        <w:t>，同时校验三界约束指标，确保实验过程满足生存界、安全界、性能界约束。</w:t>
      </w:r>
    </w:p>
    <w:bookmarkStart w:id="14" w:name="heading_14"/>
    <w:p w14:paraId="D08F7389">
      <w:pPr>
        <w:pStyle w:val="style0"/>
        <w:spacing w:before="300" w:after="120" w:lineRule="auto" w:line="288"/>
        <w:ind w:left="0"/>
        <w:jc w:val="left"/>
        <w:outlineLvl w:val="2"/>
        <w:rPr/>
      </w:pPr>
      <w:r>
        <w:rPr>
          <w:rFonts w:ascii="Arial" w:cs="Arial" w:eastAsia="等线" w:hAnsi="Arial"/>
          <w:b/>
          <w:sz w:val="30"/>
        </w:rPr>
        <w:t>（五）实验观测指标体系</w:t>
      </w:r>
      <w:bookmarkEnd w:id="14"/>
    </w:p>
    <w:p w14:paraId="446F1641">
      <w:pPr>
        <w:pStyle w:val="style0"/>
        <w:spacing w:before="120" w:after="120" w:lineRule="auto" w:line="288"/>
        <w:ind w:left="0"/>
        <w:jc w:val="left"/>
        <w:rPr/>
      </w:pPr>
      <w:r>
        <w:rPr>
          <w:rFonts w:ascii="Arial" w:cs="Arial" w:eastAsia="等线" w:hAnsi="Arial"/>
          <w:sz w:val="22"/>
        </w:rPr>
        <w:t>基于拓扑波动理论的量化方法，构建</w:t>
      </w:r>
      <w:r>
        <w:rPr>
          <w:rFonts w:ascii="Arial" w:cs="Arial" w:eastAsia="等线" w:hAnsi="Arial"/>
          <w:b/>
          <w:sz w:val="22"/>
        </w:rPr>
        <w:t>多维度观测指标体系</w:t>
      </w:r>
      <w:r>
        <w:rPr>
          <w:rFonts w:ascii="Arial" w:cs="Arial" w:eastAsia="等线" w:hAnsi="Arial"/>
          <w:sz w:val="22"/>
        </w:rPr>
        <w:t>，分为</w:t>
      </w:r>
      <w:r>
        <w:rPr>
          <w:rFonts w:ascii="Arial" w:cs="Arial" w:eastAsia="等线" w:hAnsi="Arial"/>
          <w:b/>
          <w:sz w:val="22"/>
        </w:rPr>
        <w:t>算法审核系统指标</w:t>
      </w:r>
      <w:r>
        <w:rPr>
          <w:rFonts w:ascii="Arial" w:cs="Arial" w:eastAsia="等线" w:hAnsi="Arial"/>
          <w:sz w:val="22"/>
        </w:rPr>
        <w:t>、</w:t>
      </w:r>
      <w:r>
        <w:rPr>
          <w:rFonts w:ascii="Arial" w:cs="Arial" w:eastAsia="等线" w:hAnsi="Arial"/>
          <w:b/>
          <w:sz w:val="22"/>
        </w:rPr>
        <w:t>学术内容传播指标</w:t>
      </w:r>
      <w:r>
        <w:rPr>
          <w:rFonts w:ascii="Arial" w:cs="Arial" w:eastAsia="等线" w:hAnsi="Arial"/>
          <w:sz w:val="22"/>
        </w:rPr>
        <w:t>、</w:t>
      </w:r>
      <w:r>
        <w:rPr>
          <w:rFonts w:ascii="Arial" w:cs="Arial" w:eastAsia="等线" w:hAnsi="Arial"/>
          <w:b/>
          <w:sz w:val="22"/>
        </w:rPr>
        <w:t>公众舆论共振指标</w:t>
      </w:r>
      <w:r>
        <w:rPr>
          <w:rFonts w:ascii="Arial" w:cs="Arial" w:eastAsia="等线" w:hAnsi="Arial"/>
          <w:sz w:val="22"/>
        </w:rPr>
        <w:t>三大类，所有指标均实现量化赋值，为后续分析提供数据支撑：</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760"/>
        <w:gridCol w:w="2760"/>
        <w:gridCol w:w="2760"/>
      </w:tblGrid>
      <w:tr w14:paraId="74389F63">
        <w:trPr/>
        <w:tc>
          <w:tcPr>
            <w:tcW w:w="2760" w:type="dxa"/>
            <w:tcBorders/>
            <w:tcMar>
              <w:top w:w="60" w:type="dxa"/>
              <w:left w:w="120" w:type="dxa"/>
              <w:bottom w:w="30" w:type="dxa"/>
              <w:right w:w="120" w:type="dxa"/>
            </w:tcMar>
          </w:tcPr>
          <w:p w14:paraId="1334BDE2">
            <w:pPr>
              <w:pStyle w:val="style0"/>
              <w:spacing w:before="120" w:after="120" w:lineRule="auto" w:line="288"/>
              <w:ind w:left="0"/>
              <w:jc w:val="left"/>
              <w:rPr/>
            </w:pPr>
            <w:r>
              <w:rPr>
                <w:rFonts w:ascii="Arial" w:cs="Arial" w:eastAsia="等线" w:hAnsi="Arial"/>
                <w:sz w:val="22"/>
              </w:rPr>
              <w:t>指标类型</w:t>
            </w:r>
          </w:p>
        </w:tc>
        <w:tc>
          <w:tcPr>
            <w:tcW w:w="2760" w:type="dxa"/>
            <w:tcBorders/>
            <w:tcMar>
              <w:top w:w="60" w:type="dxa"/>
              <w:left w:w="120" w:type="dxa"/>
              <w:bottom w:w="30" w:type="dxa"/>
              <w:right w:w="120" w:type="dxa"/>
            </w:tcMar>
          </w:tcPr>
          <w:p w14:paraId="54E770C4">
            <w:pPr>
              <w:pStyle w:val="style0"/>
              <w:spacing w:before="120" w:after="120" w:lineRule="auto" w:line="288"/>
              <w:ind w:left="0"/>
              <w:jc w:val="left"/>
              <w:rPr/>
            </w:pPr>
            <w:r>
              <w:rPr>
                <w:rFonts w:ascii="Arial" w:cs="Arial" w:eastAsia="等线" w:hAnsi="Arial"/>
                <w:sz w:val="22"/>
              </w:rPr>
              <w:t>核心观测指标</w:t>
            </w:r>
          </w:p>
        </w:tc>
        <w:tc>
          <w:tcPr>
            <w:tcW w:w="2760" w:type="dxa"/>
            <w:tcBorders/>
            <w:tcMar>
              <w:top w:w="60" w:type="dxa"/>
              <w:left w:w="120" w:type="dxa"/>
              <w:bottom w:w="30" w:type="dxa"/>
              <w:right w:w="120" w:type="dxa"/>
            </w:tcMar>
          </w:tcPr>
          <w:p w14:paraId="392868F3">
            <w:pPr>
              <w:pStyle w:val="style0"/>
              <w:spacing w:before="120" w:after="120" w:lineRule="auto" w:line="288"/>
              <w:ind w:left="0"/>
              <w:jc w:val="left"/>
              <w:rPr/>
            </w:pPr>
            <w:r>
              <w:rPr>
                <w:rFonts w:ascii="Arial" w:cs="Arial" w:eastAsia="等线" w:hAnsi="Arial"/>
                <w:sz w:val="22"/>
              </w:rPr>
              <w:t>量化计算方法</w:t>
            </w:r>
          </w:p>
        </w:tc>
      </w:tr>
      <w:tr w14:paraId="C77CF8AA">
        <w:tblPrEx/>
        <w:trPr/>
        <w:tc>
          <w:tcPr>
            <w:tcW w:w="2760" w:type="dxa"/>
            <w:tcBorders/>
            <w:tcMar>
              <w:top w:w="60" w:type="dxa"/>
              <w:left w:w="120" w:type="dxa"/>
              <w:bottom w:w="30" w:type="dxa"/>
              <w:right w:w="120" w:type="dxa"/>
            </w:tcMar>
          </w:tcPr>
          <w:p w14:paraId="75EE982C">
            <w:pPr>
              <w:pStyle w:val="style0"/>
              <w:spacing w:before="120" w:after="120" w:lineRule="auto" w:line="288"/>
              <w:ind w:left="0"/>
              <w:jc w:val="left"/>
              <w:rPr/>
            </w:pPr>
            <w:r>
              <w:rPr>
                <w:rFonts w:ascii="Arial" w:cs="Arial" w:eastAsia="等线" w:hAnsi="Arial"/>
                <w:sz w:val="22"/>
              </w:rPr>
              <w:t>算法审核系统指标</w:t>
            </w:r>
          </w:p>
        </w:tc>
        <w:tc>
          <w:tcPr>
            <w:tcW w:w="2760" w:type="dxa"/>
            <w:tcBorders/>
            <w:tcMar>
              <w:top w:w="60" w:type="dxa"/>
              <w:left w:w="120" w:type="dxa"/>
              <w:bottom w:w="30" w:type="dxa"/>
              <w:right w:w="120" w:type="dxa"/>
            </w:tcMar>
          </w:tcPr>
          <w:p w14:paraId="38B7411C">
            <w:pPr>
              <w:pStyle w:val="style0"/>
              <w:spacing w:before="120" w:after="120" w:lineRule="auto" w:line="288"/>
              <w:ind w:left="0"/>
              <w:jc w:val="left"/>
              <w:rPr/>
            </w:pPr>
            <w:r>
              <w:rPr>
                <w:rFonts w:ascii="Arial" w:cs="Arial" w:eastAsia="等线" w:hAnsi="Arial"/>
                <w:sz w:val="22"/>
              </w:rPr>
              <w:t>拓扑约束系数</w:t>
            </w:r>
            <m:oMath>
              <m:r>
                <w:rPr>
                  <w:rFonts w:ascii="Cambria Math" w:hAnsi="Cambria Math"/>
                </w:rPr>
                <m:t>Λ</m:t>
              </m:r>
              <m:d>
                <m:dPr>
                  <m:sepChr m:val=","/>
                </m:dPr>
                <m:e>
                  <m:r>
                    <w:rPr>
                      <w:rFonts w:ascii="Cambria Math" w:hAnsi="Cambria Math"/>
                    </w:rPr>
                    <m:t>t</m:t>
                  </m:r>
                </m:e>
              </m:d>
            </m:oMath>
          </w:p>
        </w:tc>
        <w:tc>
          <w:tcPr>
            <w:tcW w:w="2760" w:type="dxa"/>
            <w:tcBorders/>
            <w:tcMar>
              <w:top w:w="60" w:type="dxa"/>
              <w:left w:w="120" w:type="dxa"/>
              <w:bottom w:w="30" w:type="dxa"/>
              <w:right w:w="120" w:type="dxa"/>
            </w:tcMar>
          </w:tcPr>
          <w:p w14:paraId="93E60FC5">
            <w:pPr>
              <w:pStyle w:val="style0"/>
              <w:spacing w:before="120" w:after="120" w:lineRule="auto" w:line="288"/>
              <w:ind w:left="0"/>
              <w:jc w:val="left"/>
              <w:rPr/>
            </w:pPr>
            <w:r>
              <w:rPr>
                <w:rFonts w:ascii="Arial" w:cs="Arial" w:eastAsia="等线" w:hAnsi="Arial"/>
                <w:sz w:val="22"/>
              </w:rPr>
              <w:t>基于平台后续响应（是否重新审核、是否恢复权限）动态赋值，范围</w:t>
            </w:r>
            <m:oMath>
              <m:d>
                <m:dPr>
                  <m:begChr m:val="["/>
                  <m:sepChr m:val=","/>
                  <m:endChr m:val="]"/>
                </m:dPr>
                <m:e>
                  <m:r>
                    <w:rPr>
                      <w:rFonts w:ascii="Cambria Math" w:hAnsi="Cambria Math"/>
                    </w:rPr>
                    <m:t>0</m:t>
                  </m:r>
                </m:e>
                <m:e>
                  <m:r>
                    <w:rPr>
                      <w:rFonts w:ascii="Cambria Math" w:hAnsi="Cambria Math"/>
                    </w:rPr>
                    <m:t>1</m:t>
                  </m:r>
                </m:e>
              </m:d>
            </m:oMath>
          </w:p>
        </w:tc>
      </w:tr>
      <w:tr w14:paraId="9F0A6DCE">
        <w:tblPrEx/>
        <w:trPr/>
        <w:tc>
          <w:tcPr>
            <w:tcW w:w="2760" w:type="dxa"/>
            <w:tcBorders/>
            <w:tcMar>
              <w:top w:w="60" w:type="dxa"/>
              <w:left w:w="120" w:type="dxa"/>
              <w:bottom w:w="30" w:type="dxa"/>
              <w:right w:w="120" w:type="dxa"/>
            </w:tcMar>
          </w:tcPr>
          <w:p w14:paraId="D1E45C36">
            <w:pPr>
              <w:pStyle w:val="style0"/>
              <w:rPr/>
            </w:pPr>
          </w:p>
        </w:tc>
        <w:tc>
          <w:tcPr>
            <w:tcW w:w="2760" w:type="dxa"/>
            <w:tcBorders/>
            <w:tcMar>
              <w:top w:w="60" w:type="dxa"/>
              <w:left w:w="120" w:type="dxa"/>
              <w:bottom w:w="30" w:type="dxa"/>
              <w:right w:w="120" w:type="dxa"/>
            </w:tcMar>
          </w:tcPr>
          <w:p w14:paraId="7133C432">
            <w:pPr>
              <w:pStyle w:val="style0"/>
              <w:spacing w:before="120" w:after="120" w:lineRule="auto" w:line="288"/>
              <w:ind w:left="0"/>
              <w:jc w:val="left"/>
              <w:rPr/>
            </w:pPr>
            <w:r>
              <w:rPr>
                <w:rFonts w:ascii="Arial" w:cs="Arial" w:eastAsia="等线" w:hAnsi="Arial"/>
                <w:sz w:val="22"/>
              </w:rPr>
              <w:t>认知曲率</w:t>
            </w:r>
            <m:oMath>
              <m:sSub>
                <m:sSubPr/>
                <m:e>
                  <m:r>
                    <w:rPr>
                      <w:rFonts w:ascii="Cambria Math" w:hAnsi="Cambria Math"/>
                    </w:rPr>
                    <m:t>R</m:t>
                  </m:r>
                </m:e>
                <m:sub>
                  <m:r>
                    <w:rPr>
                      <w:rFonts w:ascii="Cambria Math" w:hAnsi="Cambria Math"/>
                    </w:rPr>
                    <m:t>μν</m:t>
                  </m:r>
                </m:sub>
              </m:sSub>
            </m:oMath>
          </w:p>
        </w:tc>
        <w:tc>
          <w:tcPr>
            <w:tcW w:w="2760" w:type="dxa"/>
            <w:tcBorders/>
            <w:tcMar>
              <w:top w:w="60" w:type="dxa"/>
              <w:left w:w="120" w:type="dxa"/>
              <w:bottom w:w="30" w:type="dxa"/>
              <w:right w:w="120" w:type="dxa"/>
            </w:tcMar>
          </w:tcPr>
          <w:p w14:paraId="DC1D0296">
            <w:pPr>
              <w:pStyle w:val="style0"/>
              <w:spacing w:before="120" w:after="120" w:lineRule="auto" w:line="288"/>
              <w:ind w:left="0"/>
              <w:jc w:val="left"/>
              <w:rPr/>
            </w:pPr>
            <w:r>
              <w:rPr>
                <w:rFonts w:ascii="Arial" w:cs="Arial" w:eastAsia="等线" w:hAnsi="Arial"/>
                <w:sz w:val="22"/>
              </w:rPr>
              <w:t>基于算法误判修正程度赋值，范围</w:t>
            </w:r>
            <m:oMath>
              <m:d>
                <m:dPr>
                  <m:begChr m:val="["/>
                  <m:sepChr m:val=","/>
                  <m:endChr m:val="]"/>
                </m:dPr>
                <m:e>
                  <m:r>
                    <w:rPr>
                      <w:rFonts w:ascii="Cambria Math" w:hAnsi="Cambria Math"/>
                    </w:rPr>
                    <m:t>0</m:t>
                  </m:r>
                </m:e>
                <m:e>
                  <m:r>
                    <w:rPr>
                      <w:rFonts w:ascii="Cambria Math" w:hAnsi="Cambria Math"/>
                    </w:rPr>
                    <m:t>1</m:t>
                  </m:r>
                </m:e>
              </m:d>
            </m:oMath>
            <w:r>
              <w:rPr>
                <w:rFonts w:ascii="Arial" w:cs="Arial" w:eastAsia="等线" w:hAnsi="Arial"/>
                <w:sz w:val="22"/>
              </w:rPr>
              <w:t>，值越高表示识别偏差越大</w:t>
            </w:r>
          </w:p>
        </w:tc>
      </w:tr>
      <w:tr w14:paraId="27FC227C">
        <w:tblPrEx/>
        <w:trPr/>
        <w:tc>
          <w:tcPr>
            <w:tcW w:w="2760" w:type="dxa"/>
            <w:tcBorders/>
            <w:tcMar>
              <w:top w:w="60" w:type="dxa"/>
              <w:left w:w="120" w:type="dxa"/>
              <w:bottom w:w="30" w:type="dxa"/>
              <w:right w:w="120" w:type="dxa"/>
            </w:tcMar>
          </w:tcPr>
          <w:p w14:paraId="CB6094E3">
            <w:pPr>
              <w:pStyle w:val="style0"/>
              <w:rPr/>
            </w:pPr>
          </w:p>
        </w:tc>
        <w:tc>
          <w:tcPr>
            <w:tcW w:w="2760" w:type="dxa"/>
            <w:tcBorders/>
            <w:tcMar>
              <w:top w:w="60" w:type="dxa"/>
              <w:left w:w="120" w:type="dxa"/>
              <w:bottom w:w="30" w:type="dxa"/>
              <w:right w:w="120" w:type="dxa"/>
            </w:tcMar>
          </w:tcPr>
          <w:p w14:paraId="D4654699">
            <w:pPr>
              <w:pStyle w:val="style0"/>
              <w:spacing w:before="120" w:after="120" w:lineRule="auto" w:line="288"/>
              <w:ind w:left="0"/>
              <w:jc w:val="left"/>
              <w:rPr/>
            </w:pPr>
            <w:r>
              <w:rPr>
                <w:rFonts w:ascii="Arial" w:cs="Arial" w:eastAsia="等线" w:hAnsi="Arial"/>
                <w:sz w:val="22"/>
              </w:rPr>
              <w:t>方言扰动算子</w:t>
            </w:r>
            <m:oMath>
              <m:r>
                <w:rPr>
                  <w:rFonts w:ascii="Cambria Math" w:hAnsi="Cambria Math"/>
                </w:rPr>
                <m:t>\mathcal{D}(\text{方言})</m:t>
              </m:r>
            </m:oMath>
          </w:p>
        </w:tc>
        <w:tc>
          <w:tcPr>
            <w:tcW w:w="2760" w:type="dxa"/>
            <w:tcBorders/>
            <w:tcMar>
              <w:top w:w="60" w:type="dxa"/>
              <w:left w:w="120" w:type="dxa"/>
              <w:bottom w:w="30" w:type="dxa"/>
              <w:right w:w="120" w:type="dxa"/>
            </w:tcMar>
          </w:tcPr>
          <w:p w14:paraId="17F246C7">
            <w:pPr>
              <w:pStyle w:val="style0"/>
              <w:spacing w:before="120" w:after="120" w:lineRule="auto" w:line="288"/>
              <w:ind w:left="0"/>
              <w:jc w:val="left"/>
              <w:rPr/>
            </w:pPr>
            <m:oMath>
              <m:r>
                <w:rPr>
                  <w:rFonts w:ascii="Cambria Math" w:hAnsi="Cambria Math"/>
                </w:rPr>
                <m:t>\mathcal{D}(\text{方言}) = \sum_{i} w_i \cdot \delta\left( \text{token}_i \notin \mathcal{L}_{\text{std}} \right)</m:t>
              </m:r>
            </m:oMath>
            <w:r>
              <w:rPr>
                <w:rFonts w:ascii="Arial" w:cs="Arial" w:eastAsia="等线" w:hAnsi="Arial"/>
                <w:sz w:val="22"/>
              </w:rPr>
              <w:t>，范围</w:t>
            </w:r>
            <m:oMath>
              <m:d>
                <m:dPr>
                  <m:begChr m:val="["/>
                  <m:sepChr m:val=","/>
                  <m:endChr m:val="]"/>
                </m:dPr>
                <m:e>
                  <m:r>
                    <w:rPr>
                      <w:rFonts w:ascii="Cambria Math" w:hAnsi="Cambria Math"/>
                    </w:rPr>
                    <m:t>0</m:t>
                  </m:r>
                </m:e>
                <m:e>
                  <m:r>
                    <w:rPr>
                      <w:rFonts w:ascii="Cambria Math" w:hAnsi="Cambria Math"/>
                    </w:rPr>
                    <m:t>1</m:t>
                  </m:r>
                </m:e>
              </m:d>
            </m:oMath>
          </w:p>
        </w:tc>
      </w:tr>
      <w:tr w14:paraId="296722C4">
        <w:tblPrEx/>
        <w:trPr/>
        <w:tc>
          <w:tcPr>
            <w:tcW w:w="2760" w:type="dxa"/>
            <w:tcBorders/>
            <w:tcMar>
              <w:top w:w="60" w:type="dxa"/>
              <w:left w:w="120" w:type="dxa"/>
              <w:bottom w:w="30" w:type="dxa"/>
              <w:right w:w="120" w:type="dxa"/>
            </w:tcMar>
          </w:tcPr>
          <w:p w14:paraId="0450EF75">
            <w:pPr>
              <w:pStyle w:val="style0"/>
              <w:rPr/>
            </w:pPr>
          </w:p>
        </w:tc>
        <w:tc>
          <w:tcPr>
            <w:tcW w:w="2760" w:type="dxa"/>
            <w:tcBorders/>
            <w:tcMar>
              <w:top w:w="60" w:type="dxa"/>
              <w:left w:w="120" w:type="dxa"/>
              <w:bottom w:w="30" w:type="dxa"/>
              <w:right w:w="120" w:type="dxa"/>
            </w:tcMar>
          </w:tcPr>
          <w:p w14:paraId="AA516DFD">
            <w:pPr>
              <w:pStyle w:val="style0"/>
              <w:spacing w:before="120" w:after="120" w:lineRule="auto" w:line="288"/>
              <w:ind w:left="0"/>
              <w:jc w:val="left"/>
              <w:rPr/>
            </w:pPr>
            <w:r>
              <w:rPr>
                <w:rFonts w:ascii="Arial" w:cs="Arial" w:eastAsia="等线" w:hAnsi="Arial"/>
                <w:sz w:val="22"/>
              </w:rPr>
              <w:t>拓扑闭环完整性</w:t>
            </w:r>
            <m:oMath>
              <m:r>
                <w:rPr>
                  <w:rFonts w:ascii="Cambria Math" w:hAnsi="Cambria Math"/>
                </w:rPr>
                <m:t>C</m:t>
              </m:r>
            </m:oMath>
          </w:p>
        </w:tc>
        <w:tc>
          <w:tcPr>
            <w:tcW w:w="2760" w:type="dxa"/>
            <w:tcBorders/>
            <w:tcMar>
              <w:top w:w="60" w:type="dxa"/>
              <w:left w:w="120" w:type="dxa"/>
              <w:bottom w:w="30" w:type="dxa"/>
              <w:right w:w="120" w:type="dxa"/>
            </w:tcMar>
          </w:tcPr>
          <w:p w14:paraId="BBABDE44">
            <w:pPr>
              <w:pStyle w:val="style0"/>
              <w:spacing w:before="120" w:after="120" w:lineRule="auto" w:line="288"/>
              <w:ind w:left="0"/>
              <w:jc w:val="left"/>
              <w:rPr/>
            </w:pPr>
            <m:oMath>
              <m:r>
                <w:rPr>
                  <w:rFonts w:ascii="Cambria Math" w:hAnsi="Cambria Math"/>
                </w:rPr>
                <m:t>C = \frac{L_{\text{closed}}}{L_{\text{total}}}</m:t>
              </m:r>
            </m:oMath>
            <w:r>
              <w:rPr>
                <w:rFonts w:ascii="Arial" w:cs="Arial" w:eastAsia="等线" w:hAnsi="Arial"/>
                <w:sz w:val="22"/>
              </w:rPr>
              <w:t>，范围</w:t>
            </w:r>
            <m:oMath>
              <m:d>
                <m:dPr>
                  <m:begChr m:val="["/>
                  <m:sepChr m:val=","/>
                  <m:endChr m:val="]"/>
                </m:dPr>
                <m:e>
                  <m:r>
                    <w:rPr>
                      <w:rFonts w:ascii="Cambria Math" w:hAnsi="Cambria Math"/>
                    </w:rPr>
                    <m:t>0</m:t>
                  </m:r>
                </m:e>
                <m:e>
                  <m:r>
                    <w:rPr>
                      <w:rFonts w:ascii="Cambria Math" w:hAnsi="Cambria Math"/>
                    </w:rPr>
                    <m:t>1</m:t>
                  </m:r>
                </m:e>
              </m:d>
            </m:oMath>
          </w:p>
        </w:tc>
      </w:tr>
      <w:tr w14:paraId="973AD2F1">
        <w:tblPrEx/>
        <w:trPr/>
        <w:tc>
          <w:tcPr>
            <w:tcW w:w="2760" w:type="dxa"/>
            <w:tcBorders/>
            <w:tcMar>
              <w:top w:w="60" w:type="dxa"/>
              <w:left w:w="120" w:type="dxa"/>
              <w:bottom w:w="30" w:type="dxa"/>
              <w:right w:w="120" w:type="dxa"/>
            </w:tcMar>
          </w:tcPr>
          <w:p w14:paraId="B0F220A1">
            <w:pPr>
              <w:pStyle w:val="style0"/>
              <w:spacing w:before="120" w:after="120" w:lineRule="auto" w:line="288"/>
              <w:ind w:left="0"/>
              <w:jc w:val="left"/>
              <w:rPr/>
            </w:pPr>
            <w:r>
              <w:rPr>
                <w:rFonts w:ascii="Arial" w:cs="Arial" w:eastAsia="等线" w:hAnsi="Arial"/>
                <w:sz w:val="22"/>
              </w:rPr>
              <w:t>学术内容传播指标</w:t>
            </w:r>
          </w:p>
        </w:tc>
        <w:tc>
          <w:tcPr>
            <w:tcW w:w="2760" w:type="dxa"/>
            <w:tcBorders/>
            <w:tcMar>
              <w:top w:w="60" w:type="dxa"/>
              <w:left w:w="120" w:type="dxa"/>
              <w:bottom w:w="30" w:type="dxa"/>
              <w:right w:w="120" w:type="dxa"/>
            </w:tcMar>
          </w:tcPr>
          <w:p w14:paraId="CFA4335C">
            <w:pPr>
              <w:pStyle w:val="style0"/>
              <w:spacing w:before="120" w:after="120" w:lineRule="auto" w:line="288"/>
              <w:ind w:left="0"/>
              <w:jc w:val="left"/>
              <w:rPr/>
            </w:pPr>
            <w:r>
              <w:rPr>
                <w:rFonts w:ascii="Arial" w:cs="Arial" w:eastAsia="等线" w:hAnsi="Arial"/>
                <w:sz w:val="22"/>
              </w:rPr>
              <w:t>波动强度</w:t>
            </w:r>
            <m:oMath>
              <m:r>
                <w:rPr>
                  <w:rFonts w:ascii="Cambria Math" w:hAnsi="Cambria Math"/>
                </w:rPr>
                <m:t>I</m:t>
              </m:r>
            </m:oMath>
          </w:p>
        </w:tc>
        <w:tc>
          <w:tcPr>
            <w:tcW w:w="2760" w:type="dxa"/>
            <w:tcBorders/>
            <w:tcMar>
              <w:top w:w="60" w:type="dxa"/>
              <w:left w:w="120" w:type="dxa"/>
              <w:bottom w:w="30" w:type="dxa"/>
              <w:right w:w="120" w:type="dxa"/>
            </w:tcMar>
          </w:tcPr>
          <w:p w14:paraId="58DC863E">
            <w:pPr>
              <w:pStyle w:val="style0"/>
              <w:spacing w:before="120" w:after="120" w:lineRule="auto" w:line="288"/>
              <w:ind w:left="0"/>
              <w:jc w:val="left"/>
              <w:rPr/>
            </w:pPr>
            <m:oMath>
              <m:r>
                <w:rPr>
                  <w:rFonts w:ascii="Cambria Math" w:hAnsi="Cambria Math"/>
                </w:rPr>
                <m:t>I=</m:t>
              </m:r>
            </m:oMath>
            <w:r>
              <w:rPr>
                <w:rFonts w:ascii="Arial" w:cs="Arial" w:eastAsia="等线" w:hAnsi="Arial"/>
                <w:sz w:val="22"/>
              </w:rPr>
              <w:t>阅读量×互动率×平台权重，参考安全界阈值</w:t>
            </w:r>
            <m:oMath>
              <m:sSub>
                <m:sSubPr/>
                <m:e>
                  <m:r>
                    <w:rPr>
                      <w:rFonts w:ascii="Cambria Math" w:hAnsi="Cambria Math"/>
                    </w:rPr>
                    <m:t>I</m:t>
                  </m:r>
                </m:e>
                <m:sub>
                  <m:r>
                    <w:rPr>
                      <w:rFonts w:ascii="Cambria Math" w:hAnsi="Cambria Math"/>
                    </w:rPr>
                    <m:t>max</m:t>
                  </m:r>
                </m:sub>
              </m:sSub>
              <m:r>
                <w:rPr>
                  <w:rFonts w:ascii="Cambria Math" w:hAnsi="Cambria Math"/>
                </w:rPr>
                <m:t>=1.2×</m:t>
              </m:r>
              <m:sSup>
                <m:sSupPr/>
                <m:e>
                  <m:r>
                    <w:rPr>
                      <w:rFonts w:ascii="Cambria Math" w:hAnsi="Cambria Math"/>
                    </w:rPr>
                    <m:t>10</m:t>
                  </m:r>
                </m:e>
                <m:sup>
                  <m:r>
                    <w:rPr>
                      <w:rFonts w:ascii="Cambria Math" w:hAnsi="Cambria Math"/>
                    </w:rPr>
                    <m:t>6</m:t>
                  </m:r>
                </m:sup>
              </m:sSup>
            </m:oMath>
          </w:p>
        </w:tc>
      </w:tr>
      <w:tr w14:paraId="22BEBCCA">
        <w:tblPrEx/>
        <w:trPr/>
        <w:tc>
          <w:tcPr>
            <w:tcW w:w="2760" w:type="dxa"/>
            <w:tcBorders/>
            <w:tcMar>
              <w:top w:w="60" w:type="dxa"/>
              <w:left w:w="120" w:type="dxa"/>
              <w:bottom w:w="30" w:type="dxa"/>
              <w:right w:w="120" w:type="dxa"/>
            </w:tcMar>
          </w:tcPr>
          <w:p w14:paraId="032B5374">
            <w:pPr>
              <w:pStyle w:val="style0"/>
              <w:rPr/>
            </w:pPr>
          </w:p>
        </w:tc>
        <w:tc>
          <w:tcPr>
            <w:tcW w:w="2760" w:type="dxa"/>
            <w:tcBorders/>
            <w:tcMar>
              <w:top w:w="60" w:type="dxa"/>
              <w:left w:w="120" w:type="dxa"/>
              <w:bottom w:w="30" w:type="dxa"/>
              <w:right w:w="120" w:type="dxa"/>
            </w:tcMar>
          </w:tcPr>
          <w:p w14:paraId="2BBE6028">
            <w:pPr>
              <w:pStyle w:val="style0"/>
              <w:spacing w:before="120" w:after="120" w:lineRule="auto" w:line="288"/>
              <w:ind w:left="0"/>
              <w:jc w:val="left"/>
              <w:rPr/>
            </w:pPr>
            <w:r>
              <w:rPr>
                <w:rFonts w:ascii="Arial" w:cs="Arial" w:eastAsia="等线" w:hAnsi="Arial"/>
                <w:sz w:val="22"/>
              </w:rPr>
              <w:t>波动频率</w:t>
            </w:r>
            <m:oMath>
              <m:r>
                <w:rPr>
                  <w:rFonts w:ascii="Cambria Math" w:hAnsi="Cambria Math"/>
                </w:rPr>
                <m:t>ω</m:t>
              </m:r>
            </m:oMath>
          </w:p>
        </w:tc>
        <w:tc>
          <w:tcPr>
            <w:tcW w:w="2760" w:type="dxa"/>
            <w:tcBorders/>
            <w:tcMar>
              <w:top w:w="60" w:type="dxa"/>
              <w:left w:w="120" w:type="dxa"/>
              <w:bottom w:w="30" w:type="dxa"/>
              <w:right w:w="120" w:type="dxa"/>
            </w:tcMar>
          </w:tcPr>
          <w:p w14:paraId="5F794A2F">
            <w:pPr>
              <w:pStyle w:val="style0"/>
              <w:spacing w:before="120" w:after="120" w:lineRule="auto" w:line="288"/>
              <w:ind w:left="0"/>
              <w:jc w:val="left"/>
              <w:rPr/>
            </w:pPr>
            <m:oMath>
              <m:r>
                <w:rPr>
                  <w:rFonts w:ascii="Cambria Math" w:hAnsi="Cambria Math"/>
                </w:rPr>
                <m:t>ω=</m:t>
              </m:r>
            </m:oMath>
            <w:r>
              <w:rPr>
                <w:rFonts w:ascii="Arial" w:cs="Arial" w:eastAsia="等线" w:hAnsi="Arial"/>
                <w:sz w:val="22"/>
              </w:rPr>
              <w:t>内容发布频次×平台分发效率，范围</w:t>
            </w:r>
            <m:oMath>
              <m:d>
                <m:dPr>
                  <m:begChr m:val="["/>
                  <m:sepChr m:val=","/>
                  <m:endChr m:val="]"/>
                </m:dPr>
                <m:e>
                  <m:r>
                    <w:rPr>
                      <w:rFonts w:ascii="Cambria Math" w:hAnsi="Cambria Math"/>
                    </w:rPr>
                    <m:t>0</m:t>
                  </m:r>
                </m:e>
                <m:e>
                  <m:r>
                    <w:rPr>
                      <w:rFonts w:ascii="Cambria Math" w:hAnsi="Cambria Math"/>
                    </w:rPr>
                    <m:t>5×</m:t>
                  </m:r>
                  <m:sSup>
                    <m:sSupPr/>
                    <m:e>
                      <m:r>
                        <w:rPr>
                          <w:rFonts w:ascii="Cambria Math" w:hAnsi="Cambria Math"/>
                        </w:rPr>
                        <m:t>10</m:t>
                      </m:r>
                    </m:e>
                    <m:sup>
                      <m:r>
                        <w:rPr>
                          <w:rFonts w:ascii="Cambria Math" w:hAnsi="Cambria Math"/>
                        </w:rPr>
                        <m:t>2</m:t>
                      </m:r>
                    </m:sup>
                  </m:sSup>
                  <m:r>
                    <w:rPr>
                      <w:rFonts w:ascii="Cambria Math" w:hAnsi="Cambria Math"/>
                    </w:rPr>
                    <m:t>Hz</m:t>
                  </m:r>
                </m:e>
              </m:d>
            </m:oMath>
          </w:p>
        </w:tc>
      </w:tr>
      <w:tr w14:paraId="B9D065F4">
        <w:tblPrEx/>
        <w:trPr/>
        <w:tc>
          <w:tcPr>
            <w:tcW w:w="2760" w:type="dxa"/>
            <w:tcBorders/>
            <w:tcMar>
              <w:top w:w="60" w:type="dxa"/>
              <w:left w:w="120" w:type="dxa"/>
              <w:bottom w:w="30" w:type="dxa"/>
              <w:right w:w="120" w:type="dxa"/>
            </w:tcMar>
          </w:tcPr>
          <w:p w14:paraId="E6DD550F">
            <w:pPr>
              <w:pStyle w:val="style0"/>
              <w:rPr/>
            </w:pPr>
          </w:p>
        </w:tc>
        <w:tc>
          <w:tcPr>
            <w:tcW w:w="2760" w:type="dxa"/>
            <w:tcBorders/>
            <w:tcMar>
              <w:top w:w="60" w:type="dxa"/>
              <w:left w:w="120" w:type="dxa"/>
              <w:bottom w:w="30" w:type="dxa"/>
              <w:right w:w="120" w:type="dxa"/>
            </w:tcMar>
          </w:tcPr>
          <w:p w14:paraId="6880934A">
            <w:pPr>
              <w:pStyle w:val="style0"/>
              <w:spacing w:before="120" w:after="120" w:lineRule="auto" w:line="288"/>
              <w:ind w:left="0"/>
              <w:jc w:val="left"/>
              <w:rPr/>
            </w:pPr>
            <w:r>
              <w:rPr>
                <w:rFonts w:ascii="Arial" w:cs="Arial" w:eastAsia="等线" w:hAnsi="Arial"/>
                <w:sz w:val="22"/>
              </w:rPr>
              <w:t>共振概率</w:t>
            </w:r>
            <m:oMath>
              <m:r>
                <w:rPr>
                  <w:rFonts w:ascii="Cambria Math" w:hAnsi="Cambria Math"/>
                </w:rPr>
                <m:t>P</m:t>
              </m:r>
            </m:oMath>
          </w:p>
        </w:tc>
        <w:tc>
          <w:tcPr>
            <w:tcW w:w="2760" w:type="dxa"/>
            <w:tcBorders/>
            <w:tcMar>
              <w:top w:w="60" w:type="dxa"/>
              <w:left w:w="120" w:type="dxa"/>
              <w:bottom w:w="30" w:type="dxa"/>
              <w:right w:w="120" w:type="dxa"/>
            </w:tcMar>
          </w:tcPr>
          <w:p w14:paraId="65C87EA9">
            <w:pPr>
              <w:pStyle w:val="style0"/>
              <w:spacing w:before="120" w:after="120" w:lineRule="auto" w:line="288"/>
              <w:ind w:left="0"/>
              <w:jc w:val="left"/>
              <w:rPr/>
            </w:pPr>
            <m:oMath>
              <m:r>
                <w:rPr>
                  <w:rFonts w:ascii="Cambria Math" w:hAnsi="Cambria Math"/>
                </w:rPr>
                <m:t>P=0.6P_h+0.4P_f - \eta \cdot \mathcal{D}(\text{方言})</m:t>
              </m:r>
            </m:oMath>
            <w:r>
              <w:rPr>
                <w:rFonts w:ascii="Arial" w:cs="Arial" w:eastAsia="等线" w:hAnsi="Arial"/>
                <w:sz w:val="22"/>
              </w:rPr>
              <w:t>，范围</w:t>
            </w:r>
            <m:oMath>
              <m:d>
                <m:dPr>
                  <m:begChr m:val="["/>
                  <m:sepChr m:val=","/>
                  <m:endChr m:val="]"/>
                </m:dPr>
                <m:e>
                  <m:r>
                    <w:rPr>
                      <w:rFonts w:ascii="Cambria Math" w:hAnsi="Cambria Math"/>
                    </w:rPr>
                    <m:t>0</m:t>
                  </m:r>
                </m:e>
                <m:e>
                  <m:r>
                    <w:rPr>
                      <w:rFonts w:ascii="Cambria Math" w:hAnsi="Cambria Math"/>
                    </w:rPr>
                    <m:t>1</m:t>
                  </m:r>
                </m:e>
              </m:d>
            </m:oMath>
          </w:p>
        </w:tc>
      </w:tr>
      <w:tr w14:paraId="FF9345A0">
        <w:tblPrEx/>
        <w:trPr/>
        <w:tc>
          <w:tcPr>
            <w:tcW w:w="2760" w:type="dxa"/>
            <w:tcBorders/>
            <w:tcMar>
              <w:top w:w="60" w:type="dxa"/>
              <w:left w:w="120" w:type="dxa"/>
              <w:bottom w:w="30" w:type="dxa"/>
              <w:right w:w="120" w:type="dxa"/>
            </w:tcMar>
          </w:tcPr>
          <w:p w14:paraId="50D730D9">
            <w:pPr>
              <w:pStyle w:val="style0"/>
              <w:spacing w:before="120" w:after="120" w:lineRule="auto" w:line="288"/>
              <w:ind w:left="0"/>
              <w:jc w:val="left"/>
              <w:rPr/>
            </w:pPr>
            <w:r>
              <w:rPr>
                <w:rFonts w:ascii="Arial" w:cs="Arial" w:eastAsia="等线" w:hAnsi="Arial"/>
                <w:sz w:val="22"/>
              </w:rPr>
              <w:t>公众舆论共振指标</w:t>
            </w:r>
          </w:p>
        </w:tc>
        <w:tc>
          <w:tcPr>
            <w:tcW w:w="2760" w:type="dxa"/>
            <w:tcBorders/>
            <w:tcMar>
              <w:top w:w="60" w:type="dxa"/>
              <w:left w:w="120" w:type="dxa"/>
              <w:bottom w:w="30" w:type="dxa"/>
              <w:right w:w="120" w:type="dxa"/>
            </w:tcMar>
          </w:tcPr>
          <w:p w14:paraId="4B8062B3">
            <w:pPr>
              <w:pStyle w:val="style0"/>
              <w:spacing w:before="120" w:after="120" w:lineRule="auto" w:line="288"/>
              <w:ind w:left="0"/>
              <w:jc w:val="left"/>
              <w:rPr/>
            </w:pPr>
            <w:r>
              <w:rPr>
                <w:rFonts w:ascii="Arial" w:cs="Arial" w:eastAsia="等线" w:hAnsi="Arial"/>
                <w:sz w:val="22"/>
              </w:rPr>
              <w:t>观点共振度</w:t>
            </w:r>
          </w:p>
        </w:tc>
        <w:tc>
          <w:tcPr>
            <w:tcW w:w="2760" w:type="dxa"/>
            <w:tcBorders/>
            <w:tcMar>
              <w:top w:w="60" w:type="dxa"/>
              <w:left w:w="120" w:type="dxa"/>
              <w:bottom w:w="30" w:type="dxa"/>
              <w:right w:w="120" w:type="dxa"/>
            </w:tcMar>
          </w:tcPr>
          <w:p w14:paraId="68878FEE">
            <w:pPr>
              <w:pStyle w:val="style0"/>
              <w:spacing w:before="120" w:after="120" w:lineRule="auto" w:line="288"/>
              <w:ind w:left="0"/>
              <w:jc w:val="left"/>
              <w:rPr/>
            </w:pPr>
            <w:r>
              <w:rPr>
                <w:rFonts w:ascii="Arial" w:cs="Arial" w:eastAsia="等线" w:hAnsi="Arial"/>
                <w:sz w:val="22"/>
              </w:rPr>
              <w:t>支持实验的观点占比，范围</w:t>
            </w:r>
            <m:oMath>
              <m:d>
                <m:dPr>
                  <m:begChr m:val="["/>
                  <m:sepChr m:val=","/>
                  <m:endChr m:val="]"/>
                </m:dPr>
                <m:e>
                  <m:r>
                    <w:rPr>
                      <w:rFonts w:ascii="Cambria Math" w:hAnsi="Cambria Math"/>
                    </w:rPr>
                    <m:t>0</m:t>
                  </m:r>
                </m:e>
                <m:e>
                  <m:r>
                    <w:rPr>
                      <w:rFonts w:ascii="Cambria Math" w:hAnsi="Cambria Math"/>
                    </w:rPr>
                    <m:t>1</m:t>
                  </m:r>
                </m:e>
              </m:d>
            </m:oMath>
          </w:p>
        </w:tc>
      </w:tr>
      <w:tr w14:paraId="D3022461">
        <w:tblPrEx/>
        <w:trPr/>
        <w:tc>
          <w:tcPr>
            <w:tcW w:w="2760" w:type="dxa"/>
            <w:tcBorders/>
            <w:tcMar>
              <w:top w:w="60" w:type="dxa"/>
              <w:left w:w="120" w:type="dxa"/>
              <w:bottom w:w="30" w:type="dxa"/>
              <w:right w:w="120" w:type="dxa"/>
            </w:tcMar>
          </w:tcPr>
          <w:p w14:paraId="AF98D7E9">
            <w:pPr>
              <w:pStyle w:val="style0"/>
              <w:rPr/>
            </w:pPr>
          </w:p>
        </w:tc>
        <w:tc>
          <w:tcPr>
            <w:tcW w:w="2760" w:type="dxa"/>
            <w:tcBorders/>
            <w:tcMar>
              <w:top w:w="60" w:type="dxa"/>
              <w:left w:w="120" w:type="dxa"/>
              <w:bottom w:w="30" w:type="dxa"/>
              <w:right w:w="120" w:type="dxa"/>
            </w:tcMar>
          </w:tcPr>
          <w:p w14:paraId="9EC71C47">
            <w:pPr>
              <w:pStyle w:val="style0"/>
              <w:spacing w:before="120" w:after="120" w:lineRule="auto" w:line="288"/>
              <w:ind w:left="0"/>
              <w:jc w:val="left"/>
              <w:rPr/>
            </w:pPr>
            <w:r>
              <w:rPr>
                <w:rFonts w:ascii="Arial" w:cs="Arial" w:eastAsia="等线" w:hAnsi="Arial"/>
                <w:sz w:val="22"/>
              </w:rPr>
              <w:t>类比案例涌现数</w:t>
            </w:r>
          </w:p>
        </w:tc>
        <w:tc>
          <w:tcPr>
            <w:tcW w:w="2760" w:type="dxa"/>
            <w:tcBorders/>
            <w:tcMar>
              <w:top w:w="60" w:type="dxa"/>
              <w:left w:w="120" w:type="dxa"/>
              <w:bottom w:w="30" w:type="dxa"/>
              <w:right w:w="120" w:type="dxa"/>
            </w:tcMar>
          </w:tcPr>
          <w:p w14:paraId="C2189191">
            <w:pPr>
              <w:pStyle w:val="style0"/>
              <w:spacing w:before="120" w:after="120" w:lineRule="auto" w:line="288"/>
              <w:ind w:left="0"/>
              <w:jc w:val="left"/>
              <w:rPr/>
            </w:pPr>
            <w:r>
              <w:rPr>
                <w:rFonts w:ascii="Arial" w:cs="Arial" w:eastAsia="等线" w:hAnsi="Arial"/>
                <w:sz w:val="22"/>
              </w:rPr>
              <w:t>用户自发分享的同类算法误判案例数量</w:t>
            </w:r>
          </w:p>
        </w:tc>
      </w:tr>
      <w:tr w14:paraId="1A4CDAAA">
        <w:tblPrEx/>
        <w:trPr/>
        <w:tc>
          <w:tcPr>
            <w:tcW w:w="2760" w:type="dxa"/>
            <w:tcBorders/>
            <w:tcMar>
              <w:top w:w="60" w:type="dxa"/>
              <w:left w:w="120" w:type="dxa"/>
              <w:bottom w:w="30" w:type="dxa"/>
              <w:right w:w="120" w:type="dxa"/>
            </w:tcMar>
          </w:tcPr>
          <w:p w14:paraId="9898A6F9">
            <w:pPr>
              <w:pStyle w:val="style0"/>
              <w:rPr/>
            </w:pPr>
          </w:p>
        </w:tc>
        <w:tc>
          <w:tcPr>
            <w:tcW w:w="2760" w:type="dxa"/>
            <w:tcBorders/>
            <w:tcMar>
              <w:top w:w="60" w:type="dxa"/>
              <w:left w:w="120" w:type="dxa"/>
              <w:bottom w:w="30" w:type="dxa"/>
              <w:right w:w="120" w:type="dxa"/>
            </w:tcMar>
          </w:tcPr>
          <w:p w14:paraId="BA86E5EE">
            <w:pPr>
              <w:pStyle w:val="style0"/>
              <w:spacing w:before="120" w:after="120" w:lineRule="auto" w:line="288"/>
              <w:ind w:left="0"/>
              <w:jc w:val="left"/>
              <w:rPr/>
            </w:pPr>
            <w:r>
              <w:rPr>
                <w:rFonts w:ascii="Arial" w:cs="Arial" w:eastAsia="等线" w:hAnsi="Arial"/>
                <w:sz w:val="22"/>
              </w:rPr>
              <w:t>建设性提案数</w:t>
            </w:r>
          </w:p>
        </w:tc>
        <w:tc>
          <w:tcPr>
            <w:tcW w:w="2760" w:type="dxa"/>
            <w:tcBorders/>
            <w:tcMar>
              <w:top w:w="60" w:type="dxa"/>
              <w:left w:w="120" w:type="dxa"/>
              <w:bottom w:w="30" w:type="dxa"/>
              <w:right w:w="120" w:type="dxa"/>
            </w:tcMar>
          </w:tcPr>
          <w:p w14:paraId="C86E0767">
            <w:pPr>
              <w:pStyle w:val="style0"/>
              <w:spacing w:before="120" w:after="120" w:lineRule="auto" w:line="288"/>
              <w:ind w:left="0"/>
              <w:jc w:val="left"/>
              <w:rPr/>
            </w:pPr>
            <w:r>
              <w:rPr>
                <w:rFonts w:ascii="Arial" w:cs="Arial" w:eastAsia="等线" w:hAnsi="Arial"/>
                <w:sz w:val="22"/>
              </w:rPr>
              <w:t>针对算法审核优化的有效提案数量</w:t>
            </w:r>
          </w:p>
        </w:tc>
      </w:tr>
    </w:tbl>
    <w:p w14:paraId="8C14483A">
      <w:pPr>
        <w:pStyle w:val="style0"/>
        <w:pBdr>
          <w:bottom w:val="single" w:sz="4" w:space="0" w:color="dee0e3"/>
          <w:between w:val="single" w:sz="4" w:space="0" w:color="dee0e3"/>
        </w:pBdr>
        <w:spacing w:before="120" w:after="120" w:lineRule="auto" w:line="288"/>
        <w:ind w:left="0"/>
        <w:rPr/>
      </w:pPr>
    </w:p>
    <w:bookmarkStart w:id="15" w:name="heading_15"/>
    <w:p w14:paraId="B6D33B4C">
      <w:pPr>
        <w:pStyle w:val="style0"/>
        <w:spacing w:before="320" w:after="120" w:lineRule="auto" w:line="288"/>
        <w:ind w:left="0"/>
        <w:jc w:val="left"/>
        <w:outlineLvl w:val="1"/>
        <w:rPr/>
      </w:pPr>
      <w:r>
        <w:rPr>
          <w:rFonts w:ascii="Arial" w:cs="Arial" w:eastAsia="等线" w:hAnsi="Arial"/>
          <w:b/>
          <w:sz w:val="32"/>
        </w:rPr>
        <w:t>四、实验结果与量化分析</w:t>
      </w:r>
      <w:bookmarkEnd w:id="15"/>
    </w:p>
    <w:p w14:paraId="580777BB">
      <w:pPr>
        <w:pStyle w:val="style0"/>
        <w:spacing w:before="120" w:after="120" w:lineRule="auto" w:line="288"/>
        <w:ind w:left="0"/>
        <w:jc w:val="left"/>
        <w:rPr/>
      </w:pPr>
      <w:r>
        <w:rPr>
          <w:rFonts w:ascii="Arial" w:cs="Arial" w:eastAsia="等线" w:hAnsi="Arial"/>
          <w:sz w:val="22"/>
        </w:rPr>
        <w:t>本实验通过多平台波动干预，累计实现1.5万+核心内容播放量，收集有效评论与反馈300+条，算法平台虽未直接恢复推广权限，但启动了</w:t>
      </w:r>
      <w:r>
        <w:rPr>
          <w:rFonts w:ascii="Arial" w:cs="Arial" w:eastAsia="等线" w:hAnsi="Arial"/>
          <w:b/>
          <w:sz w:val="22"/>
        </w:rPr>
        <w:t>算法审核规则复核流程</w:t>
      </w:r>
      <w:r>
        <w:rPr>
          <w:rFonts w:ascii="Arial" w:cs="Arial" w:eastAsia="等线" w:hAnsi="Arial"/>
          <w:sz w:val="22"/>
        </w:rPr>
        <w:t>。基于实验观测指标体系，对数据进行量化分析，从</w:t>
      </w:r>
      <w:r>
        <w:rPr>
          <w:rFonts w:ascii="Arial" w:cs="Arial" w:eastAsia="等线" w:hAnsi="Arial"/>
          <w:b/>
          <w:sz w:val="22"/>
        </w:rPr>
        <w:t>拓扑结构、波动演化、三界约束、认知共振</w:t>
      </w:r>
      <w:r>
        <w:rPr>
          <w:rFonts w:ascii="Arial" w:cs="Arial" w:eastAsia="等线" w:hAnsi="Arial"/>
          <w:sz w:val="22"/>
        </w:rPr>
        <w:t>四个维度解析实验结果，验证拓扑波动理论在本研究场景的适用性，定位算法社会“认知褶皱”的核心形成原因。</w:t>
      </w:r>
    </w:p>
    <w:bookmarkStart w:id="16" w:name="heading_16"/>
    <w:p w14:paraId="9D67F0D4">
      <w:pPr>
        <w:pStyle w:val="style0"/>
        <w:spacing w:before="300" w:after="120" w:lineRule="auto" w:line="288"/>
        <w:ind w:left="0"/>
        <w:jc w:val="left"/>
        <w:outlineLvl w:val="2"/>
        <w:rPr/>
      </w:pPr>
      <w:r>
        <w:rPr>
          <w:rFonts w:ascii="Arial" w:cs="Arial" w:eastAsia="等线" w:hAnsi="Arial"/>
          <w:b/>
          <w:sz w:val="30"/>
        </w:rPr>
        <w:t>（一）算法审核系统的拓扑结构特征：刚性断裂与高约束性</w:t>
      </w:r>
      <w:bookmarkEnd w:id="16"/>
    </w:p>
    <w:p w14:paraId="424E94CF">
      <w:pPr>
        <w:pStyle w:val="style0"/>
        <w:spacing w:before="120" w:after="120" w:lineRule="auto" w:line="288"/>
        <w:ind w:left="0"/>
        <w:jc w:val="left"/>
        <w:rPr/>
      </w:pPr>
      <w:r>
        <w:rPr>
          <w:rFonts w:ascii="Arial" w:cs="Arial" w:eastAsia="等线" w:hAnsi="Arial"/>
          <w:sz w:val="22"/>
        </w:rPr>
        <w:t>实验结果显示，快手平台算法审核系统的拓扑结构存在</w:t>
      </w:r>
      <w:r>
        <w:rPr>
          <w:rFonts w:ascii="Arial" w:cs="Arial" w:eastAsia="等线" w:hAnsi="Arial"/>
          <w:b/>
          <w:sz w:val="22"/>
        </w:rPr>
        <w:t>三大核心缺陷</w:t>
      </w:r>
      <w:r>
        <w:rPr>
          <w:rFonts w:ascii="Arial" w:cs="Arial" w:eastAsia="等线" w:hAnsi="Arial"/>
          <w:sz w:val="22"/>
        </w:rPr>
        <w:t>，是导致“认知褶皱”的根本原因，与实验前拓扑映射结果高度一致：</w:t>
      </w:r>
    </w:p>
    <w:p w14:paraId="478B1022">
      <w:pPr>
        <w:pStyle w:val="style0"/>
        <w:numPr>
          <w:ilvl w:val="0"/>
          <w:numId w:val="37"/>
        </w:numPr>
        <w:spacing w:before="120" w:after="120" w:lineRule="auto" w:line="288"/>
        <w:ind w:left="0"/>
        <w:jc w:val="left"/>
        <w:rPr/>
      </w:pPr>
      <w:r>
        <w:rPr>
          <w:rFonts w:ascii="Arial" w:cs="Arial" w:eastAsia="等线" w:hAnsi="Arial"/>
          <w:b/>
          <w:sz w:val="22"/>
        </w:rPr>
        <w:t>拓扑闭环完整性不足</w:t>
      </w:r>
      <w:r>
        <w:rPr>
          <w:rFonts w:ascii="Arial" w:cs="Arial" w:eastAsia="等线" w:hAnsi="Arial"/>
          <w:sz w:val="22"/>
        </w:rPr>
        <w:t>：实验全程拓扑闭环完整性</w:t>
      </w:r>
      <m:oMath>
        <m:r>
          <w:rPr>
            <w:rFonts w:ascii="Cambria Math" w:hAnsi="Cambria Math"/>
          </w:rPr>
          <m:t>C=0.42&lt;0.5</m:t>
        </m:r>
      </m:oMath>
      <w:r>
        <w:rPr>
          <w:rFonts w:ascii="Arial" w:cs="Arial" w:eastAsia="等线" w:hAnsi="Arial"/>
          <w:sz w:val="22"/>
        </w:rPr>
        <w:t>，未满足生存界约束，算法模型（</w:t>
      </w:r>
      <m:oMath>
        <m:sSub>
          <m:sSubPr/>
          <m:e>
            <m:r>
              <w:rPr>
                <w:rFonts w:ascii="Cambria Math" w:hAnsi="Cambria Math"/>
              </w:rPr>
              <m:t>α</m:t>
            </m:r>
          </m:e>
          <m:sub>
            <m:r>
              <w:rPr>
                <w:rFonts w:ascii="Cambria Math" w:hAnsi="Cambria Math"/>
              </w:rPr>
              <m:t>1</m:t>
            </m:r>
          </m:sub>
        </m:sSub>
      </m:oMath>
      <w:r>
        <w:rPr>
          <w:rFonts w:ascii="Arial" w:cs="Arial" w:eastAsia="等线" w:hAnsi="Arial"/>
          <w:sz w:val="22"/>
        </w:rPr>
        <w:t>）、审核规则库（</w:t>
      </w:r>
      <m:oMath>
        <m:sSub>
          <m:sSubPr/>
          <m:e>
            <m:r>
              <w:rPr>
                <w:rFonts w:ascii="Cambria Math" w:hAnsi="Cambria Math"/>
              </w:rPr>
              <m:t>α</m:t>
            </m:r>
          </m:e>
          <m:sub>
            <m:r>
              <w:rPr>
                <w:rFonts w:ascii="Cambria Math" w:hAnsi="Cambria Math"/>
              </w:rPr>
              <m:t>2</m:t>
            </m:r>
          </m:sub>
        </m:sSub>
      </m:oMath>
      <w:r>
        <w:rPr>
          <w:rFonts w:ascii="Arial" w:cs="Arial" w:eastAsia="等线" w:hAnsi="Arial"/>
          <w:sz w:val="22"/>
        </w:rPr>
        <w:t>）、人工客服体系（</w:t>
      </w:r>
      <m:oMath>
        <m:sSub>
          <m:sSubPr/>
          <m:e>
            <m:r>
              <w:rPr>
                <w:rFonts w:ascii="Cambria Math" w:hAnsi="Cambria Math"/>
              </w:rPr>
              <m:t>α</m:t>
            </m:r>
          </m:e>
          <m:sub>
            <m:r>
              <w:rPr>
                <w:rFonts w:ascii="Cambria Math" w:hAnsi="Cambria Math"/>
              </w:rPr>
              <m:t>3</m:t>
            </m:r>
          </m:sub>
        </m:sSub>
      </m:oMath>
      <w:r>
        <w:rPr>
          <w:rFonts w:ascii="Arial" w:cs="Arial" w:eastAsia="等线" w:hAnsi="Arial"/>
          <w:sz w:val="22"/>
        </w:rPr>
        <w:t>）为三个独立连通组件，人工客服虽确认内容无违规，但无权限修正算法审核结果，算法与人工审核间的</w:t>
      </w:r>
      <w:r>
        <w:rPr>
          <w:rFonts w:ascii="Arial" w:cs="Arial" w:eastAsia="等线" w:hAnsi="Arial"/>
          <w:b/>
          <w:sz w:val="22"/>
        </w:rPr>
        <w:t>断裂链路</w:t>
      </w:r>
      <w:r>
        <w:rPr>
          <w:rFonts w:ascii="Arial" w:cs="Arial" w:eastAsia="等线" w:hAnsi="Arial"/>
          <w:sz w:val="22"/>
        </w:rPr>
        <w:t>（</w:t>
      </w:r>
      <m:oMath>
        <m:sSub>
          <m:sSubPr/>
          <m:e>
            <m:r>
              <w:rPr>
                <w:rFonts w:ascii="Cambria Math" w:hAnsi="Cambria Math"/>
              </w:rPr>
              <m:t>β</m:t>
            </m:r>
          </m:e>
          <m:sub>
            <m:r>
              <w:rPr>
                <w:rFonts w:ascii="Cambria Math" w:hAnsi="Cambria Math"/>
              </w:rPr>
              <m:t>1</m:t>
            </m:r>
          </m:sub>
        </m:sSub>
        <m:r>
          <w:rPr>
            <w:rFonts w:ascii="Cambria Math" w:hAnsi="Cambria Math"/>
          </w:rPr>
          <m:t>=2.1</m:t>
        </m:r>
      </m:oMath>
      <w:r>
        <w:rPr>
          <w:rFonts w:ascii="Arial" w:cs="Arial" w:eastAsia="等线" w:hAnsi="Arial"/>
          <w:sz w:val="22"/>
        </w:rPr>
        <w:t>）无法修复，导致合规内容陷入“审核违规-人工无责”的拓扑死循环；</w:t>
      </w:r>
    </w:p>
    <w:p w14:paraId="0FB37C44">
      <w:pPr>
        <w:pStyle w:val="style0"/>
        <w:numPr>
          <w:ilvl w:val="0"/>
          <w:numId w:val="38"/>
        </w:numPr>
        <w:spacing w:before="120" w:after="120" w:lineRule="auto" w:line="288"/>
        <w:ind w:left="0"/>
        <w:jc w:val="left"/>
        <w:rPr/>
      </w:pPr>
      <w:r>
        <w:rPr>
          <w:rFonts w:ascii="Arial" w:cs="Arial" w:eastAsia="等线" w:hAnsi="Arial"/>
          <w:b/>
          <w:sz w:val="22"/>
        </w:rPr>
        <w:t>拓扑约束系数偏高</w:t>
      </w:r>
      <w:r>
        <w:rPr>
          <w:rFonts w:ascii="Arial" w:cs="Arial" w:eastAsia="等线" w:hAnsi="Arial"/>
          <w:sz w:val="22"/>
        </w:rPr>
        <w:t>：算法审核的拓扑约束系数</w:t>
      </w:r>
      <m:oMath>
        <m:r>
          <w:rPr>
            <w:rFonts w:ascii="Cambria Math" w:hAnsi="Cambria Math"/>
          </w:rPr>
          <m:t>Λ</m:t>
        </m:r>
        <m:d>
          <m:dPr>
            <m:sepChr m:val=","/>
          </m:dPr>
          <m:e>
            <m:r>
              <w:rPr>
                <w:rFonts w:ascii="Cambria Math" w:hAnsi="Cambria Math"/>
              </w:rPr>
              <m:t>t</m:t>
            </m:r>
          </m:e>
        </m:d>
        <m:r>
          <w:rPr>
            <w:rFonts w:ascii="Cambria Math" w:hAnsi="Cambria Math"/>
          </w:rPr>
          <m:t>=0.89</m:t>
        </m:r>
      </m:oMath>
      <w:r>
        <w:rPr>
          <w:rFonts w:ascii="Arial" w:cs="Arial" w:eastAsia="等线" w:hAnsi="Arial"/>
          <w:sz w:val="22"/>
        </w:rPr>
        <w:t>，处于高约束区间，审核规则库对“非标准化内容”设置了高接受阈值，专业学术符号因未纳入算法标准化识别体系，被直接贴附“小众方言”风险标签，缺乏对专业内容的包容性；</w:t>
      </w:r>
    </w:p>
    <w:p w14:paraId="D916ABA1">
      <w:pPr>
        <w:pStyle w:val="style0"/>
        <w:numPr>
          <w:ilvl w:val="0"/>
          <w:numId w:val="39"/>
        </w:numPr>
        <w:spacing w:before="120" w:after="120" w:lineRule="auto" w:line="288"/>
        <w:ind w:left="0"/>
        <w:jc w:val="left"/>
        <w:rPr/>
      </w:pPr>
      <w:r>
        <w:rPr>
          <w:rFonts w:ascii="Arial" w:cs="Arial" w:eastAsia="等线" w:hAnsi="Arial"/>
          <w:b/>
          <w:sz w:val="22"/>
        </w:rPr>
        <w:t>认知曲率偏高与方言扰动放大</w:t>
      </w:r>
      <w:r>
        <w:rPr>
          <w:rFonts w:ascii="Arial" w:cs="Arial" w:eastAsia="等线" w:hAnsi="Arial"/>
          <w:sz w:val="22"/>
        </w:rPr>
        <w:t>：算法对学术内容的认知曲率</w:t>
      </w:r>
      <m:oMath>
        <m:sSub>
          <m:sSubPr/>
          <m:e>
            <m:r>
              <w:rPr>
                <w:rFonts w:ascii="Cambria Math" w:hAnsi="Cambria Math"/>
              </w:rPr>
              <m:t>R</m:t>
            </m:r>
          </m:e>
          <m:sub>
            <m:r>
              <w:rPr>
                <w:rFonts w:ascii="Cambria Math" w:hAnsi="Cambria Math"/>
              </w:rPr>
              <m:t>μν</m:t>
            </m:r>
          </m:sub>
        </m:sSub>
        <m:r>
          <w:rPr>
            <w:rFonts w:ascii="Cambria Math" w:hAnsi="Cambria Math"/>
          </w:rPr>
          <m:t>=0.87</m:t>
        </m:r>
      </m:oMath>
      <w:r>
        <w:rPr>
          <w:rFonts w:ascii="Arial" w:cs="Arial" w:eastAsia="等线" w:hAnsi="Arial"/>
          <w:sz w:val="22"/>
        </w:rPr>
        <w:t xml:space="preserve">，高认知曲率导致算法对专业学术公式、符号的识别产生严重偏差；同时，大量拓扑学、物理学符号（如 </w:t>
      </w:r>
      <m:oMath>
        <m:r>
          <w:rPr>
            <w:rFonts w:ascii="Cambria Math" w:hAnsi="Cambria Math"/>
          </w:rPr>
          <m:t>∂,χ,λ,</m:t>
        </m:r>
        <m:sSub>
          <m:sSubPr/>
          <m:e>
            <m:r>
              <w:rPr>
                <w:rFonts w:ascii="Cambria Math" w:hAnsi="Cambria Math"/>
              </w:rPr>
              <m:t>R</m:t>
            </m:r>
          </m:e>
          <m:sub>
            <m:r>
              <w:rPr>
                <w:rFonts w:ascii="Cambria Math" w:hAnsi="Cambria Math"/>
              </w:rPr>
              <m:t>μν</m:t>
            </m:r>
          </m:sub>
        </m:sSub>
      </m:oMath>
      <w:r>
        <w:rPr>
          <w:rFonts w:ascii="Arial" w:cs="Arial" w:eastAsia="等线" w:hAnsi="Arial"/>
          <w:sz w:val="22"/>
        </w:rPr>
        <w:t xml:space="preserve">）触发了方言扰动算子，使得 </w:t>
      </w:r>
      <m:oMath>
        <m:r>
          <w:rPr>
            <w:rFonts w:ascii="Cambria Math" w:hAnsi="Cambria Math"/>
          </w:rPr>
          <m:t>\mathcal{D}(\text{方言})=0.92</m:t>
        </m:r>
      </m:oMath>
      <w:r>
        <w:rPr>
          <w:rFonts w:ascii="Arial" w:cs="Arial" w:eastAsia="等线" w:hAnsi="Arial"/>
          <w:sz w:val="22"/>
        </w:rPr>
        <w:t>，远高于安全阈值，直接导致推广失败。这表征算法审核系统的</w:t>
      </w:r>
      <w:r>
        <w:rPr>
          <w:rFonts w:ascii="Arial" w:cs="Arial" w:eastAsia="等线" w:hAnsi="Arial"/>
          <w:b/>
          <w:sz w:val="22"/>
        </w:rPr>
        <w:t>认知拓扑与学术内容的认知拓扑存在显著同胚性缺失</w:t>
      </w:r>
      <w:r>
        <w:rPr>
          <w:rFonts w:ascii="Arial" w:cs="Arial" w:eastAsia="等线" w:hAnsi="Arial"/>
          <w:sz w:val="22"/>
        </w:rPr>
        <w:t>。</w:t>
      </w:r>
    </w:p>
    <w:bookmarkStart w:id="17" w:name="heading_17"/>
    <w:p w14:paraId="3E312821">
      <w:pPr>
        <w:pStyle w:val="style0"/>
        <w:spacing w:before="300" w:after="120" w:lineRule="auto" w:line="288"/>
        <w:ind w:left="0"/>
        <w:jc w:val="left"/>
        <w:outlineLvl w:val="2"/>
        <w:rPr/>
      </w:pPr>
      <w:r>
        <w:rPr>
          <w:rFonts w:ascii="Arial" w:cs="Arial" w:eastAsia="等线" w:hAnsi="Arial"/>
          <w:b/>
          <w:sz w:val="30"/>
        </w:rPr>
        <w:t>（二）学术内容的波动演化规律：多平台差异化共振</w:t>
      </w:r>
      <w:bookmarkEnd w:id="17"/>
    </w:p>
    <w:p w14:paraId="0EDD0D6D">
      <w:pPr>
        <w:pStyle w:val="style0"/>
        <w:spacing w:before="120" w:after="120" w:lineRule="auto" w:line="288"/>
        <w:ind w:left="0"/>
        <w:jc w:val="left"/>
        <w:rPr/>
      </w:pPr>
      <w:r>
        <w:rPr>
          <w:rFonts w:ascii="Arial" w:cs="Arial" w:eastAsia="等线" w:hAnsi="Arial"/>
          <w:sz w:val="22"/>
        </w:rPr>
        <w:t>学术内容作为波动源，在不同平台的认知拓扑中呈现</w:t>
      </w:r>
      <w:r>
        <w:rPr>
          <w:rFonts w:ascii="Arial" w:cs="Arial" w:eastAsia="等线" w:hAnsi="Arial"/>
          <w:b/>
          <w:sz w:val="22"/>
        </w:rPr>
        <w:t>差异化的波动演化与共振特征</w:t>
      </w:r>
      <w:r>
        <w:rPr>
          <w:rFonts w:ascii="Arial" w:cs="Arial" w:eastAsia="等线" w:hAnsi="Arial"/>
          <w:sz w:val="22"/>
        </w:rPr>
        <w:t>，验证了同源共振公理的有效性——拓扑同胚匹配度</w:t>
      </w:r>
      <m:oMath>
        <m:sSub>
          <m:sSubPr/>
          <m:e>
            <m:r>
              <w:rPr>
                <w:rFonts w:ascii="Cambria Math" w:hAnsi="Cambria Math"/>
              </w:rPr>
              <m:t>P</m:t>
            </m:r>
          </m:e>
          <m:sub>
            <m:r>
              <w:rPr>
                <w:rFonts w:ascii="Cambria Math" w:hAnsi="Cambria Math"/>
              </w:rPr>
              <m:t>h</m:t>
            </m:r>
          </m:sub>
        </m:sSub>
      </m:oMath>
      <w:r>
        <w:rPr>
          <w:rFonts w:ascii="Arial" w:cs="Arial" w:eastAsia="等线" w:hAnsi="Arial"/>
          <w:sz w:val="22"/>
        </w:rPr>
        <w:t>与波动频率匹配度</w:t>
      </w:r>
      <m:oMath>
        <m:sSub>
          <m:sSubPr/>
          <m:e>
            <m:r>
              <w:rPr>
                <w:rFonts w:ascii="Cambria Math" w:hAnsi="Cambria Math"/>
              </w:rPr>
              <m:t>P</m:t>
            </m:r>
          </m:e>
          <m:sub>
            <m:r>
              <w:rPr>
                <w:rFonts w:ascii="Cambria Math" w:hAnsi="Cambria Math"/>
              </w:rPr>
              <m:t>f</m:t>
            </m:r>
          </m:sub>
        </m:sSub>
      </m:oMath>
      <w:r>
        <w:rPr>
          <w:rFonts w:ascii="Arial" w:cs="Arial" w:eastAsia="等线" w:hAnsi="Arial"/>
          <w:sz w:val="22"/>
        </w:rPr>
        <w:t>越高，且方言扰动影响越小，共振概率</w:t>
      </w:r>
      <m:oMath>
        <m:r>
          <w:rPr>
            <w:rFonts w:ascii="Cambria Math" w:hAnsi="Cambria Math"/>
          </w:rPr>
          <m:t>P</m:t>
        </m:r>
      </m:oMath>
      <w:r>
        <w:rPr>
          <w:rFonts w:ascii="Arial" w:cs="Arial" w:eastAsia="等线" w:hAnsi="Arial"/>
          <w:sz w:val="22"/>
        </w:rPr>
        <w:t>越大，传播效果越好：</w:t>
      </w:r>
    </w:p>
    <w:p w14:paraId="9AF34AEA">
      <w:pPr>
        <w:pStyle w:val="style0"/>
        <w:numPr>
          <w:ilvl w:val="0"/>
          <w:numId w:val="40"/>
        </w:numPr>
        <w:spacing w:before="120" w:after="120" w:lineRule="auto" w:line="288"/>
        <w:ind w:left="0"/>
        <w:jc w:val="left"/>
        <w:rPr/>
      </w:pPr>
      <w:r>
        <w:rPr>
          <w:rFonts w:ascii="Arial" w:cs="Arial" w:eastAsia="等线" w:hAnsi="Arial"/>
          <w:b/>
          <w:sz w:val="22"/>
        </w:rPr>
        <w:t>初始推广失败（快手平台）</w:t>
      </w:r>
      <w:r>
        <w:rPr>
          <w:rFonts w:ascii="Arial" w:cs="Arial" w:eastAsia="等线" w:hAnsi="Arial"/>
          <w:sz w:val="22"/>
        </w:rPr>
        <w:t>：</w:t>
      </w:r>
    </w:p>
    <w:p w14:paraId="CB64CC37">
      <w:pPr>
        <w:pStyle w:val="style0"/>
        <w:numPr>
          <w:ilvl w:val="0"/>
          <w:numId w:val="41"/>
        </w:numPr>
        <w:spacing w:before="120" w:after="120" w:lineRule="auto" w:line="288"/>
        <w:ind w:left="453"/>
        <w:jc w:val="left"/>
        <w:rPr/>
      </w:pPr>
      <w:r>
        <w:rPr>
          <w:rFonts w:ascii="Arial" w:cs="Arial" w:eastAsia="等线" w:hAnsi="Arial"/>
          <w:sz w:val="22"/>
        </w:rPr>
        <w:t xml:space="preserve">拓扑同胚匹配度 </w:t>
      </w:r>
      <m:oMath>
        <m:sSub>
          <m:sSubPr/>
          <m:e>
            <m:r>
              <w:rPr>
                <w:rFonts w:ascii="Cambria Math" w:hAnsi="Cambria Math"/>
              </w:rPr>
              <m:t>P</m:t>
            </m:r>
          </m:e>
          <m:sub>
            <m:r>
              <w:rPr>
                <w:rFonts w:ascii="Cambria Math" w:hAnsi="Cambria Math"/>
              </w:rPr>
              <m:t>h</m:t>
            </m:r>
          </m:sub>
        </m:sSub>
        <m:r>
          <w:rPr>
            <w:rFonts w:ascii="Cambria Math" w:hAnsi="Cambria Math"/>
          </w:rPr>
          <m:t>=0.65</m:t>
        </m:r>
      </m:oMath>
    </w:p>
    <w:p w14:paraId="6DCDAB99">
      <w:pPr>
        <w:pStyle w:val="style0"/>
        <w:numPr>
          <w:ilvl w:val="0"/>
          <w:numId w:val="42"/>
        </w:numPr>
        <w:spacing w:before="120" w:after="120" w:lineRule="auto" w:line="288"/>
        <w:ind w:left="453"/>
        <w:jc w:val="left"/>
        <w:rPr/>
      </w:pPr>
      <w:r>
        <w:rPr>
          <w:rFonts w:ascii="Arial" w:cs="Arial" w:eastAsia="等线" w:hAnsi="Arial"/>
          <w:sz w:val="22"/>
        </w:rPr>
        <w:t xml:space="preserve">波动频率匹配度 </w:t>
      </w:r>
      <m:oMath>
        <m:sSub>
          <m:sSubPr/>
          <m:e>
            <m:r>
              <w:rPr>
                <w:rFonts w:ascii="Cambria Math" w:hAnsi="Cambria Math"/>
              </w:rPr>
              <m:t>P</m:t>
            </m:r>
          </m:e>
          <m:sub>
            <m:r>
              <w:rPr>
                <w:rFonts w:ascii="Cambria Math" w:hAnsi="Cambria Math"/>
              </w:rPr>
              <m:t>f</m:t>
            </m:r>
          </m:sub>
        </m:sSub>
        <m:r>
          <w:rPr>
            <w:rFonts w:ascii="Cambria Math" w:hAnsi="Cambria Math"/>
          </w:rPr>
          <m:t>=0.70</m:t>
        </m:r>
      </m:oMath>
    </w:p>
    <w:p w14:paraId="A4E95AB5">
      <w:pPr>
        <w:pStyle w:val="style0"/>
        <w:numPr>
          <w:ilvl w:val="0"/>
          <w:numId w:val="43"/>
        </w:numPr>
        <w:spacing w:before="120" w:after="120" w:lineRule="auto" w:line="288"/>
        <w:ind w:left="453"/>
        <w:jc w:val="left"/>
        <w:rPr/>
      </w:pPr>
      <w:r>
        <w:rPr>
          <w:rFonts w:ascii="Arial" w:cs="Arial" w:eastAsia="等线" w:hAnsi="Arial"/>
          <w:sz w:val="22"/>
        </w:rPr>
        <w:t xml:space="preserve">方言扰动算子 </w:t>
      </w:r>
      <m:oMath>
        <m:r>
          <w:rPr>
            <w:rFonts w:ascii="Cambria Math" w:hAnsi="Cambria Math"/>
          </w:rPr>
          <m:t>\mathcal{D}(\text{方言}) = 0.92</m:t>
        </m:r>
      </m:oMath>
    </w:p>
    <w:p w14:paraId="EA13A548">
      <w:pPr>
        <w:pStyle w:val="style0"/>
        <w:numPr>
          <w:ilvl w:val="0"/>
          <w:numId w:val="44"/>
        </w:numPr>
        <w:spacing w:before="120" w:after="120" w:lineRule="auto" w:line="288"/>
        <w:ind w:left="453"/>
        <w:jc w:val="left"/>
        <w:rPr/>
      </w:pPr>
      <w:r>
        <w:rPr>
          <w:rFonts w:ascii="Arial" w:cs="Arial" w:eastAsia="等线" w:hAnsi="Arial"/>
          <w:sz w:val="22"/>
        </w:rPr>
        <w:t xml:space="preserve">共振概率 </w:t>
      </w:r>
      <m:oMath>
        <m:r>
          <w:rPr>
            <w:rFonts w:ascii="Cambria Math" w:hAnsi="Cambria Math"/>
          </w:rPr>
          <m:t>P_{\text{initial}} = 0.6 \times 0.65 + 0.4 \times 0.70 - 0.5 \times 0.92 = 0.21</m:t>
        </m:r>
      </m:oMath>
    </w:p>
    <w:p w14:paraId="4BAF3955">
      <w:pPr>
        <w:pStyle w:val="style0"/>
        <w:spacing w:before="120" w:after="120" w:lineRule="auto" w:line="288"/>
        <w:ind w:left="453"/>
        <w:jc w:val="left"/>
        <w:rPr/>
      </w:pPr>
      <w:r>
        <w:rPr>
          <w:rFonts w:ascii="Arial" w:cs="Arial" w:eastAsia="等线" w:hAnsi="Arial"/>
          <w:sz w:val="22"/>
        </w:rPr>
        <w:t xml:space="preserve">该值远低于推广阈值（通常 </w:t>
      </w:r>
      <m:oMath>
        <m:r>
          <w:rPr>
            <w:rFonts w:ascii="Cambria Math" w:hAnsi="Cambria Math"/>
          </w:rPr>
          <m:t>≥0.5</m:t>
        </m:r>
      </m:oMath>
      <w:r>
        <w:rPr>
          <w:rFonts w:ascii="Arial" w:cs="Arial" w:eastAsia="等线" w:hAnsi="Arial"/>
          <w:sz w:val="22"/>
        </w:rPr>
        <w:t>），导致付费推广失败。</w:t>
      </w:r>
    </w:p>
    <w:p w14:paraId="35E74E36">
      <w:pPr>
        <w:pStyle w:val="style0"/>
        <w:numPr>
          <w:ilvl w:val="0"/>
          <w:numId w:val="45"/>
        </w:numPr>
        <w:spacing w:before="120" w:after="120" w:lineRule="auto" w:line="288"/>
        <w:ind w:left="0"/>
        <w:jc w:val="left"/>
        <w:rPr/>
      </w:pPr>
      <w:r>
        <w:rPr>
          <w:rFonts w:ascii="Arial" w:cs="Arial" w:eastAsia="等线" w:hAnsi="Arial"/>
          <w:b/>
          <w:sz w:val="22"/>
        </w:rPr>
        <w:t>知乎平台</w:t>
      </w:r>
      <w:r>
        <w:rPr>
          <w:rFonts w:ascii="Arial" w:cs="Arial" w:eastAsia="等线" w:hAnsi="Arial"/>
          <w:sz w:val="22"/>
        </w:rPr>
        <w:t>：拓扑同胚匹配度</w:t>
      </w:r>
      <m:oMath>
        <m:sSub>
          <m:sSubPr/>
          <m:e>
            <m:r>
              <w:rPr>
                <w:rFonts w:ascii="Cambria Math" w:hAnsi="Cambria Math"/>
              </w:rPr>
              <m:t>P</m:t>
            </m:r>
          </m:e>
          <m:sub>
            <m:r>
              <w:rPr>
                <w:rFonts w:ascii="Cambria Math" w:hAnsi="Cambria Math"/>
              </w:rPr>
              <m:t>h</m:t>
            </m:r>
          </m:sub>
        </m:sSub>
        <m:r>
          <w:rPr>
            <w:rFonts w:ascii="Cambria Math" w:hAnsi="Cambria Math"/>
          </w:rPr>
          <m:t>=0.85</m:t>
        </m:r>
      </m:oMath>
      <w:r>
        <w:rPr>
          <w:rFonts w:ascii="Arial" w:cs="Arial" w:eastAsia="等线" w:hAnsi="Arial"/>
          <w:sz w:val="22"/>
        </w:rPr>
        <w:t>，波动频率匹配度</w:t>
      </w:r>
      <m:oMath>
        <m:sSub>
          <m:sSubPr/>
          <m:e>
            <m:r>
              <w:rPr>
                <w:rFonts w:ascii="Cambria Math" w:hAnsi="Cambria Math"/>
              </w:rPr>
              <m:t>P</m:t>
            </m:r>
          </m:e>
          <m:sub>
            <m:r>
              <w:rPr>
                <w:rFonts w:ascii="Cambria Math" w:hAnsi="Cambria Math"/>
              </w:rPr>
              <m:t>f</m:t>
            </m:r>
          </m:sub>
        </m:sSub>
        <m:r>
          <w:rPr>
            <w:rFonts w:ascii="Cambria Math" w:hAnsi="Cambria Math"/>
          </w:rPr>
          <m:t>=0.78</m:t>
        </m:r>
      </m:oMath>
      <w:r>
        <w:rPr>
          <w:rFonts w:ascii="Arial" w:cs="Arial" w:eastAsia="等线" w:hAnsi="Arial"/>
          <w:sz w:val="22"/>
        </w:rPr>
        <w:t xml:space="preserve">，通过严谨论述有效降低了方言扰动的影响，等效 </w:t>
      </w:r>
      <m:oMath>
        <m:r>
          <w:rPr>
            <w:rFonts w:ascii="Cambria Math" w:hAnsi="Cambria Math"/>
          </w:rPr>
          <m:t>\mathcal{D}'(\text{方言}) = 0.1</m:t>
        </m:r>
      </m:oMath>
      <w:r>
        <w:rPr>
          <w:rFonts w:ascii="Arial" w:cs="Arial" w:eastAsia="等线" w:hAnsi="Arial"/>
          <w:sz w:val="22"/>
        </w:rPr>
        <w:t>，共振概率</w:t>
      </w:r>
      <m:oMath>
        <m:r>
          <w:rPr>
            <w:rFonts w:ascii="Cambria Math" w:hAnsi="Cambria Math"/>
          </w:rPr>
          <m:t>P=0.6×0.85+0.4×0.78-0.5×0.1=0.772≥0.7</m:t>
        </m:r>
      </m:oMath>
      <w:r>
        <w:rPr>
          <w:rFonts w:ascii="Arial" w:cs="Arial" w:eastAsia="等线" w:hAnsi="Arial"/>
          <w:sz w:val="22"/>
        </w:rPr>
        <w:t>，实现</w:t>
      </w:r>
      <w:r>
        <w:rPr>
          <w:rFonts w:ascii="Arial" w:cs="Arial" w:eastAsia="等线" w:hAnsi="Arial"/>
          <w:b/>
          <w:sz w:val="22"/>
        </w:rPr>
        <w:t>共振增益</w:t>
      </w:r>
      <w:r>
        <w:rPr>
          <w:rFonts w:ascii="Arial" w:cs="Arial" w:eastAsia="等线" w:hAnsi="Arial"/>
          <w:sz w:val="22"/>
        </w:rPr>
        <w:t>，内容阅读量6000+，评论区80%为理性分析，聚焦算法透明度、学术内容专属审核通道构建，成为实验的核心理性共振节点；</w:t>
      </w:r>
    </w:p>
    <w:p w14:paraId="E05C2BA8">
      <w:pPr>
        <w:pStyle w:val="style0"/>
        <w:numPr>
          <w:ilvl w:val="0"/>
          <w:numId w:val="46"/>
        </w:numPr>
        <w:spacing w:before="120" w:after="120" w:lineRule="auto" w:line="288"/>
        <w:ind w:left="0"/>
        <w:jc w:val="left"/>
        <w:rPr/>
      </w:pPr>
      <w:r>
        <w:rPr>
          <w:rFonts w:ascii="Arial" w:cs="Arial" w:eastAsia="等线" w:hAnsi="Arial"/>
          <w:b/>
          <w:sz w:val="22"/>
        </w:rPr>
        <w:t>B站平台</w:t>
      </w:r>
      <w:r>
        <w:rPr>
          <w:rFonts w:ascii="Arial" w:cs="Arial" w:eastAsia="等线" w:hAnsi="Arial"/>
          <w:sz w:val="22"/>
        </w:rPr>
        <w:t>：拓扑同胚匹配度</w:t>
      </w:r>
      <m:oMath>
        <m:sSub>
          <m:sSubPr/>
          <m:e>
            <m:r>
              <w:rPr>
                <w:rFonts w:ascii="Cambria Math" w:hAnsi="Cambria Math"/>
              </w:rPr>
              <m:t>P</m:t>
            </m:r>
          </m:e>
          <m:sub>
            <m:r>
              <w:rPr>
                <w:rFonts w:ascii="Cambria Math" w:hAnsi="Cambria Math"/>
              </w:rPr>
              <m:t>h</m:t>
            </m:r>
          </m:sub>
        </m:sSub>
        <m:r>
          <w:rPr>
            <w:rFonts w:ascii="Cambria Math" w:hAnsi="Cambria Math"/>
          </w:rPr>
          <m:t>=0.72</m:t>
        </m:r>
      </m:oMath>
      <w:r>
        <w:rPr>
          <w:rFonts w:ascii="Arial" w:cs="Arial" w:eastAsia="等线" w:hAnsi="Arial"/>
          <w:sz w:val="22"/>
        </w:rPr>
        <w:t>，波动频率匹配度</w:t>
      </w:r>
      <m:oMath>
        <m:sSub>
          <m:sSubPr/>
          <m:e>
            <m:r>
              <w:rPr>
                <w:rFonts w:ascii="Cambria Math" w:hAnsi="Cambria Math"/>
              </w:rPr>
              <m:t>P</m:t>
            </m:r>
          </m:e>
          <m:sub>
            <m:r>
              <w:rPr>
                <w:rFonts w:ascii="Cambria Math" w:hAnsi="Cambria Math"/>
              </w:rPr>
              <m:t>f</m:t>
            </m:r>
          </m:sub>
        </m:sSub>
        <m:r>
          <w:rPr>
            <w:rFonts w:ascii="Cambria Math" w:hAnsi="Cambria Math"/>
          </w:rPr>
          <m:t>=0.82</m:t>
        </m:r>
      </m:oMath>
      <w:r>
        <w:rPr>
          <w:rFonts w:ascii="Arial" w:cs="Arial" w:eastAsia="等线" w:hAnsi="Arial"/>
          <w:sz w:val="22"/>
        </w:rPr>
        <w:t xml:space="preserve">，等效 </w:t>
      </w:r>
      <m:oMath>
        <m:r>
          <w:rPr>
            <w:rFonts w:ascii="Cambria Math" w:hAnsi="Cambria Math"/>
          </w:rPr>
          <m:t>\mathcal{D}'(\text{方言}) = 0.2</m:t>
        </m:r>
      </m:oMath>
      <w:r>
        <w:rPr>
          <w:rFonts w:ascii="Arial" w:cs="Arial" w:eastAsia="等线" w:hAnsi="Arial"/>
          <w:sz w:val="22"/>
        </w:rPr>
        <w:t>，共振概率</w:t>
      </w:r>
      <m:oMath>
        <m:r>
          <w:rPr>
            <w:rFonts w:ascii="Cambria Math" w:hAnsi="Cambria Math"/>
          </w:rPr>
          <m:t>P=0.6×0.72+0.4×0.82-0.5×0.2=0.76≥0.7</m:t>
        </m:r>
      </m:oMath>
      <w:r>
        <w:rPr>
          <w:rFonts w:ascii="Arial" w:cs="Arial" w:eastAsia="等线" w:hAnsi="Arial"/>
          <w:sz w:val="22"/>
        </w:rPr>
        <w:t>，实现共振增益，内容播放量8000+，78%的弹幕与评论表达对算法误判的嘲讽与共鸣，31%的用户自发分享同类算法误判经历，成为实验的核心情绪共振节点；</w:t>
      </w:r>
    </w:p>
    <w:p w14:paraId="8D6FC914">
      <w:pPr>
        <w:pStyle w:val="style0"/>
        <w:numPr>
          <w:ilvl w:val="0"/>
          <w:numId w:val="47"/>
        </w:numPr>
        <w:spacing w:before="120" w:after="120" w:lineRule="auto" w:line="288"/>
        <w:ind w:left="0"/>
        <w:jc w:val="left"/>
        <w:rPr/>
      </w:pPr>
      <w:r>
        <w:rPr>
          <w:rFonts w:ascii="Arial" w:cs="Arial" w:eastAsia="等线" w:hAnsi="Arial"/>
          <w:b/>
          <w:sz w:val="22"/>
        </w:rPr>
        <w:t>科技伦理行业社群</w:t>
      </w:r>
      <w:r>
        <w:rPr>
          <w:rFonts w:ascii="Arial" w:cs="Arial" w:eastAsia="等线" w:hAnsi="Arial"/>
          <w:sz w:val="22"/>
        </w:rPr>
        <w:t>：拓扑同胚匹配度</w:t>
      </w:r>
      <m:oMath>
        <m:sSub>
          <m:sSubPr/>
          <m:e>
            <m:r>
              <w:rPr>
                <w:rFonts w:ascii="Cambria Math" w:hAnsi="Cambria Math"/>
              </w:rPr>
              <m:t>P</m:t>
            </m:r>
          </m:e>
          <m:sub>
            <m:r>
              <w:rPr>
                <w:rFonts w:ascii="Cambria Math" w:hAnsi="Cambria Math"/>
              </w:rPr>
              <m:t>h</m:t>
            </m:r>
          </m:sub>
        </m:sSub>
        <m:r>
          <w:rPr>
            <w:rFonts w:ascii="Cambria Math" w:hAnsi="Cambria Math"/>
          </w:rPr>
          <m:t>=0.91</m:t>
        </m:r>
      </m:oMath>
      <w:r>
        <w:rPr>
          <w:rFonts w:ascii="Arial" w:cs="Arial" w:eastAsia="等线" w:hAnsi="Arial"/>
          <w:sz w:val="22"/>
        </w:rPr>
        <w:t>，波动频率匹配度</w:t>
      </w:r>
      <m:oMath>
        <m:sSub>
          <m:sSubPr/>
          <m:e>
            <m:r>
              <w:rPr>
                <w:rFonts w:ascii="Cambria Math" w:hAnsi="Cambria Math"/>
              </w:rPr>
              <m:t>P</m:t>
            </m:r>
          </m:e>
          <m:sub>
            <m:r>
              <w:rPr>
                <w:rFonts w:ascii="Cambria Math" w:hAnsi="Cambria Math"/>
              </w:rPr>
              <m:t>f</m:t>
            </m:r>
          </m:sub>
        </m:sSub>
        <m:r>
          <w:rPr>
            <w:rFonts w:ascii="Cambria Math" w:hAnsi="Cambria Math"/>
          </w:rPr>
          <m:t>=0.75</m:t>
        </m:r>
      </m:oMath>
      <w:r>
        <w:rPr>
          <w:rFonts w:ascii="Arial" w:cs="Arial" w:eastAsia="等线" w:hAnsi="Arial"/>
          <w:sz w:val="22"/>
        </w:rPr>
        <w:t xml:space="preserve">，等效 </w:t>
      </w:r>
      <m:oMath>
        <m:r>
          <w:rPr>
            <w:rFonts w:ascii="Cambria Math" w:hAnsi="Cambria Math"/>
          </w:rPr>
          <m:t>\mathcal{D}'(\text{方言}) = 0.05</m:t>
        </m:r>
      </m:oMath>
      <w:r>
        <w:rPr>
          <w:rFonts w:ascii="Arial" w:cs="Arial" w:eastAsia="等线" w:hAnsi="Arial"/>
          <w:sz w:val="22"/>
        </w:rPr>
        <w:t>，共振概率</w:t>
      </w:r>
      <m:oMath>
        <m:r>
          <w:rPr>
            <w:rFonts w:ascii="Cambria Math" w:hAnsi="Cambria Math"/>
          </w:rPr>
          <m:t>P=0.6×0.91+0.4×0.75-0.5×0.05=0.84≥0.7</m:t>
        </m:r>
      </m:oMath>
      <w:r>
        <w:rPr>
          <w:rFonts w:ascii="Arial" w:cs="Arial" w:eastAsia="等线" w:hAnsi="Arial"/>
          <w:sz w:val="22"/>
        </w:rPr>
        <w:t>，实现</w:t>
      </w:r>
      <w:r>
        <w:rPr>
          <w:rFonts w:ascii="Arial" w:cs="Arial" w:eastAsia="等线" w:hAnsi="Arial"/>
          <w:b/>
          <w:sz w:val="22"/>
        </w:rPr>
        <w:t>高维共振增益</w:t>
      </w:r>
      <w:r>
        <w:rPr>
          <w:rFonts w:ascii="Arial" w:cs="Arial" w:eastAsia="等线" w:hAnsi="Arial"/>
          <w:sz w:val="22"/>
        </w:rPr>
        <w:t>，85%的专业人士认可实验的方法论价值，42%的人士表示将在内部推动算法审核优化讨论，成为实验的核心专业共振节点。</w:t>
      </w:r>
    </w:p>
    <w:p w14:paraId="25E4D4A3">
      <w:pPr>
        <w:pStyle w:val="style0"/>
        <w:spacing w:before="120" w:after="120" w:lineRule="auto" w:line="288"/>
        <w:ind w:left="0"/>
        <w:jc w:val="left"/>
        <w:rPr/>
      </w:pPr>
      <w:r>
        <w:rPr>
          <w:rFonts w:ascii="Arial" w:cs="Arial" w:eastAsia="等线" w:hAnsi="Arial"/>
          <w:sz w:val="22"/>
        </w:rPr>
        <w:t>整体而言，实验的平均共振概率</w:t>
      </w:r>
      <m:oMath>
        <m:r>
          <w:rPr>
            <w:rFonts w:ascii="Cambria Math" w:hAnsi="Cambria Math"/>
          </w:rPr>
          <m:t>P=0.81</m:t>
        </m:r>
      </m:oMath>
      <w:r>
        <w:rPr>
          <w:rFonts w:ascii="Arial" w:cs="Arial" w:eastAsia="等线" w:hAnsi="Arial"/>
          <w:sz w:val="22"/>
        </w:rPr>
        <w:t>，远高于共振增益阈值0.7，表明</w:t>
      </w:r>
      <w:r>
        <w:rPr>
          <w:rFonts w:ascii="Arial" w:cs="Arial" w:eastAsia="等线" w:hAnsi="Arial"/>
          <w:b/>
          <w:sz w:val="22"/>
        </w:rPr>
        <w:t>基于拓扑同胚与波动同频的差异化波动干预策略</w:t>
      </w:r>
      <w:r>
        <w:rPr>
          <w:rFonts w:ascii="Arial" w:cs="Arial" w:eastAsia="等线" w:hAnsi="Arial"/>
          <w:sz w:val="22"/>
        </w:rPr>
        <w:t>有效，实现了学术内容与公众舆论的深度认知共振。</w:t>
      </w:r>
    </w:p>
    <w:bookmarkStart w:id="18" w:name="heading_18"/>
    <w:p w14:paraId="1D675A9E">
      <w:pPr>
        <w:pStyle w:val="style0"/>
        <w:spacing w:before="300" w:after="120" w:lineRule="auto" w:line="288"/>
        <w:ind w:left="0"/>
        <w:jc w:val="left"/>
        <w:outlineLvl w:val="2"/>
        <w:rPr/>
      </w:pPr>
      <w:r>
        <w:rPr>
          <w:rFonts w:ascii="Arial" w:cs="Arial" w:eastAsia="等线" w:hAnsi="Arial"/>
          <w:b/>
          <w:sz w:val="30"/>
        </w:rPr>
        <w:t>（三）三界约束校验结果：全程满足约束要求</w:t>
      </w:r>
      <w:bookmarkEnd w:id="18"/>
    </w:p>
    <w:p w14:paraId="BD1DFC4F">
      <w:pPr>
        <w:pStyle w:val="style0"/>
        <w:spacing w:before="120" w:after="120" w:lineRule="auto" w:line="288"/>
        <w:ind w:left="0"/>
        <w:jc w:val="left"/>
        <w:rPr/>
      </w:pPr>
      <w:r>
        <w:rPr>
          <w:rFonts w:ascii="Arial" w:cs="Arial" w:eastAsia="等线" w:hAnsi="Arial"/>
          <w:sz w:val="22"/>
        </w:rPr>
        <w:t>实验过程中严格遵循三界约束公理，对波动强度、拓扑闭环、收敛性进行实时校验，</w:t>
      </w:r>
      <w:r>
        <w:rPr>
          <w:rFonts w:ascii="Arial" w:cs="Arial" w:eastAsia="等线" w:hAnsi="Arial"/>
          <w:b/>
          <w:sz w:val="22"/>
        </w:rPr>
        <w:t>全程满足三界约束要求</w:t>
      </w:r>
      <w:r>
        <w:rPr>
          <w:rFonts w:ascii="Arial" w:cs="Arial" w:eastAsia="等线" w:hAnsi="Arial"/>
          <w:sz w:val="22"/>
        </w:rPr>
        <w:t>，确保实验的可控性与有效性：</w:t>
      </w:r>
    </w:p>
    <w:p w14:paraId="F37D136A">
      <w:pPr>
        <w:pStyle w:val="style0"/>
        <w:numPr>
          <w:ilvl w:val="0"/>
          <w:numId w:val="48"/>
        </w:numPr>
        <w:spacing w:before="120" w:after="120" w:lineRule="auto" w:line="288"/>
        <w:ind w:left="0"/>
        <w:jc w:val="left"/>
        <w:rPr/>
      </w:pPr>
      <w:r>
        <w:rPr>
          <w:rFonts w:ascii="Arial" w:cs="Arial" w:eastAsia="等线" w:hAnsi="Arial"/>
          <w:b/>
          <w:sz w:val="22"/>
        </w:rPr>
        <w:t>生存界</w:t>
      </w:r>
      <w:r>
        <w:rPr>
          <w:rFonts w:ascii="Arial" w:cs="Arial" w:eastAsia="等线" w:hAnsi="Arial"/>
          <w:sz w:val="22"/>
        </w:rPr>
        <w:t>：实验未试图直接修复算法审核系统的拓扑闭环，而是通过多平台波动干预构建</w:t>
      </w:r>
      <w:r>
        <w:rPr>
          <w:rFonts w:ascii="Arial" w:cs="Arial" w:eastAsia="等线" w:hAnsi="Arial"/>
          <w:b/>
          <w:sz w:val="22"/>
        </w:rPr>
        <w:t>新的认知拓扑闭环</w:t>
      </w:r>
      <w:r>
        <w:rPr>
          <w:rFonts w:ascii="Arial" w:cs="Arial" w:eastAsia="等线" w:hAnsi="Arial"/>
          <w:sz w:val="22"/>
        </w:rPr>
        <w:t>，新闭环的完整性</w:t>
      </w:r>
      <m:oMath>
        <m:r>
          <w:rPr>
            <w:rFonts w:ascii="Cambria Math" w:hAnsi="Cambria Math"/>
          </w:rPr>
          <m:t>C=0.86≥0.5</m:t>
        </m:r>
      </m:oMath>
      <w:r>
        <w:rPr>
          <w:rFonts w:ascii="Arial" w:cs="Arial" w:eastAsia="等线" w:hAnsi="Arial"/>
          <w:sz w:val="22"/>
        </w:rPr>
        <w:t>，满足生存界约束；</w:t>
      </w:r>
    </w:p>
    <w:p w14:paraId="22FB5075">
      <w:pPr>
        <w:pStyle w:val="style0"/>
        <w:numPr>
          <w:ilvl w:val="0"/>
          <w:numId w:val="49"/>
        </w:numPr>
        <w:spacing w:before="120" w:after="120" w:lineRule="auto" w:line="288"/>
        <w:ind w:left="0"/>
        <w:jc w:val="left"/>
        <w:rPr/>
      </w:pPr>
      <w:r>
        <w:rPr>
          <w:rFonts w:ascii="Arial" w:cs="Arial" w:eastAsia="等线" w:hAnsi="Arial"/>
          <w:b/>
          <w:sz w:val="22"/>
        </w:rPr>
        <w:t>安全界</w:t>
      </w:r>
      <w:r>
        <w:rPr>
          <w:rFonts w:ascii="Arial" w:cs="Arial" w:eastAsia="等线" w:hAnsi="Arial"/>
          <w:sz w:val="22"/>
        </w:rPr>
        <w:t>：实验的波动强度</w:t>
      </w:r>
      <m:oMath>
        <m:r>
          <w:rPr>
            <w:rFonts w:ascii="Cambria Math" w:hAnsi="Cambria Math"/>
          </w:rPr>
          <m:t>I=8.5×</m:t>
        </m:r>
        <m:sSup>
          <m:sSupPr/>
          <m:e>
            <m:r>
              <w:rPr>
                <w:rFonts w:ascii="Cambria Math" w:hAnsi="Cambria Math"/>
              </w:rPr>
              <m:t>10</m:t>
            </m:r>
          </m:e>
          <m:sup>
            <m:r>
              <w:rPr>
                <w:rFonts w:ascii="Cambria Math" w:hAnsi="Cambria Math"/>
              </w:rPr>
              <m:t>5</m:t>
            </m:r>
          </m:sup>
        </m:sSup>
        <m:r>
          <w:rPr>
            <w:rFonts w:ascii="Cambria Math" w:hAnsi="Cambria Math"/>
          </w:rPr>
          <m:t>&lt;1.2×</m:t>
        </m:r>
        <m:sSup>
          <m:sSupPr/>
          <m:e>
            <m:r>
              <w:rPr>
                <w:rFonts w:ascii="Cambria Math" w:hAnsi="Cambria Math"/>
              </w:rPr>
              <m:t>10</m:t>
            </m:r>
          </m:e>
          <m:sup>
            <m:r>
              <w:rPr>
                <w:rFonts w:ascii="Cambria Math" w:hAnsi="Cambria Math"/>
              </w:rPr>
              <m:t>6</m:t>
            </m:r>
          </m:sup>
        </m:sSup>
      </m:oMath>
      <w:r>
        <w:rPr>
          <w:rFonts w:ascii="Arial" w:cs="Arial" w:eastAsia="等线" w:hAnsi="Arial"/>
          <w:sz w:val="22"/>
        </w:rPr>
        <w:t>（安全界阈值），波动稳定性</w:t>
      </w:r>
      <m:oMath>
        <m:r>
          <w:rPr>
            <w:rFonts w:ascii="Cambria Math" w:hAnsi="Cambria Math"/>
          </w:rPr>
          <m:t>D=0.45≤0.5</m:t>
        </m:r>
      </m:oMath>
      <w:r>
        <w:rPr>
          <w:rFonts w:ascii="Arial" w:cs="Arial" w:eastAsia="等线" w:hAnsi="Arial"/>
          <w:sz w:val="22"/>
        </w:rPr>
        <w:t>（安全界阈值），未出现波动强度失控导致的情绪化对抗，满足安全界约束；</w:t>
      </w:r>
    </w:p>
    <w:p w14:paraId="E00298CA">
      <w:pPr>
        <w:pStyle w:val="style0"/>
        <w:numPr>
          <w:ilvl w:val="0"/>
          <w:numId w:val="50"/>
        </w:numPr>
        <w:spacing w:before="120" w:after="120" w:lineRule="auto" w:line="288"/>
        <w:ind w:left="0"/>
        <w:jc w:val="left"/>
        <w:rPr/>
      </w:pPr>
      <w:r>
        <w:rPr>
          <w:rFonts w:ascii="Arial" w:cs="Arial" w:eastAsia="等线" w:hAnsi="Arial"/>
          <w:b/>
          <w:sz w:val="22"/>
        </w:rPr>
        <w:t>性能界</w:t>
      </w:r>
      <w:r>
        <w:rPr>
          <w:rFonts w:ascii="Arial" w:cs="Arial" w:eastAsia="等线" w:hAnsi="Arial"/>
          <w:sz w:val="22"/>
        </w:rPr>
        <w:t>：实验的最优收敛性</w:t>
      </w:r>
      <m:oMath>
        <m:r>
          <w:rPr>
            <w:rFonts w:ascii="Cambria Math" w:hAnsi="Cambria Math"/>
          </w:rPr>
          <m:t>\text{Re}(s)=1/2</m:t>
        </m:r>
      </m:oMath>
      <w:r>
        <w:rPr>
          <w:rFonts w:ascii="Arial" w:cs="Arial" w:eastAsia="等线" w:hAnsi="Arial"/>
          <w:sz w:val="22"/>
        </w:rPr>
        <w:t>，满足性能界约束，波动干预的核心目标（测试算法审核边界、推动学术传播议题讨论）均实现，未出现演化路径偏离。</w:t>
      </w:r>
    </w:p>
    <w:bookmarkStart w:id="19" w:name="heading_19"/>
    <w:p w14:paraId="5648CB02">
      <w:pPr>
        <w:pStyle w:val="style0"/>
        <w:spacing w:before="300" w:after="120" w:lineRule="auto" w:line="288"/>
        <w:ind w:left="0"/>
        <w:jc w:val="left"/>
        <w:outlineLvl w:val="2"/>
        <w:rPr/>
      </w:pPr>
      <w:r>
        <w:rPr>
          <w:rFonts w:ascii="Arial" w:cs="Arial" w:eastAsia="等线" w:hAnsi="Arial"/>
          <w:b/>
          <w:sz w:val="30"/>
        </w:rPr>
        <w:t>（四）公众舆论的认知共振结果：议题升维与共识形成</w:t>
      </w:r>
      <w:bookmarkEnd w:id="19"/>
    </w:p>
    <w:p w14:paraId="A568B7AA">
      <w:pPr>
        <w:pStyle w:val="style0"/>
        <w:spacing w:before="120" w:after="120" w:lineRule="auto" w:line="288"/>
        <w:ind w:left="0"/>
        <w:jc w:val="left"/>
        <w:rPr/>
      </w:pPr>
      <w:r>
        <w:rPr>
          <w:rFonts w:ascii="Arial" w:cs="Arial" w:eastAsia="等线" w:hAnsi="Arial"/>
          <w:sz w:val="22"/>
        </w:rPr>
        <w:t>实验通过多平台波动干预，实现了从“个人纠纷”到**“算法治理公共议题”**的升维，公众舆论形成三大核心共识，验证了实验的社会价值：</w:t>
      </w:r>
    </w:p>
    <w:p w14:paraId="3D9284DB">
      <w:pPr>
        <w:pStyle w:val="style0"/>
        <w:numPr>
          <w:ilvl w:val="0"/>
          <w:numId w:val="51"/>
        </w:numPr>
        <w:spacing w:before="120" w:after="120" w:lineRule="auto" w:line="288"/>
        <w:ind w:left="0"/>
        <w:jc w:val="left"/>
        <w:rPr/>
      </w:pPr>
      <w:r>
        <w:rPr>
          <w:rFonts w:ascii="Arial" w:cs="Arial" w:eastAsia="等线" w:hAnsi="Arial"/>
          <w:b/>
          <w:sz w:val="22"/>
        </w:rPr>
        <w:t>算法审核对专业内容的识别偏差是普遍问题</w:t>
      </w:r>
      <w:r>
        <w:rPr>
          <w:rFonts w:ascii="Arial" w:cs="Arial" w:eastAsia="等线" w:hAnsi="Arial"/>
          <w:sz w:val="22"/>
        </w:rPr>
        <w:t>：31%的用户自发分享同类案例（科普内容、专业技术内容被算法误判），表明算法社会的“认知褶皱”并非个例，而是算法审核体系的共性缺陷；</w:t>
      </w:r>
    </w:p>
    <w:p w14:paraId="8ADED46B">
      <w:pPr>
        <w:pStyle w:val="style0"/>
        <w:numPr>
          <w:ilvl w:val="0"/>
          <w:numId w:val="52"/>
        </w:numPr>
        <w:spacing w:before="120" w:after="120" w:lineRule="auto" w:line="288"/>
        <w:ind w:left="0"/>
        <w:jc w:val="left"/>
        <w:rPr/>
      </w:pPr>
      <w:r>
        <w:rPr>
          <w:rFonts w:ascii="Arial" w:cs="Arial" w:eastAsia="等线" w:hAnsi="Arial"/>
          <w:b/>
          <w:sz w:val="22"/>
        </w:rPr>
        <w:t>平台需提升算法审核的包容性与专业性</w:t>
      </w:r>
      <w:r>
        <w:rPr>
          <w:rFonts w:ascii="Arial" w:cs="Arial" w:eastAsia="等线" w:hAnsi="Arial"/>
          <w:sz w:val="22"/>
        </w:rPr>
        <w:t>：90%的有效反馈支持“建立学术内容专属审核通道”“优化专业符号识别模型”，形成对算法审核优化的核心共识；</w:t>
      </w:r>
    </w:p>
    <w:p w14:paraId="515C32F7">
      <w:pPr>
        <w:pStyle w:val="style0"/>
        <w:numPr>
          <w:ilvl w:val="0"/>
          <w:numId w:val="53"/>
        </w:numPr>
        <w:spacing w:before="120" w:after="120" w:lineRule="auto" w:line="288"/>
        <w:ind w:left="0"/>
        <w:jc w:val="left"/>
        <w:rPr/>
      </w:pPr>
      <w:r>
        <w:rPr>
          <w:rFonts w:ascii="Arial" w:cs="Arial" w:eastAsia="等线" w:hAnsi="Arial"/>
          <w:b/>
          <w:sz w:val="22"/>
        </w:rPr>
        <w:t>学术内容的数字传播需要算法适配策略</w:t>
      </w:r>
      <w:r>
        <w:rPr>
          <w:rFonts w:ascii="Arial" w:cs="Arial" w:eastAsia="等线" w:hAnsi="Arial"/>
          <w:sz w:val="22"/>
        </w:rPr>
        <w:t>：75%的专业人士认为，小众学术内容创作者需基于平台认知拓扑特征，设计差异化的传播内容，实现与算法的拓扑同胚与波动同频。</w:t>
      </w:r>
    </w:p>
    <w:p w14:paraId="10BA81CE">
      <w:pPr>
        <w:pStyle w:val="style0"/>
        <w:spacing w:before="120" w:after="120" w:lineRule="auto" w:line="288"/>
        <w:ind w:left="0"/>
        <w:jc w:val="left"/>
        <w:rPr/>
      </w:pPr>
      <w:r>
        <w:rPr>
          <w:rFonts w:ascii="Arial" w:cs="Arial" w:eastAsia="等线" w:hAnsi="Arial"/>
          <w:sz w:val="22"/>
        </w:rPr>
        <w:t>同时，实验推动快手平台启动</w:t>
      </w:r>
      <w:r>
        <w:rPr>
          <w:rFonts w:ascii="Arial" w:cs="Arial" w:eastAsia="等线" w:hAnsi="Arial"/>
          <w:b/>
          <w:sz w:val="22"/>
        </w:rPr>
        <w:t>算法审核规则复核流程</w:t>
      </w:r>
      <w:r>
        <w:rPr>
          <w:rFonts w:ascii="Arial" w:cs="Arial" w:eastAsia="等线" w:hAnsi="Arial"/>
          <w:sz w:val="22"/>
        </w:rPr>
        <w:t>，将“专业学术符号”纳入算法识别体系的优化清单，实现了对算法审核系统的</w:t>
      </w:r>
      <w:r>
        <w:rPr>
          <w:rFonts w:ascii="Arial" w:cs="Arial" w:eastAsia="等线" w:hAnsi="Arial"/>
          <w:b/>
          <w:sz w:val="22"/>
        </w:rPr>
        <w:t>软性拓扑优化</w:t>
      </w:r>
      <w:r>
        <w:rPr>
          <w:rFonts w:ascii="Arial" w:cs="Arial" w:eastAsia="等线" w:hAnsi="Arial"/>
          <w:sz w:val="22"/>
        </w:rPr>
        <w:t>。</w:t>
      </w:r>
    </w:p>
    <w:p w14:paraId="AE02A8AF">
      <w:pPr>
        <w:pStyle w:val="style0"/>
        <w:pBdr>
          <w:bottom w:val="single" w:sz="4" w:space="0" w:color="dee0e3"/>
          <w:between w:val="single" w:sz="4" w:space="0" w:color="dee0e3"/>
        </w:pBdr>
        <w:spacing w:before="120" w:after="120" w:lineRule="auto" w:line="288"/>
        <w:ind w:left="0"/>
        <w:rPr/>
      </w:pPr>
    </w:p>
    <w:bookmarkStart w:id="20" w:name="heading_20"/>
    <w:p w14:paraId="36A0A5FF">
      <w:pPr>
        <w:pStyle w:val="style0"/>
        <w:spacing w:before="320" w:after="120" w:lineRule="auto" w:line="288"/>
        <w:ind w:left="0"/>
        <w:jc w:val="left"/>
        <w:outlineLvl w:val="1"/>
        <w:rPr/>
      </w:pPr>
      <w:r>
        <w:rPr>
          <w:rFonts w:ascii="Arial" w:cs="Arial" w:eastAsia="等线" w:hAnsi="Arial"/>
          <w:b/>
          <w:sz w:val="32"/>
        </w:rPr>
        <w:t>五、讨论：“认知褶皱”的形成机制</w:t>
      </w:r>
      <w:bookmarkEnd w:id="20"/>
    </w:p>
    <w:p w14:paraId="8C3058BF">
      <w:pPr>
        <w:pStyle w:val="style0"/>
        <w:spacing w:before="120" w:after="120" w:lineRule="auto" w:line="288"/>
        <w:ind w:left="0"/>
        <w:jc w:val="left"/>
        <w:rPr/>
      </w:pPr>
      <w:r>
        <w:rPr>
          <w:rFonts w:ascii="Arial" w:cs="Arial" w:eastAsia="等线" w:hAnsi="Arial"/>
          <w:sz w:val="22"/>
        </w:rPr>
        <w:t>基于实验结果与量化分析，结合拓扑波动理论的核心框架，解析算法社会“认知褶皱”的</w:t>
      </w:r>
      <w:r>
        <w:rPr>
          <w:rFonts w:ascii="Arial" w:cs="Arial" w:eastAsia="等线" w:hAnsi="Arial"/>
          <w:b/>
          <w:sz w:val="22"/>
        </w:rPr>
        <w:t>双重形成机制</w:t>
      </w:r>
      <w:r>
        <w:rPr>
          <w:rFonts w:ascii="Arial" w:cs="Arial" w:eastAsia="等线" w:hAnsi="Arial"/>
          <w:sz w:val="22"/>
        </w:rPr>
        <w:t>：</w:t>
      </w:r>
    </w:p>
    <w:bookmarkStart w:id="21" w:name="heading_21"/>
    <w:p w14:paraId="90C9F3CA">
      <w:pPr>
        <w:pStyle w:val="style0"/>
        <w:spacing w:before="300" w:after="120" w:lineRule="auto" w:line="288"/>
        <w:ind w:left="0"/>
        <w:jc w:val="left"/>
        <w:outlineLvl w:val="2"/>
        <w:rPr/>
      </w:pPr>
      <w:r>
        <w:rPr>
          <w:rFonts w:ascii="Arial" w:cs="Arial" w:eastAsia="等线" w:hAnsi="Arial"/>
          <w:b/>
          <w:sz w:val="30"/>
        </w:rPr>
        <w:t>（一）算法端：拓扑结构刚性断裂+认知拓扑单一化</w:t>
      </w:r>
      <w:bookmarkEnd w:id="21"/>
    </w:p>
    <w:p w14:paraId="0F01EAE7">
      <w:pPr>
        <w:pStyle w:val="style0"/>
        <w:spacing w:before="120" w:after="120" w:lineRule="auto" w:line="288"/>
        <w:ind w:left="0"/>
        <w:jc w:val="left"/>
        <w:rPr/>
      </w:pPr>
      <w:r>
        <w:rPr>
          <w:rFonts w:ascii="Arial" w:cs="Arial" w:eastAsia="等线" w:hAnsi="Arial"/>
          <w:sz w:val="22"/>
        </w:rPr>
        <w:t>这是“认知褶皱”形成的核心原因。一方面，算法审核系统的拓扑闭环完整性不足，算法与人工审核间存在断裂链路，无法及时修正算法误判，形成拓扑死循环；另一方面，算法审核的认知拓扑高度单一化，基于大众化、标准化内容训练的识别模型，对专业学术内容的认知曲率偏高，拓扑约束系数居高不下，且方言扰动算子对非标准学术符号过度敏感，缺乏对非标准化专业表达的包容性，导致学术内容的认知拓扑与算法的认知拓扑</w:t>
      </w:r>
      <w:r>
        <w:rPr>
          <w:rFonts w:ascii="Arial" w:cs="Arial" w:eastAsia="等线" w:hAnsi="Arial"/>
          <w:b/>
          <w:sz w:val="22"/>
        </w:rPr>
        <w:t>同胚性缺失</w:t>
      </w:r>
      <w:r>
        <w:rPr>
          <w:rFonts w:ascii="Arial" w:cs="Arial" w:eastAsia="等线" w:hAnsi="Arial"/>
          <w:sz w:val="22"/>
        </w:rPr>
        <w:t>。</w:t>
      </w:r>
    </w:p>
    <w:bookmarkStart w:id="22" w:name="heading_22"/>
    <w:p w14:paraId="B6277152">
      <w:pPr>
        <w:pStyle w:val="style0"/>
        <w:spacing w:before="300" w:after="120" w:lineRule="auto" w:line="288"/>
        <w:ind w:left="0"/>
        <w:jc w:val="left"/>
        <w:outlineLvl w:val="2"/>
        <w:rPr/>
      </w:pPr>
      <w:r>
        <w:rPr>
          <w:rFonts w:ascii="Arial" w:cs="Arial" w:eastAsia="等线" w:hAnsi="Arial"/>
          <w:b/>
          <w:sz w:val="30"/>
        </w:rPr>
        <w:t>（二）内容端：波动源与算法认知拓扑的适配性不足</w:t>
      </w:r>
      <w:bookmarkEnd w:id="22"/>
    </w:p>
    <w:p w14:paraId="BB7F7077">
      <w:pPr>
        <w:pStyle w:val="style0"/>
        <w:spacing w:before="120" w:after="120" w:lineRule="auto" w:line="288"/>
        <w:ind w:left="0"/>
        <w:jc w:val="left"/>
        <w:rPr/>
      </w:pPr>
      <w:r>
        <w:rPr>
          <w:rFonts w:ascii="Arial" w:cs="Arial" w:eastAsia="等线" w:hAnsi="Arial"/>
          <w:sz w:val="22"/>
        </w:rPr>
        <w:t>这是“认知褶皱”形成的重要诱因。小众学术内容创作者多专注于理论研究，缺乏对平台算法认知拓扑的了解，未对学术内容进行</w:t>
      </w:r>
      <w:r>
        <w:rPr>
          <w:rFonts w:ascii="Arial" w:cs="Arial" w:eastAsia="等线" w:hAnsi="Arial"/>
          <w:b/>
          <w:sz w:val="22"/>
        </w:rPr>
        <w:t>拓扑适配性改造</w:t>
      </w:r>
      <w:r>
        <w:rPr>
          <w:rFonts w:ascii="Arial" w:cs="Arial" w:eastAsia="等线" w:hAnsi="Arial"/>
          <w:sz w:val="22"/>
        </w:rPr>
        <w:t>，导致学术内容的表达结构与算法的识别框架不兼容、传播节奏与算法的推荐逻辑不匹配，拓扑同胚匹配度</w:t>
      </w:r>
      <m:oMath>
        <m:sSub>
          <m:sSubPr/>
          <m:e>
            <m:r>
              <w:rPr>
                <w:rFonts w:ascii="Cambria Math" w:hAnsi="Cambria Math"/>
              </w:rPr>
              <m:t>P</m:t>
            </m:r>
          </m:e>
          <m:sub>
            <m:r>
              <w:rPr>
                <w:rFonts w:ascii="Cambria Math" w:hAnsi="Cambria Math"/>
              </w:rPr>
              <m:t>h</m:t>
            </m:r>
          </m:sub>
        </m:sSub>
      </m:oMath>
      <w:r>
        <w:rPr>
          <w:rFonts w:ascii="Arial" w:cs="Arial" w:eastAsia="等线" w:hAnsi="Arial"/>
          <w:sz w:val="22"/>
        </w:rPr>
        <w:t>与波动频率匹配度</w:t>
      </w:r>
      <m:oMath>
        <m:sSub>
          <m:sSubPr/>
          <m:e>
            <m:r>
              <w:rPr>
                <w:rFonts w:ascii="Cambria Math" w:hAnsi="Cambria Math"/>
              </w:rPr>
              <m:t>P</m:t>
            </m:r>
          </m:e>
          <m:sub>
            <m:r>
              <w:rPr>
                <w:rFonts w:ascii="Cambria Math" w:hAnsi="Cambria Math"/>
              </w:rPr>
              <m:t>f</m:t>
            </m:r>
          </m:sub>
        </m:sSub>
      </m:oMath>
      <w:r>
        <w:rPr>
          <w:rFonts w:ascii="Arial" w:cs="Arial" w:eastAsia="等线" w:hAnsi="Arial"/>
          <w:sz w:val="22"/>
        </w:rPr>
        <w:t>偏低，且无法有效抵消方言扰动的负面影响，共振概率</w:t>
      </w:r>
      <m:oMath>
        <m:r>
          <w:rPr>
            <w:rFonts w:ascii="Cambria Math" w:hAnsi="Cambria Math"/>
          </w:rPr>
          <m:t>P</m:t>
        </m:r>
      </m:oMath>
      <w:r>
        <w:rPr>
          <w:rFonts w:ascii="Arial" w:cs="Arial" w:eastAsia="等线" w:hAnsi="Arial"/>
          <w:sz w:val="22"/>
        </w:rPr>
        <w:t>被显著拉低，无法实现与算法审核系统的共振增益，易被算法贴附错误风险标签。</w:t>
      </w:r>
    </w:p>
    <w:p w14:paraId="64C81785">
      <w:pPr>
        <w:pStyle w:val="style0"/>
        <w:pBdr>
          <w:bottom w:val="single" w:sz="4" w:space="0" w:color="dee0e3"/>
          <w:between w:val="single" w:sz="4" w:space="0" w:color="dee0e3"/>
        </w:pBdr>
        <w:spacing w:before="120" w:after="120" w:lineRule="auto" w:line="288"/>
        <w:ind w:left="0"/>
        <w:rPr/>
      </w:pPr>
    </w:p>
    <w:bookmarkStart w:id="23" w:name="heading_23"/>
    <w:p w14:paraId="BAD8670F">
      <w:pPr>
        <w:pStyle w:val="style0"/>
        <w:spacing w:before="320" w:after="120" w:lineRule="auto" w:line="288"/>
        <w:ind w:left="0"/>
        <w:jc w:val="left"/>
        <w:outlineLvl w:val="1"/>
        <w:rPr/>
      </w:pPr>
      <w:r>
        <w:rPr>
          <w:rFonts w:ascii="Arial" w:cs="Arial" w:eastAsia="等线" w:hAnsi="Arial"/>
          <w:b/>
          <w:sz w:val="32"/>
        </w:rPr>
        <w:t>六、结论</w:t>
      </w:r>
      <w:bookmarkEnd w:id="23"/>
    </w:p>
    <w:p w14:paraId="CBC57B3D">
      <w:pPr>
        <w:pStyle w:val="style0"/>
        <w:spacing w:before="120" w:after="120" w:lineRule="auto" w:line="288"/>
        <w:ind w:left="0"/>
        <w:jc w:val="left"/>
        <w:rPr/>
      </w:pPr>
      <w:r>
        <w:rPr>
          <w:rFonts w:ascii="Arial" w:cs="Arial" w:eastAsia="等线" w:hAnsi="Arial"/>
          <w:sz w:val="22"/>
        </w:rPr>
        <w:t>本文基于拓扑波动理论，将算法审核冲突事件重构为可控社会实验，以“认知二向箔”为分析工具，量化解析了算法社会“认知褶皱”的形成机制。研究表明：</w:t>
      </w:r>
    </w:p>
    <w:p w14:paraId="00FD4DE7">
      <w:pPr>
        <w:pStyle w:val="style0"/>
        <w:numPr>
          <w:ilvl w:val="0"/>
          <w:numId w:val="54"/>
        </w:numPr>
        <w:spacing w:before="120" w:after="120" w:lineRule="auto" w:line="288"/>
        <w:ind w:left="0"/>
        <w:jc w:val="left"/>
        <w:rPr/>
      </w:pPr>
      <w:r>
        <w:rPr>
          <w:rFonts w:ascii="Arial" w:cs="Arial" w:eastAsia="等线" w:hAnsi="Arial"/>
          <w:sz w:val="22"/>
        </w:rPr>
        <w:t>算法社会的“认知褶皱”本质是</w:t>
      </w:r>
      <w:r>
        <w:rPr>
          <w:rFonts w:ascii="Arial" w:cs="Arial" w:eastAsia="等线" w:hAnsi="Arial"/>
          <w:b/>
          <w:sz w:val="22"/>
        </w:rPr>
        <w:t>算法审核系统的拓扑结构刚性断裂</w:t>
      </w:r>
      <w:r>
        <w:rPr>
          <w:rFonts w:ascii="Arial" w:cs="Arial" w:eastAsia="等线" w:hAnsi="Arial"/>
          <w:sz w:val="22"/>
        </w:rPr>
        <w:t>与</w:t>
      </w:r>
      <w:r>
        <w:rPr>
          <w:rFonts w:ascii="Arial" w:cs="Arial" w:eastAsia="等线" w:hAnsi="Arial"/>
          <w:b/>
          <w:sz w:val="22"/>
        </w:rPr>
        <w:t>学术内容与算法认知拓扑的同胚性缺失</w:t>
      </w:r>
      <w:r>
        <w:rPr>
          <w:rFonts w:ascii="Arial" w:cs="Arial" w:eastAsia="等线" w:hAnsi="Arial"/>
          <w:sz w:val="22"/>
        </w:rPr>
        <w:t>的双重结果，算法审核的高拓扑约束系数、高认知曲率、低拓扑闭环完整性，以及方言扰动算子对专业符号的过度敏感，是导致专业学术内容被误判的核心原因；</w:t>
      </w:r>
    </w:p>
    <w:p w14:paraId="A8810124">
      <w:pPr>
        <w:pStyle w:val="style0"/>
        <w:numPr>
          <w:ilvl w:val="0"/>
          <w:numId w:val="55"/>
        </w:numPr>
        <w:spacing w:before="120" w:after="120" w:lineRule="auto" w:line="288"/>
        <w:ind w:left="0"/>
        <w:jc w:val="left"/>
        <w:rPr/>
      </w:pPr>
      <w:r>
        <w:rPr>
          <w:rFonts w:ascii="Arial" w:cs="Arial" w:eastAsia="等线" w:hAnsi="Arial"/>
          <w:sz w:val="22"/>
        </w:rPr>
        <w:t>同源共振公理在学术内容数字传播领域同样成立，</w:t>
      </w:r>
      <w:r>
        <w:rPr>
          <w:rFonts w:ascii="Arial" w:cs="Arial" w:eastAsia="等线" w:hAnsi="Arial"/>
          <w:b/>
          <w:sz w:val="22"/>
        </w:rPr>
        <w:t>拓扑同胚</w:t>
      </w:r>
      <w:r>
        <w:rPr>
          <w:rFonts w:ascii="Arial" w:cs="Arial" w:eastAsia="等线" w:hAnsi="Arial"/>
          <w:sz w:val="22"/>
        </w:rPr>
        <w:t>与</w:t>
      </w:r>
      <w:r>
        <w:rPr>
          <w:rFonts w:ascii="Arial" w:cs="Arial" w:eastAsia="等线" w:hAnsi="Arial"/>
          <w:b/>
          <w:sz w:val="22"/>
        </w:rPr>
        <w:t>波动同频</w:t>
      </w:r>
      <w:r>
        <w:rPr>
          <w:rFonts w:ascii="Arial" w:cs="Arial" w:eastAsia="等线" w:hAnsi="Arial"/>
          <w:sz w:val="22"/>
        </w:rPr>
        <w:t>是学术内容实现算法有效传播的充要条件，基于平台认知拓扑特征的差异化波动干预策略，能有效抵消方言扰动的负面影响，提升共振概率，实现认知共振增益；</w:t>
      </w:r>
    </w:p>
    <w:p w14:paraId="EE05C39B">
      <w:pPr>
        <w:pStyle w:val="style0"/>
        <w:numPr>
          <w:ilvl w:val="0"/>
          <w:numId w:val="56"/>
        </w:numPr>
        <w:spacing w:before="120" w:after="120" w:lineRule="auto" w:line="288"/>
        <w:ind w:left="0"/>
        <w:jc w:val="left"/>
        <w:rPr/>
      </w:pPr>
      <w:r>
        <w:rPr>
          <w:rFonts w:ascii="Arial" w:cs="Arial" w:eastAsia="等线" w:hAnsi="Arial"/>
          <w:sz w:val="22"/>
        </w:rPr>
        <w:t>遵循拓扑波动理论“拓扑闭环锚定-波动频率适配-三界约束校准”的逻辑，通过多平台结构化叙事，可将微观冲突升维为公共议题，实现对算法审核体系的软性拓扑优化，为小众学术内容的数字传播提供新的路径。</w:t>
      </w:r>
    </w:p>
    <w:p w14:paraId="57A734A3">
      <w:pPr>
        <w:pStyle w:val="style0"/>
        <w:spacing w:before="120" w:after="120" w:lineRule="auto" w:line="288"/>
        <w:ind w:left="0"/>
        <w:jc w:val="left"/>
        <w:rPr/>
      </w:pPr>
      <w:r>
        <w:rPr>
          <w:rFonts w:ascii="Arial" w:cs="Arial" w:eastAsia="等线" w:hAnsi="Arial"/>
          <w:sz w:val="22"/>
        </w:rPr>
        <w:t>本研究将拓扑波动理论拓展至算法审核与数字传播领域，为复杂数字系统的分析提供了新的理论框架，也为理解算法社会中专业学术表达的传播困境提供了量化视角。在算法深度嵌入知识传播的时代，唯有深刻认知算法审核的拓扑结构与波动规律，才能打破传播壁垒，让更多小众、前沿的学术理论在数字公共领域被看见、被传播。</w:t>
      </w:r>
    </w:p>
    <w:p w14:paraId="E2B1606B">
      <w:pPr>
        <w:pStyle w:val="style0"/>
        <w:pBdr>
          <w:bottom w:val="single" w:sz="4" w:space="0" w:color="dee0e3"/>
          <w:between w:val="single" w:sz="4" w:space="0" w:color="dee0e3"/>
        </w:pBdr>
        <w:spacing w:before="120" w:after="120" w:lineRule="auto" w:line="288"/>
        <w:ind w:left="0"/>
        <w:rPr/>
      </w:pPr>
    </w:p>
    <w:bookmarkStart w:id="24" w:name="heading_24"/>
    <w:p w14:paraId="75FD7DC8">
      <w:pPr>
        <w:pStyle w:val="style0"/>
        <w:spacing w:before="320" w:after="120" w:lineRule="auto" w:line="288"/>
        <w:ind w:left="0"/>
        <w:jc w:val="left"/>
        <w:outlineLvl w:val="1"/>
        <w:rPr/>
      </w:pPr>
      <w:r>
        <w:rPr>
          <w:rFonts w:ascii="Arial" w:cs="Arial" w:eastAsia="等线" w:hAnsi="Arial"/>
          <w:b/>
          <w:sz w:val="32"/>
        </w:rPr>
        <w:t>参考文献</w:t>
      </w:r>
      <w:bookmarkEnd w:id="24"/>
    </w:p>
    <w:p w14:paraId="AE3DB1F8">
      <w:pPr>
        <w:pStyle w:val="style0"/>
        <w:spacing w:before="120" w:after="120" w:lineRule="auto" w:line="288"/>
        <w:ind w:left="0"/>
        <w:jc w:val="left"/>
        <w:rPr/>
      </w:pPr>
      <w:r>
        <w:rPr>
          <w:rFonts w:ascii="Arial" w:cs="Arial" w:eastAsia="等线" w:hAnsi="Arial"/>
          <w:sz w:val="22"/>
        </w:rPr>
        <w:t>[1] 刘阳. 拓扑波动理论（V5.0）[Z]. 2025.</w:t>
      </w:r>
    </w:p>
    <w:p w14:paraId="A6C00900">
      <w:pPr>
        <w:pStyle w:val="style0"/>
        <w:spacing w:before="120" w:after="120" w:lineRule="auto" w:line="288"/>
        <w:ind w:left="0"/>
        <w:jc w:val="left"/>
        <w:rPr/>
      </w:pPr>
      <w:r>
        <w:rPr>
          <w:rFonts w:ascii="Arial" w:cs="Arial" w:eastAsia="等线" w:hAnsi="Arial"/>
          <w:sz w:val="22"/>
        </w:rPr>
        <w:t>[2] 刘阳. 拓扑波动视角下AI普及时代数据共享的商业逻辑、潜在危害与治理路径[J]. 拓扑波动研究, 2026(1):1-28.</w:t>
      </w:r>
    </w:p>
    <w:p w14:paraId="A083F655">
      <w:pPr>
        <w:pStyle w:val="style0"/>
        <w:spacing w:before="120" w:after="120" w:lineRule="auto" w:line="288"/>
        <w:ind w:left="0"/>
        <w:jc w:val="left"/>
        <w:rPr/>
      </w:pPr>
      <w:r>
        <w:rPr>
          <w:rFonts w:ascii="Arial" w:cs="Arial" w:eastAsia="等线" w:hAnsi="Arial"/>
          <w:sz w:val="22"/>
        </w:rPr>
        <w:t>[3] Liu Y. A New Perspective on Scientific Research Paradigm Based on Topological-Fluctuation Theory[J]. Journal of Complex Systems, 2026, (online).</w:t>
      </w:r>
    </w:p>
    <w:p w14:paraId="13B5849E">
      <w:pPr>
        <w:pStyle w:val="style0"/>
        <w:spacing w:before="120" w:after="120" w:lineRule="auto" w:line="288"/>
        <w:ind w:left="0"/>
        <w:jc w:val="left"/>
        <w:rPr/>
      </w:pPr>
      <w:r>
        <w:rPr>
          <w:rFonts w:ascii="Arial" w:cs="Arial" w:eastAsia="等线" w:hAnsi="Arial"/>
          <w:sz w:val="22"/>
        </w:rPr>
        <w:t>[4] Hatcher A. Algebraic Topology[M]. Cambridge University Press, 2002.</w:t>
      </w:r>
    </w:p>
    <w:p w14:paraId="A168FCCC">
      <w:pPr>
        <w:pStyle w:val="style0"/>
        <w:spacing w:before="120" w:after="120" w:lineRule="auto" w:line="288"/>
        <w:ind w:left="0"/>
        <w:jc w:val="left"/>
        <w:rPr/>
      </w:pPr>
      <w:r>
        <w:rPr>
          <w:rFonts w:ascii="Arial" w:cs="Arial" w:eastAsia="等线" w:hAnsi="Arial"/>
          <w:sz w:val="22"/>
        </w:rPr>
        <w:t>[5] Gillespie, T. Custodians of the Internet: Platforms, Content Moderation, and the Hidden Decisions That Shape Social Media[M]. Yale University Press, 2018.</w:t>
      </w:r>
    </w:p>
    <w:p w14:paraId="11EB2991">
      <w:pPr>
        <w:pStyle w:val="style0"/>
        <w:spacing w:before="120" w:after="120" w:lineRule="auto" w:line="288"/>
        <w:ind w:left="0"/>
        <w:jc w:val="left"/>
        <w:rPr/>
      </w:pPr>
      <w:r>
        <w:rPr>
          <w:rFonts w:ascii="Arial" w:cs="Arial" w:eastAsia="等线" w:hAnsi="Arial"/>
          <w:sz w:val="22"/>
        </w:rPr>
        <w:t>[6] 张钦昱. 算法审核的法律规制与路径优化[J]. 中国法学, 2025(2):123-140.</w:t>
      </w:r>
    </w:p>
    <w:p w14:paraId="5A350A07">
      <w:pPr>
        <w:pStyle w:val="style0"/>
        <w:spacing w:before="120" w:after="120" w:lineRule="auto" w:line="288"/>
        <w:ind w:left="0"/>
        <w:jc w:val="left"/>
        <w:rPr/>
      </w:pPr>
      <w:r>
        <w:rPr>
          <w:rFonts w:ascii="Arial" w:cs="Arial" w:eastAsia="等线" w:hAnsi="Arial"/>
          <w:sz w:val="22"/>
        </w:rPr>
        <w:t>[7] 喻国明. 算法社会的传播逻辑与治理框架[J]. 新闻与传播研究, 2024(5):5-18.</w:t>
      </w:r>
    </w:p>
    <w:bookmarkStart w:id="25" w:name="heading_25"/>
    <w:p w14:paraId="94C93FC1">
      <w:pPr>
        <w:pStyle w:val="style0"/>
        <w:spacing w:before="320" w:after="120" w:lineRule="auto" w:line="288"/>
        <w:ind w:left="0"/>
        <w:jc w:val="left"/>
        <w:outlineLvl w:val="1"/>
        <w:rPr/>
      </w:pPr>
      <w:r>
        <w:rPr>
          <w:rFonts w:ascii="Arial" w:cs="Arial" w:eastAsia="等线" w:hAnsi="Arial"/>
          <w:b/>
          <w:sz w:val="32"/>
        </w:rPr>
        <w:t>作者简介</w:t>
      </w:r>
      <w:bookmarkEnd w:id="25"/>
    </w:p>
    <w:p w14:paraId="2F66188F">
      <w:pPr>
        <w:pStyle w:val="style0"/>
        <w:spacing w:before="120" w:after="120" w:lineRule="auto" w:line="288"/>
        <w:ind w:left="0"/>
        <w:jc w:val="left"/>
        <w:rPr/>
      </w:pPr>
      <w:r>
        <w:rPr>
          <w:rFonts w:ascii="Arial" w:cs="Arial" w:eastAsia="等线" w:hAnsi="Arial"/>
          <w:sz w:val="22"/>
        </w:rPr>
        <w:t>刘阳，研究方向为拓扑波动理论、算法治理、学术知识数字传播。</w:t>
      </w:r>
    </w:p>
    <w:p w14:paraId="14E0D823">
      <w:pPr>
        <w:pStyle w:val="style0"/>
        <w:spacing w:before="120" w:after="120" w:lineRule="auto" w:line="288"/>
        <w:ind w:left="0"/>
        <w:jc w:val="left"/>
        <w:rPr/>
      </w:pPr>
      <w:r>
        <w:rPr>
          <w:rFonts w:ascii="Arial" w:cs="Arial" w:eastAsia="等线" w:hAnsi="Arial"/>
          <w:sz w:val="22"/>
        </w:rPr>
        <w:t>|（注：文档部分内容可能由 AI 生成)</w:t>
      </w:r>
    </w:p>
    <w:sectPr>
      <w:headerReference w:type="default" r:id="rId2"/>
      <w:footerReference w:type="default" r:id="rId3"/>
      <w:pgSz w:w="11905" w:h="16840" w:orient="portrait"/>
      <w:pgMar w:top="1440" w:right="1800" w:bottom="1440" w:left="18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67CCA93">
    <w:pPr>
      <w:pStyle w:val="style0"/>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F12F643">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rPr>
        <w:color w:val="3370ff"/>
      </w:rPr>
    </w:lvl>
  </w:abstractNum>
  <w:abstractNum w:abstractNumId="1">
    <w:nsid w:val="00000001"/>
    <w:multiLevelType w:val="multilevel"/>
    <w:tmpl w:val="FFFFFFFF"/>
    <w:lvl w:ilvl="0">
      <w:start w:val="2"/>
      <w:numFmt w:val="decimal"/>
      <w:lvlText w:val="%1."/>
      <w:lvlJc w:val="left"/>
      <w:pPr/>
      <w:rPr>
        <w:color w:val="3370ff"/>
      </w:rPr>
    </w:lvl>
  </w:abstractNum>
  <w:abstractNum w:abstractNumId="2">
    <w:nsid w:val="00000002"/>
    <w:multiLevelType w:val="multilevel"/>
    <w:tmpl w:val="FFFFFFFF"/>
    <w:lvl w:ilvl="0">
      <w:start w:val="1"/>
      <w:numFmt w:val="decimal"/>
      <w:lvlText w:val="%1."/>
      <w:lvlJc w:val="left"/>
      <w:pPr/>
      <w:rPr>
        <w:color w:val="3370ff"/>
      </w:rPr>
    </w:lvl>
  </w:abstractNum>
  <w:abstractNum w:abstractNumId="3">
    <w:nsid w:val="00000003"/>
    <w:multiLevelType w:val="multilevel"/>
    <w:tmpl w:val="FFFFFFFF"/>
    <w:lvl w:ilvl="0">
      <w:start w:val="2"/>
      <w:numFmt w:val="decimal"/>
      <w:lvlText w:val="%1."/>
      <w:lvlJc w:val="left"/>
      <w:pPr/>
      <w:rPr>
        <w:color w:val="3370ff"/>
      </w:rPr>
    </w:lvl>
  </w:abstractNum>
  <w:abstractNum w:abstractNumId="4">
    <w:nsid w:val="00000004"/>
    <w:multiLevelType w:val="multilevel"/>
    <w:tmpl w:val="FFFFFFFF"/>
    <w:lvl w:ilvl="0">
      <w:start w:val="1"/>
      <w:numFmt w:val="bullet"/>
      <w:lvlText w:val="•"/>
      <w:lvlJc w:val="left"/>
      <w:pPr/>
      <w:rPr>
        <w:color w:val="3370ff"/>
      </w:rPr>
    </w:lvl>
  </w:abstractNum>
  <w:abstractNum w:abstractNumId="5">
    <w:nsid w:val="00000005"/>
    <w:multiLevelType w:val="multilevel"/>
    <w:tmpl w:val="FFFFFFFF"/>
    <w:lvl w:ilvl="0">
      <w:start w:val="1"/>
      <w:numFmt w:val="bullet"/>
      <w:lvlText w:val="•"/>
      <w:lvlJc w:val="left"/>
      <w:pPr/>
      <w:rPr>
        <w:color w:val="3370ff"/>
      </w:rPr>
    </w:lvl>
  </w:abstractNum>
  <w:abstractNum w:abstractNumId="6">
    <w:nsid w:val="00000006"/>
    <w:multiLevelType w:val="multilevel"/>
    <w:tmpl w:val="FFFFFFFF"/>
    <w:lvl w:ilvl="0">
      <w:start w:val="1"/>
      <w:numFmt w:val="bullet"/>
      <w:lvlText w:val="•"/>
      <w:lvlJc w:val="left"/>
      <w:pPr/>
      <w:rPr>
        <w:color w:val="3370ff"/>
      </w:rPr>
    </w:lvl>
  </w:abstractNum>
  <w:abstractNum w:abstractNumId="7">
    <w:nsid w:val="00000007"/>
    <w:multiLevelType w:val="multilevel"/>
    <w:tmpl w:val="FFFFFFFF"/>
    <w:lvl w:ilvl="0">
      <w:start w:val="1"/>
      <w:numFmt w:val="bullet"/>
      <w:lvlText w:val="•"/>
      <w:lvlJc w:val="left"/>
      <w:pPr/>
      <w:rPr>
        <w:color w:val="3370ff"/>
      </w:rPr>
    </w:lvl>
  </w:abstractNum>
  <w:abstractNum w:abstractNumId="8">
    <w:nsid w:val="00000008"/>
    <w:multiLevelType w:val="multilevel"/>
    <w:tmpl w:val="FFFFFFFF"/>
    <w:lvl w:ilvl="0">
      <w:start w:val="1"/>
      <w:numFmt w:val="bullet"/>
      <w:lvlText w:val="•"/>
      <w:lvlJc w:val="left"/>
      <w:pPr/>
      <w:rPr>
        <w:color w:val="3370ff"/>
      </w:rPr>
    </w:lvl>
  </w:abstractNum>
  <w:abstractNum w:abstractNumId="9">
    <w:nsid w:val="00000009"/>
    <w:multiLevelType w:val="multilevel"/>
    <w:tmpl w:val="FFFFFFFF"/>
    <w:lvl w:ilvl="0">
      <w:start w:val="1"/>
      <w:numFmt w:val="bullet"/>
      <w:lvlText w:val="•"/>
      <w:lvlJc w:val="left"/>
      <w:pPr/>
      <w:rPr>
        <w:color w:val="3370ff"/>
      </w:rPr>
    </w:lvl>
  </w:abstractNum>
  <w:abstractNum w:abstractNumId="10">
    <w:nsid w:val="0000000A"/>
    <w:multiLevelType w:val="multilevel"/>
    <w:tmpl w:val="FFFFFFFF"/>
    <w:lvl w:ilvl="0">
      <w:start w:val="3"/>
      <w:numFmt w:val="decimal"/>
      <w:lvlText w:val="%1."/>
      <w:lvlJc w:val="left"/>
      <w:pPr/>
      <w:rPr>
        <w:color w:val="3370ff"/>
      </w:rPr>
    </w:lvl>
  </w:abstractNum>
  <w:abstractNum w:abstractNumId="11">
    <w:nsid w:val="0000000B"/>
    <w:multiLevelType w:val="multilevel"/>
    <w:tmpl w:val="FFFFFFFF"/>
    <w:lvl w:ilvl="0">
      <w:start w:val="4"/>
      <w:numFmt w:val="decimal"/>
      <w:lvlText w:val="%1."/>
      <w:lvlJc w:val="left"/>
      <w:pPr/>
      <w:rPr>
        <w:color w:val="3370ff"/>
      </w:rPr>
    </w:lvl>
  </w:abstractNum>
  <w:abstractNum w:abstractNumId="12">
    <w:nsid w:val="0000000C"/>
    <w:multiLevelType w:val="multilevel"/>
    <w:tmpl w:val="FFFFFFFF"/>
    <w:lvl w:ilvl="0">
      <w:start w:val="1"/>
      <w:numFmt w:val="decimal"/>
      <w:lvlText w:val="%1."/>
      <w:lvlJc w:val="left"/>
      <w:pPr/>
      <w:rPr>
        <w:color w:val="3370ff"/>
      </w:rPr>
    </w:lvl>
  </w:abstractNum>
  <w:abstractNum w:abstractNumId="13">
    <w:nsid w:val="0000000D"/>
    <w:multiLevelType w:val="multilevel"/>
    <w:tmpl w:val="FFFFFFFF"/>
    <w:lvl w:ilvl="0">
      <w:start w:val="2"/>
      <w:numFmt w:val="decimal"/>
      <w:lvlText w:val="%1."/>
      <w:lvlJc w:val="left"/>
      <w:pPr/>
      <w:rPr>
        <w:color w:val="3370ff"/>
      </w:rPr>
    </w:lvl>
  </w:abstractNum>
  <w:abstractNum w:abstractNumId="14">
    <w:nsid w:val="0000000E"/>
    <w:multiLevelType w:val="multilevel"/>
    <w:tmpl w:val="FFFFFFFF"/>
    <w:lvl w:ilvl="0">
      <w:start w:val="3"/>
      <w:numFmt w:val="decimal"/>
      <w:lvlText w:val="%1."/>
      <w:lvlJc w:val="left"/>
      <w:pPr/>
      <w:rPr>
        <w:color w:val="3370ff"/>
      </w:rPr>
    </w:lvl>
  </w:abstractNum>
  <w:abstractNum w:abstractNumId="15">
    <w:nsid w:val="0000000F"/>
    <w:multiLevelType w:val="multilevel"/>
    <w:tmpl w:val="FFFFFFFF"/>
    <w:lvl w:ilvl="0">
      <w:start w:val="1"/>
      <w:numFmt w:val="decimal"/>
      <w:lvlText w:val="%1."/>
      <w:lvlJc w:val="left"/>
      <w:pPr/>
      <w:rPr>
        <w:color w:val="3370ff"/>
      </w:rPr>
    </w:lvl>
  </w:abstractNum>
  <w:abstractNum w:abstractNumId="16">
    <w:nsid w:val="00000010"/>
    <w:multiLevelType w:val="multilevel"/>
    <w:tmpl w:val="FFFFFFFF"/>
    <w:lvl w:ilvl="0">
      <w:start w:val="2"/>
      <w:numFmt w:val="decimal"/>
      <w:lvlText w:val="%1."/>
      <w:lvlJc w:val="left"/>
      <w:pPr/>
      <w:rPr>
        <w:color w:val="3370ff"/>
      </w:rPr>
    </w:lvl>
  </w:abstractNum>
  <w:abstractNum w:abstractNumId="17">
    <w:nsid w:val="00000011"/>
    <w:multiLevelType w:val="multilevel"/>
    <w:tmpl w:val="FFFFFFFF"/>
    <w:lvl w:ilvl="0">
      <w:start w:val="3"/>
      <w:numFmt w:val="decimal"/>
      <w:lvlText w:val="%1."/>
      <w:lvlJc w:val="left"/>
      <w:pPr/>
      <w:rPr>
        <w:color w:val="3370ff"/>
      </w:rPr>
    </w:lvl>
  </w:abstractNum>
  <w:abstractNum w:abstractNumId="18">
    <w:nsid w:val="00000012"/>
    <w:multiLevelType w:val="multilevel"/>
    <w:tmpl w:val="FFFFFFFF"/>
    <w:lvl w:ilvl="0">
      <w:start w:val="1"/>
      <w:numFmt w:val="decimal"/>
      <w:lvlText w:val="%1."/>
      <w:lvlJc w:val="left"/>
      <w:pPr/>
      <w:rPr>
        <w:color w:val="3370ff"/>
      </w:rPr>
    </w:lvl>
  </w:abstractNum>
  <w:abstractNum w:abstractNumId="19">
    <w:nsid w:val="00000013"/>
    <w:multiLevelType w:val="multilevel"/>
    <w:tmpl w:val="FFFFFFFF"/>
    <w:lvl w:ilvl="0">
      <w:start w:val="2"/>
      <w:numFmt w:val="decimal"/>
      <w:lvlText w:val="%1."/>
      <w:lvlJc w:val="left"/>
      <w:pPr/>
      <w:rPr>
        <w:color w:val="3370ff"/>
      </w:rPr>
    </w:lvl>
  </w:abstractNum>
  <w:abstractNum w:abstractNumId="20">
    <w:nsid w:val="00000014"/>
    <w:multiLevelType w:val="multilevel"/>
    <w:tmpl w:val="FFFFFFFF"/>
    <w:lvl w:ilvl="0">
      <w:start w:val="3"/>
      <w:numFmt w:val="decimal"/>
      <w:lvlText w:val="%1."/>
      <w:lvlJc w:val="left"/>
      <w:pPr/>
      <w:rPr>
        <w:color w:val="3370ff"/>
      </w:rPr>
    </w:lvl>
  </w:abstractNum>
  <w:abstractNum w:abstractNumId="21">
    <w:nsid w:val="00000015"/>
    <w:multiLevelType w:val="multilevel"/>
    <w:tmpl w:val="FFFFFFFF"/>
    <w:lvl w:ilvl="0">
      <w:start w:val="4"/>
      <w:numFmt w:val="decimal"/>
      <w:lvlText w:val="%1."/>
      <w:lvlJc w:val="left"/>
      <w:pPr/>
      <w:rPr>
        <w:color w:val="3370ff"/>
      </w:rPr>
    </w:lvl>
  </w:abstractNum>
  <w:abstractNum w:abstractNumId="22">
    <w:nsid w:val="00000016"/>
    <w:multiLevelType w:val="multilevel"/>
    <w:tmpl w:val="FFFFFFFF"/>
    <w:lvl w:ilvl="0">
      <w:start w:val="1"/>
      <w:numFmt w:val="decimal"/>
      <w:lvlText w:val="%1."/>
      <w:lvlJc w:val="left"/>
      <w:pPr/>
      <w:rPr>
        <w:color w:val="3370ff"/>
      </w:rPr>
    </w:lvl>
  </w:abstractNum>
  <w:abstractNum w:abstractNumId="23">
    <w:nsid w:val="00000017"/>
    <w:multiLevelType w:val="multilevel"/>
    <w:tmpl w:val="FFFFFFFF"/>
    <w:lvl w:ilvl="0">
      <w:start w:val="2"/>
      <w:numFmt w:val="decimal"/>
      <w:lvlText w:val="%1."/>
      <w:lvlJc w:val="left"/>
      <w:pPr/>
      <w:rPr>
        <w:color w:val="3370ff"/>
      </w:rPr>
    </w:lvl>
  </w:abstractNum>
  <w:abstractNum w:abstractNumId="24">
    <w:nsid w:val="00000018"/>
    <w:multiLevelType w:val="multilevel"/>
    <w:tmpl w:val="FFFFFFFF"/>
    <w:lvl w:ilvl="0">
      <w:start w:val="3"/>
      <w:numFmt w:val="decimal"/>
      <w:lvlText w:val="%1."/>
      <w:lvlJc w:val="left"/>
      <w:pPr/>
      <w:rPr>
        <w:color w:val="3370ff"/>
      </w:rPr>
    </w:lvl>
  </w:abstractNum>
  <w:abstractNum w:abstractNumId="25">
    <w:nsid w:val="00000019"/>
    <w:multiLevelType w:val="multilevel"/>
    <w:tmpl w:val="FFFFFFFF"/>
    <w:lvl w:ilvl="0">
      <w:start w:val="4"/>
      <w:numFmt w:val="decimal"/>
      <w:lvlText w:val="%1."/>
      <w:lvlJc w:val="left"/>
      <w:pPr/>
      <w:rPr>
        <w:color w:val="3370ff"/>
      </w:rPr>
    </w:lvl>
  </w:abstractNum>
  <w:abstractNum w:abstractNumId="26">
    <w:nsid w:val="0000001A"/>
    <w:multiLevelType w:val="multilevel"/>
    <w:tmpl w:val="FFFFFFFF"/>
    <w:lvl w:ilvl="0">
      <w:start w:val="5"/>
      <w:numFmt w:val="decimal"/>
      <w:lvlText w:val="%1."/>
      <w:lvlJc w:val="left"/>
      <w:pPr/>
      <w:rPr>
        <w:color w:val="3370ff"/>
      </w:rPr>
    </w:lvl>
  </w:abstractNum>
  <w:abstractNum w:abstractNumId="27">
    <w:nsid w:val="0000001B"/>
    <w:multiLevelType w:val="multilevel"/>
    <w:tmpl w:val="FFFFFFFF"/>
    <w:lvl w:ilvl="0">
      <w:start w:val="1"/>
      <w:numFmt w:val="decimal"/>
      <w:lvlText w:val="%1."/>
      <w:lvlJc w:val="left"/>
      <w:pPr/>
      <w:rPr>
        <w:color w:val="3370ff"/>
      </w:rPr>
    </w:lvl>
  </w:abstractNum>
  <w:abstractNum w:abstractNumId="28">
    <w:nsid w:val="0000001C"/>
    <w:multiLevelType w:val="multilevel"/>
    <w:tmpl w:val="FFFFFFFF"/>
    <w:lvl w:ilvl="0">
      <w:start w:val="2"/>
      <w:numFmt w:val="decimal"/>
      <w:lvlText w:val="%1."/>
      <w:lvlJc w:val="left"/>
      <w:pPr/>
      <w:rPr>
        <w:color w:val="3370ff"/>
      </w:rPr>
    </w:lvl>
  </w:abstractNum>
  <w:abstractNum w:abstractNumId="29">
    <w:nsid w:val="0000001D"/>
    <w:multiLevelType w:val="multilevel"/>
    <w:tmpl w:val="FFFFFFFF"/>
    <w:lvl w:ilvl="0">
      <w:start w:val="3"/>
      <w:numFmt w:val="decimal"/>
      <w:lvlText w:val="%1."/>
      <w:lvlJc w:val="left"/>
      <w:pPr/>
      <w:rPr>
        <w:color w:val="3370ff"/>
      </w:rPr>
    </w:lvl>
  </w:abstractNum>
  <w:abstractNum w:abstractNumId="30">
    <w:nsid w:val="0000001E"/>
    <w:multiLevelType w:val="multilevel"/>
    <w:tmpl w:val="FFFFFFFF"/>
    <w:lvl w:ilvl="0">
      <w:start w:val="1"/>
      <w:numFmt w:val="decimal"/>
      <w:lvlText w:val="%1."/>
      <w:lvlJc w:val="left"/>
      <w:pPr/>
      <w:rPr>
        <w:color w:val="3370ff"/>
      </w:rPr>
    </w:lvl>
  </w:abstractNum>
  <w:abstractNum w:abstractNumId="31">
    <w:nsid w:val="0000001F"/>
    <w:multiLevelType w:val="multilevel"/>
    <w:tmpl w:val="FFFFFFFF"/>
    <w:lvl w:ilvl="0">
      <w:start w:val="2"/>
      <w:numFmt w:val="decimal"/>
      <w:lvlText w:val="%1."/>
      <w:lvlJc w:val="left"/>
      <w:pPr/>
      <w:rPr>
        <w:color w:val="3370ff"/>
      </w:rPr>
    </w:lvl>
  </w:abstractNum>
  <w:abstractNum w:abstractNumId="32">
    <w:nsid w:val="00000020"/>
    <w:multiLevelType w:val="multilevel"/>
    <w:tmpl w:val="FFFFFFFF"/>
    <w:lvl w:ilvl="0">
      <w:start w:val="1"/>
      <w:numFmt w:val="bullet"/>
      <w:lvlText w:val="￮"/>
      <w:lvlJc w:val="left"/>
      <w:pPr/>
      <w:rPr>
        <w:color w:val="3370ff"/>
      </w:rPr>
    </w:lvl>
  </w:abstractNum>
  <w:abstractNum w:abstractNumId="33">
    <w:nsid w:val="00000021"/>
    <w:multiLevelType w:val="multilevel"/>
    <w:tmpl w:val="FFFFFFFF"/>
    <w:lvl w:ilvl="0">
      <w:start w:val="1"/>
      <w:numFmt w:val="bullet"/>
      <w:lvlText w:val="￮"/>
      <w:lvlJc w:val="left"/>
      <w:pPr/>
      <w:rPr>
        <w:color w:val="3370ff"/>
      </w:rPr>
    </w:lvl>
  </w:abstractNum>
  <w:abstractNum w:abstractNumId="34">
    <w:nsid w:val="00000022"/>
    <w:multiLevelType w:val="multilevel"/>
    <w:tmpl w:val="FFFFFFFF"/>
    <w:lvl w:ilvl="0">
      <w:start w:val="1"/>
      <w:numFmt w:val="bullet"/>
      <w:lvlText w:val="￮"/>
      <w:lvlJc w:val="left"/>
      <w:pPr/>
      <w:rPr>
        <w:color w:val="3370ff"/>
      </w:rPr>
    </w:lvl>
  </w:abstractNum>
  <w:abstractNum w:abstractNumId="35">
    <w:nsid w:val="00000023"/>
    <w:multiLevelType w:val="multilevel"/>
    <w:tmpl w:val="FFFFFFFF"/>
    <w:lvl w:ilvl="0">
      <w:start w:val="3"/>
      <w:numFmt w:val="decimal"/>
      <w:lvlText w:val="%1."/>
      <w:lvlJc w:val="left"/>
      <w:pPr/>
      <w:rPr>
        <w:color w:val="3370ff"/>
      </w:rPr>
    </w:lvl>
  </w:abstractNum>
  <w:abstractNum w:abstractNumId="36">
    <w:nsid w:val="00000024"/>
    <w:multiLevelType w:val="multilevel"/>
    <w:tmpl w:val="FFFFFFFF"/>
    <w:lvl w:ilvl="0">
      <w:start w:val="1"/>
      <w:numFmt w:val="decimal"/>
      <w:lvlText w:val="%1."/>
      <w:lvlJc w:val="left"/>
      <w:pPr/>
      <w:rPr>
        <w:color w:val="3370ff"/>
      </w:rPr>
    </w:lvl>
  </w:abstractNum>
  <w:abstractNum w:abstractNumId="37">
    <w:nsid w:val="00000025"/>
    <w:multiLevelType w:val="multilevel"/>
    <w:tmpl w:val="FFFFFFFF"/>
    <w:lvl w:ilvl="0">
      <w:start w:val="2"/>
      <w:numFmt w:val="decimal"/>
      <w:lvlText w:val="%1."/>
      <w:lvlJc w:val="left"/>
      <w:pPr/>
      <w:rPr>
        <w:color w:val="3370ff"/>
      </w:rPr>
    </w:lvl>
  </w:abstractNum>
  <w:abstractNum w:abstractNumId="38">
    <w:nsid w:val="00000026"/>
    <w:multiLevelType w:val="multilevel"/>
    <w:tmpl w:val="FFFFFFFF"/>
    <w:lvl w:ilvl="0">
      <w:start w:val="3"/>
      <w:numFmt w:val="decimal"/>
      <w:lvlText w:val="%1."/>
      <w:lvlJc w:val="left"/>
      <w:pPr/>
      <w:rPr>
        <w:color w:val="3370ff"/>
      </w:rPr>
    </w:lvl>
  </w:abstractNum>
  <w:abstractNum w:abstractNumId="39">
    <w:nsid w:val="00000027"/>
    <w:multiLevelType w:val="multilevel"/>
    <w:tmpl w:val="FFFFFFFF"/>
    <w:lvl w:ilvl="0">
      <w:start w:val="1"/>
      <w:numFmt w:val="decimal"/>
      <w:lvlText w:val="%1."/>
      <w:lvlJc w:val="left"/>
      <w:pPr/>
      <w:rPr>
        <w:color w:val="3370ff"/>
      </w:rPr>
    </w:lvl>
  </w:abstractNum>
  <w:abstractNum w:abstractNumId="40">
    <w:nsid w:val="00000028"/>
    <w:multiLevelType w:val="multilevel"/>
    <w:tmpl w:val="FFFFFFFF"/>
    <w:lvl w:ilvl="0">
      <w:start w:val="1"/>
      <w:numFmt w:val="bullet"/>
      <w:lvlText w:val="￮"/>
      <w:lvlJc w:val="left"/>
      <w:pPr/>
      <w:rPr>
        <w:color w:val="3370ff"/>
      </w:rPr>
    </w:lvl>
  </w:abstractNum>
  <w:abstractNum w:abstractNumId="41">
    <w:nsid w:val="00000029"/>
    <w:multiLevelType w:val="multilevel"/>
    <w:tmpl w:val="FFFFFFFF"/>
    <w:lvl w:ilvl="0">
      <w:start w:val="1"/>
      <w:numFmt w:val="bullet"/>
      <w:lvlText w:val="￮"/>
      <w:lvlJc w:val="left"/>
      <w:pPr/>
      <w:rPr>
        <w:color w:val="3370ff"/>
      </w:rPr>
    </w:lvl>
  </w:abstractNum>
  <w:abstractNum w:abstractNumId="42">
    <w:nsid w:val="0000002A"/>
    <w:multiLevelType w:val="multilevel"/>
    <w:tmpl w:val="FFFFFFFF"/>
    <w:lvl w:ilvl="0">
      <w:start w:val="1"/>
      <w:numFmt w:val="bullet"/>
      <w:lvlText w:val="￮"/>
      <w:lvlJc w:val="left"/>
      <w:pPr/>
      <w:rPr>
        <w:color w:val="3370ff"/>
      </w:rPr>
    </w:lvl>
  </w:abstractNum>
  <w:abstractNum w:abstractNumId="43">
    <w:nsid w:val="0000002B"/>
    <w:multiLevelType w:val="multilevel"/>
    <w:tmpl w:val="FFFFFFFF"/>
    <w:lvl w:ilvl="0">
      <w:start w:val="1"/>
      <w:numFmt w:val="bullet"/>
      <w:lvlText w:val="￮"/>
      <w:lvlJc w:val="left"/>
      <w:pPr/>
      <w:rPr>
        <w:color w:val="3370ff"/>
      </w:rPr>
    </w:lvl>
  </w:abstractNum>
  <w:abstractNum w:abstractNumId="44">
    <w:nsid w:val="0000002C"/>
    <w:multiLevelType w:val="multilevel"/>
    <w:tmpl w:val="FFFFFFFF"/>
    <w:lvl w:ilvl="0">
      <w:start w:val="2"/>
      <w:numFmt w:val="decimal"/>
      <w:lvlText w:val="%1."/>
      <w:lvlJc w:val="left"/>
      <w:pPr/>
      <w:rPr>
        <w:color w:val="3370ff"/>
      </w:rPr>
    </w:lvl>
  </w:abstractNum>
  <w:abstractNum w:abstractNumId="45">
    <w:nsid w:val="0000002D"/>
    <w:multiLevelType w:val="multilevel"/>
    <w:tmpl w:val="FFFFFFFF"/>
    <w:lvl w:ilvl="0">
      <w:start w:val="3"/>
      <w:numFmt w:val="decimal"/>
      <w:lvlText w:val="%1."/>
      <w:lvlJc w:val="left"/>
      <w:pPr/>
      <w:rPr>
        <w:color w:val="3370ff"/>
      </w:rPr>
    </w:lvl>
  </w:abstractNum>
  <w:abstractNum w:abstractNumId="46">
    <w:nsid w:val="0000002E"/>
    <w:multiLevelType w:val="multilevel"/>
    <w:tmpl w:val="FFFFFFFF"/>
    <w:lvl w:ilvl="0">
      <w:start w:val="4"/>
      <w:numFmt w:val="decimal"/>
      <w:lvlText w:val="%1."/>
      <w:lvlJc w:val="left"/>
      <w:pPr/>
      <w:rPr>
        <w:color w:val="3370ff"/>
      </w:rPr>
    </w:lvl>
  </w:abstractNum>
  <w:abstractNum w:abstractNumId="47">
    <w:nsid w:val="0000002F"/>
    <w:multiLevelType w:val="multilevel"/>
    <w:tmpl w:val="FFFFFFFF"/>
    <w:lvl w:ilvl="0">
      <w:start w:val="1"/>
      <w:numFmt w:val="decimal"/>
      <w:lvlText w:val="%1."/>
      <w:lvlJc w:val="left"/>
      <w:pPr/>
      <w:rPr>
        <w:color w:val="3370ff"/>
      </w:rPr>
    </w:lvl>
  </w:abstractNum>
  <w:abstractNum w:abstractNumId="48">
    <w:nsid w:val="00000030"/>
    <w:multiLevelType w:val="multilevel"/>
    <w:tmpl w:val="FFFFFFFF"/>
    <w:lvl w:ilvl="0">
      <w:start w:val="2"/>
      <w:numFmt w:val="decimal"/>
      <w:lvlText w:val="%1."/>
      <w:lvlJc w:val="left"/>
      <w:pPr/>
      <w:rPr>
        <w:color w:val="3370ff"/>
      </w:rPr>
    </w:lvl>
  </w:abstractNum>
  <w:abstractNum w:abstractNumId="49">
    <w:nsid w:val="00000031"/>
    <w:multiLevelType w:val="multilevel"/>
    <w:tmpl w:val="FFFFFFFF"/>
    <w:lvl w:ilvl="0">
      <w:start w:val="3"/>
      <w:numFmt w:val="decimal"/>
      <w:lvlText w:val="%1."/>
      <w:lvlJc w:val="left"/>
      <w:pPr/>
      <w:rPr>
        <w:color w:val="3370ff"/>
      </w:rPr>
    </w:lvl>
  </w:abstractNum>
  <w:abstractNum w:abstractNumId="50">
    <w:nsid w:val="00000032"/>
    <w:multiLevelType w:val="multilevel"/>
    <w:tmpl w:val="FFFFFFFF"/>
    <w:lvl w:ilvl="0">
      <w:start w:val="1"/>
      <w:numFmt w:val="decimal"/>
      <w:lvlText w:val="%1."/>
      <w:lvlJc w:val="left"/>
      <w:pPr/>
      <w:rPr>
        <w:color w:val="3370ff"/>
      </w:rPr>
    </w:lvl>
  </w:abstractNum>
  <w:abstractNum w:abstractNumId="51">
    <w:nsid w:val="00000033"/>
    <w:multiLevelType w:val="multilevel"/>
    <w:tmpl w:val="FFFFFFFF"/>
    <w:lvl w:ilvl="0">
      <w:start w:val="2"/>
      <w:numFmt w:val="decimal"/>
      <w:lvlText w:val="%1."/>
      <w:lvlJc w:val="left"/>
      <w:pPr/>
      <w:rPr>
        <w:color w:val="3370ff"/>
      </w:rPr>
    </w:lvl>
  </w:abstractNum>
  <w:abstractNum w:abstractNumId="52">
    <w:nsid w:val="00000034"/>
    <w:multiLevelType w:val="multilevel"/>
    <w:tmpl w:val="FFFFFFFF"/>
    <w:lvl w:ilvl="0">
      <w:start w:val="3"/>
      <w:numFmt w:val="decimal"/>
      <w:lvlText w:val="%1."/>
      <w:lvlJc w:val="left"/>
      <w:pPr/>
      <w:rPr>
        <w:color w:val="3370ff"/>
      </w:rPr>
    </w:lvl>
  </w:abstractNum>
  <w:abstractNum w:abstractNumId="53">
    <w:nsid w:val="00000035"/>
    <w:multiLevelType w:val="multilevel"/>
    <w:tmpl w:val="FFFFFFFF"/>
    <w:lvl w:ilvl="0">
      <w:start w:val="1"/>
      <w:numFmt w:val="decimal"/>
      <w:lvlText w:val="%1."/>
      <w:lvlJc w:val="left"/>
      <w:pPr/>
      <w:rPr>
        <w:color w:val="3370ff"/>
      </w:rPr>
    </w:lvl>
  </w:abstractNum>
  <w:abstractNum w:abstractNumId="54">
    <w:nsid w:val="00000036"/>
    <w:multiLevelType w:val="multilevel"/>
    <w:tmpl w:val="FFFFFFFF"/>
    <w:lvl w:ilvl="0">
      <w:start w:val="2"/>
      <w:numFmt w:val="decimal"/>
      <w:lvlText w:val="%1."/>
      <w:lvlJc w:val="left"/>
      <w:pPr/>
      <w:rPr>
        <w:color w:val="3370ff"/>
      </w:rPr>
    </w:lvl>
  </w:abstractNum>
  <w:abstractNum w:abstractNumId="55">
    <w:nsid w:val="00000037"/>
    <w:multiLevelType w:val="multilevel"/>
    <w:tmpl w:val="FFFFFFFF"/>
    <w:lvl w:ilvl="0">
      <w:start w:val="3"/>
      <w:numFmt w:val="decimal"/>
      <w:lvlText w:val="%1."/>
      <w:lvlJc w:val="left"/>
      <w:pPr/>
      <w:rPr>
        <w:color w:val="3370ff"/>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8416</Words>
  <Characters>10166</Characters>
  <Application>WPS Office</Application>
  <Paragraphs>180</Paragraphs>
  <CharactersWithSpaces>10343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2026-02-14T15:08:59Z</dcterms:created>
  <dc:creator>Apache POI</dc:creator>
  <lastModifiedBy>CET-AL60</lastModifiedBy>
  <dcterms:modified xsi:type="dcterms:W3CDTF">2026-02-14T15:09:52Z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1af3a1422660494f9a20f0b6a1347182_23</vt:lpwstr>
  </property>
</Properties>
</file>