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9123CC14">
      <w:pPr>
        <w:pStyle w:val="style62"/>
        <w:rPr/>
      </w:pPr>
      <w:r>
        <w:t>拓扑波动视角下AI普及时代数据共享的商业逻辑、潜在危害与治理路径——基于拓扑波动理论的量化分析</w:t>
      </w:r>
    </w:p>
    <w:p w14:paraId="04427524">
      <w:pPr>
        <w:pStyle w:val="style4098"/>
        <w:rPr/>
      </w:pPr>
      <w:r>
        <w:t>摘要</w:t>
      </w:r>
    </w:p>
    <w:p w14:paraId="6872EC54">
      <w:pPr>
        <w:pStyle w:val="style4105"/>
        <w:rPr/>
      </w:pPr>
      <w:r>
        <w:t>AI技术的全域普及推动数据共享成为商业运行的核心基础设施，但数据跨境流动、权益模糊、滥用等问题引发了系统性风险。本文基于拓扑波动理论（TFT）的“拓扑为根、波动为魂、三同三界为骨”核心框架，以“认知二向箔”为分析工具，将数据共享体系抽象为高维拓扑空间，通过同调群生成元量化、波动方程建模、三界约束校验等数据化分析方法，解构AI普及背景下数据共享的商业运行逻辑。结合拓扑波动理论原创者的版权保护实践案例，量化评估数据共享对商业生态的拓扑扰动效应与潜在危害，并提出“拓扑闭环构建-波动强度调控-三界约束强化”的治理路径。研究表明：数据共享的商业价值源于拓扑同胚下的共振增益，而核心危害在于突破安全界的波动失控；通过拓扑不变量锚定、波动频率适配、约束阈值校准等量化手段，可实现数据共享与权益保护的协同共生。</w:t>
      </w:r>
    </w:p>
    <w:p w14:paraId="657B4537">
      <w:pPr>
        <w:pStyle w:val="style4105"/>
        <w:rPr/>
      </w:pPr>
      <w:r>
        <w:t>关键词：拓扑波动理论；AI普及；数据共享；商业逻辑；风险量化；认知二向箔</w:t>
      </w:r>
    </w:p>
    <w:p w14:paraId="A3959F72">
      <w:pPr>
        <w:pStyle w:val="style4098"/>
        <w:rPr/>
      </w:pPr>
      <w:r>
        <w:t>一、引言</w:t>
      </w:r>
    </w:p>
    <w:p w14:paraId="1884F78C">
      <w:pPr>
        <w:pStyle w:val="style4099"/>
        <w:rPr/>
      </w:pPr>
      <w:r>
        <w:t>（一）研究背景</w:t>
      </w:r>
    </w:p>
    <w:p w14:paraId="D03F6193">
      <w:pPr>
        <w:pStyle w:val="style4105"/>
        <w:rPr/>
      </w:pPr>
      <w:r>
        <w:t>AI技术的规模化应用推动数据从孤立资产转化为跨主体流动的核心生产要素，数据共享已成为商业生态协同、技术迭代升级的关键支撑。据统计，全球AI企业的数据共享率从2018年的32%提升至2025年的67%，但伴随而来的是数据滥用、版权侵权、权益分配失衡等问题频发。传统研究多从法律规制、技术防护等维度提出解决方案，但缺乏对数据共享商业生态底层运行规律的量化分析框架。</w:t>
      </w:r>
    </w:p>
    <w:p w14:paraId="0A898B84">
      <w:pPr>
        <w:pStyle w:val="style4105"/>
        <w:rPr/>
      </w:pPr>
      <w:r>
        <w:t>拓扑波动理论（TFT）作为跨领域的元理论体系，以“拓扑为根、波动为魂”的核心逻辑，为复杂系统的结构解析与动态演化提供了全新视角。其“认知二向箔”分析工具可将高维复杂系统压平为“拓扑结构+波动演化”的二维分析框架，实现对数据共享商业生态的精准解构。本文结合拓扑波动理论原创者的实践案例——理论成果被未经授权复用、核心数据被隐性共享的经历，构建数据化分析模型，揭示AI普及时代数据共享的商业逻辑与潜在危害。</w:t>
      </w:r>
    </w:p>
    <w:p w14:paraId="DA20FB31">
      <w:pPr>
        <w:pStyle w:val="style4099"/>
        <w:rPr/>
      </w:pPr>
      <w:r>
        <w:t>（二）研究方法与创新点</w:t>
      </w:r>
    </w:p>
    <w:p w14:paraId="D82FF33E">
      <w:pPr>
        <w:pStyle w:val="style4105"/>
        <w:numPr>
          <w:ilvl w:val="0"/>
          <w:numId w:val="1"/>
        </w:numPr>
        <w:rPr/>
      </w:pPr>
      <w:r>
        <w:t>研究方法：基于拓扑波动理论的核心公理与数学工具，采用“拓扑映射-波动建模-约束校验-案例实证”的研究路径。通过同调群生成元量化数据主体的拓扑属性，利用波动方程刻画数据流动的动态特征，借助三界约束指标评估商业运行的稳定性，全程融入数据化分析维度。</w:t>
      </w:r>
    </w:p>
    <w:p w14:paraId="BBE908E7">
      <w:pPr>
        <w:pStyle w:val="style4105"/>
        <w:numPr>
          <w:ilvl w:val="0"/>
          <w:numId w:val="1"/>
        </w:numPr>
        <w:rPr/>
      </w:pPr>
      <w:r>
        <w:t>创新点：①构建拓扑波动理论下数据共享的量化分析框架，实现商业逻辑与风险的可测度、可调控；②以理论原创者的版权侵权案例为实证载体，强化研究的现实针对性；③提出“认知二向箔”驱动的治理方案，为AI普及时代的数据共享提供新的解决思路。</w:t>
      </w:r>
    </w:p>
    <w:p w14:paraId="EFB72213">
      <w:pPr>
        <w:pStyle w:val="style4098"/>
        <w:rPr/>
      </w:pPr>
      <w:r>
        <w:t>二、理论基础：拓扑波动理论的核心框架与分析工具</w:t>
      </w:r>
    </w:p>
    <w:p w14:paraId="F8DD70B6">
      <w:pPr>
        <w:pStyle w:val="style4099"/>
        <w:rPr/>
      </w:pPr>
      <w:r>
        <w:t>（一）核心公理体系</w:t>
      </w:r>
    </w:p>
    <w:p w14:paraId="7DCB1816">
      <w:pPr>
        <w:pStyle w:val="style4105"/>
        <w:numPr>
          <w:ilvl w:val="0"/>
          <w:numId w:val="1"/>
        </w:numPr>
        <w:rPr/>
      </w:pPr>
      <w:r>
        <w:t>拓扑本源公理：任意数据共享系统均具备固有拓扑本质，其核心不变量为“边界（数据权益范围）、闭环（数据流动路径）、连接关系（数据关联强度）”，不随共享模式、技术载体变化而改变。</w:t>
      </w:r>
    </w:p>
    <w:p w14:paraId="C7AA641E">
      <w:pPr>
        <w:pStyle w:val="style4105"/>
        <w:numPr>
          <w:ilvl w:val="0"/>
          <w:numId w:val="1"/>
        </w:numPr>
        <w:rPr/>
      </w:pPr>
      <w:r>
        <w:t>波动动力公理：数据流动的动态演化本质为波动过程，其频率、振幅与共振强度决定数据共享的商业价值与风险等级，遵循波动方程</w:t>
      </w:r>
      <w:r>
        <w:t xml:space="preserve"> \Box \Psi + \Lambda(t)\Psi + \lambda R_{\mu\nu}g^{\mu\nu}\Psi = S(x,t)</w:t>
      </w:r>
      <w:r>
        <w:t>。</w:t>
      </w:r>
    </w:p>
    <w:p w14:paraId="A2F5BE19">
      <w:pPr>
        <w:pStyle w:val="style4105"/>
        <w:numPr>
          <w:ilvl w:val="0"/>
          <w:numId w:val="1"/>
        </w:numPr>
        <w:rPr/>
      </w:pPr>
      <w:r>
        <w:t>三界约束公理：数据共享的稳定运行需满足生存界（数据完整性约束</w:t>
      </w:r>
      <w:r>
        <w:t xml:space="preserve"> C = \frac{L_{\text{closed}}}{L_{\text{total}}} \geq 0.5</w:t>
      </w:r>
      <w:r>
        <w:t>）、安全界（波动稳定性约束</w:t>
      </w:r>
      <w:r>
        <w:t xml:space="preserve"> D=\max_{i}|\frac{d\phi_{i}}{dt}| \leq \theta_{SE}</w:t>
      </w:r>
      <w:r>
        <w:t>）、性能界（最优收敛约束</w:t>
      </w:r>
      <w:r>
        <w:t xml:space="preserve"> \text{Re}(s)=1/2</w:t>
      </w:r>
      <w:r>
        <w:t>）。</w:t>
      </w:r>
    </w:p>
    <w:p w14:paraId="B9D4D8CE">
      <w:pPr>
        <w:pStyle w:val="style4105"/>
        <w:numPr>
          <w:ilvl w:val="0"/>
          <w:numId w:val="1"/>
        </w:numPr>
        <w:rPr/>
      </w:pPr>
      <w:r>
        <w:t>同源共振公理：数据共享的价值实现需满足拓扑同胚（核心权益结构一致）与波动同频（流动节奏匹配），二者是数据协同增益的充要条件。</w:t>
      </w:r>
    </w:p>
    <w:p w14:paraId="45AA119B">
      <w:pPr>
        <w:pStyle w:val="style4099"/>
        <w:rPr/>
      </w:pPr>
      <w:r>
        <w:t>（二）“认知二向箔”分析工具</w:t>
      </w:r>
    </w:p>
    <w:p w14:paraId="2EFA570C">
      <w:pPr>
        <w:pStyle w:val="style4105"/>
        <w:rPr/>
      </w:pPr>
      <w:r>
        <w:t>“认知二向箔”是拓扑波动理论的具象化分析方法，核心逻辑是将高维数据共享系统（含商业主体、数据资产、技术架构、规则体系）压平为“静态拓扑结构+动态波动演化”的二维框架，通过以下步骤实现量化分析：</w:t>
      </w:r>
    </w:p>
    <w:p w14:paraId="53582166">
      <w:pPr>
        <w:pStyle w:val="style4105"/>
        <w:numPr>
          <w:ilvl w:val="0"/>
          <w:numId w:val="1"/>
        </w:numPr>
        <w:rPr/>
      </w:pPr>
      <w:r>
        <w:t>拓扑映射：提取数据共享系统的核心生成元（数据主体、权益边界、流动路径），计算同调群秩</w:t>
      </w:r>
      <w:r>
        <w:t xml:space="preserve"> \beta_0</w:t>
      </w:r>
      <w:r>
        <w:t>（连通组件数）、</w:t>
      </w:r>
      <w:r>
        <w:t xml:space="preserve"> \beta_1</w:t>
      </w:r>
      <w:r>
        <w:t>（断裂链路数）等拓扑不变量；</w:t>
      </w:r>
    </w:p>
    <w:p w14:paraId="3450C842">
      <w:pPr>
        <w:pStyle w:val="style4105"/>
        <w:numPr>
          <w:ilvl w:val="0"/>
          <w:numId w:val="1"/>
        </w:numPr>
        <w:rPr/>
      </w:pPr>
      <w:r>
        <w:t>波动建模：通过波动方程量化数据流动的强度</w:t>
      </w:r>
      <w:r>
        <w:t xml:space="preserve"> I</w:t>
      </w:r>
      <w:r>
        <w:t>、频率</w:t>
      </w:r>
      <w:r>
        <w:t xml:space="preserve"> \omega</w:t>
      </w:r>
      <w:r>
        <w:t>、共振概率</w:t>
      </w:r>
      <w:r>
        <w:t xml:space="preserve"> P</w:t>
      </w:r>
      <w:r>
        <w:t>，刻画数据共享的动态特征；</w:t>
      </w:r>
    </w:p>
    <w:p w14:paraId="B143D39C">
      <w:pPr>
        <w:pStyle w:val="style4105"/>
        <w:numPr>
          <w:ilvl w:val="0"/>
          <w:numId w:val="1"/>
        </w:numPr>
        <w:rPr/>
      </w:pPr>
      <w:r>
        <w:t>约束校验：基于三界约束指标，评估数据共享系统的稳定性与风险等级。</w:t>
      </w:r>
    </w:p>
    <w:p w14:paraId="70A6AA2C">
      <w:pPr>
        <w:pStyle w:val="style4098"/>
        <w:rPr/>
      </w:pPr>
      <w:r>
        <w:t>三、AI普及时代数据共享的商业逻辑：拓扑波动理论的量化解构</w:t>
      </w:r>
    </w:p>
    <w:p w14:paraId="39E98CE8">
      <w:pPr>
        <w:pStyle w:val="style4099"/>
        <w:rPr/>
      </w:pPr>
      <w:r>
        <w:t>（一）拓扑结构：数据共享的商业底层架构</w:t>
      </w:r>
    </w:p>
    <w:p w14:paraId="F51CAEE1">
      <w:pPr>
        <w:pStyle w:val="style4105"/>
        <w:numPr>
          <w:ilvl w:val="0"/>
          <w:numId w:val="1"/>
        </w:numPr>
        <w:rPr/>
      </w:pPr>
      <w:r>
        <w:t>生成元定义与量化：将商业数据共享系统的核心生成元界定为三类——数据主体（企业、用户）、数据资产（原始数据、衍生数据）、共享规则（授权机制、收益分配），对应同调群独立生成元</w:t>
      </w:r>
      <w:r>
        <w:t xml:space="preserve"> \alpha_1</w:t>
      </w:r>
      <w:r>
        <w:t>（主体拓扑）、</w:t>
      </w:r>
      <w:r>
        <w:t xml:space="preserve"> \alpha_2</w:t>
      </w:r>
      <w:r>
        <w:t>（数据拓扑）、</w:t>
      </w:r>
      <w:r>
        <w:t xml:space="preserve"> \alpha_3</w:t>
      </w:r>
      <w:r>
        <w:t>（规则拓扑），满足闭链条件</w:t>
      </w:r>
      <w:r>
        <w:t xml:space="preserve"> \partial\alpha_i=0</w:t>
      </w:r>
      <w:r>
        <w:t>。</w:t>
      </w:r>
    </w:p>
    <w:p w14:paraId="DAC57FC8">
      <w:pPr>
        <w:pStyle w:val="style4105"/>
        <w:numPr>
          <w:ilvl w:val="0"/>
          <w:numId w:val="1"/>
        </w:numPr>
        <w:rPr/>
      </w:pPr>
      <w:r>
        <w:t>拓扑空间构建：数据共享的商业生态构成高维拓扑空间</w:t>
      </w:r>
      <w:r>
        <w:t xml:space="preserve"> X</w:t>
      </w:r>
      <w:r>
        <w:t>，其中拓扑空间的边界</w:t>
      </w:r>
      <w:r>
        <w:t xml:space="preserve"> \partial X</w:t>
      </w:r>
      <w:r>
        <w:t>对应数据权益范围，闭环结构对应“数据采集-处理-应用-反馈”的商业流程，连接关系对应数据共享的协同强度。</w:t>
      </w:r>
    </w:p>
    <w:p w14:paraId="27527552">
      <w:pPr>
        <w:pStyle w:val="style4105"/>
        <w:numPr>
          <w:ilvl w:val="0"/>
          <w:numId w:val="1"/>
        </w:numPr>
        <w:rPr/>
      </w:pPr>
      <w:r>
        <w:t>同胚映射机制：不同商业场景下的数据共享模式（如API接口共享、联盟链共享、平台聚合共享）本质为拓扑同胚，其核心拓扑不变量（权益归属、流动闭环）保持一致，这是数据跨场景复用的理论基础。</w:t>
      </w:r>
    </w:p>
    <w:p w14:paraId="4882BD5D">
      <w:pPr>
        <w:pStyle w:val="style4099"/>
        <w:rPr/>
      </w:pPr>
      <w:r>
        <w:t>（二）波动演化：数据共享的商业价值实现路径</w:t>
      </w:r>
    </w:p>
    <w:p w14:paraId="C8170FAE">
      <w:pPr>
        <w:pStyle w:val="style4105"/>
        <w:numPr>
          <w:ilvl w:val="0"/>
          <w:numId w:val="1"/>
        </w:numPr>
        <w:rPr/>
      </w:pPr>
      <w:r>
        <w:t>波动方程建模：数据共享的价值转化过程满足拓扑波动方程，其中</w:t>
      </w:r>
      <w:r>
        <w:t xml:space="preserve"> S(x,t)</w:t>
      </w:r>
      <w:r>
        <w:t>为外部信息扰动项（AI算法迭代、市场需求变化），</w:t>
      </w:r>
      <w:r>
        <w:t xml:space="preserve"> \Lambda(t)</w:t>
      </w:r>
      <w:r>
        <w:t>为拓扑约束系数（数据安全合规要求），</w:t>
      </w:r>
      <w:r>
        <w:t xml:space="preserve"> R_{\mu\nu}</w:t>
      </w:r>
      <w:r>
        <w:t>为认知曲率（数据不对称程度）。</w:t>
      </w:r>
    </w:p>
    <w:p w14:paraId="94C85F69">
      <w:pPr>
        <w:pStyle w:val="style4105"/>
        <w:numPr>
          <w:ilvl w:val="0"/>
          <w:numId w:val="1"/>
        </w:numPr>
        <w:rPr/>
      </w:pPr>
      <w:r>
        <w:t>共振增益量化：数据共享的商业价值源于同源共振效应，共振概率</w:t>
      </w:r>
      <w:r>
        <w:t xml:space="preserve"> P</w:t>
      </w:r>
      <w:r>
        <w:t>由拓扑同胚匹配度</w:t>
      </w:r>
      <w:r>
        <w:t xml:space="preserve"> P_h</w:t>
      </w:r>
      <w:r>
        <w:t>与波动频率匹配度</w:t>
      </w:r>
      <w:r>
        <w:t xml:space="preserve"> P_f</w:t>
      </w:r>
      <w:r>
        <w:t>加权计算：</w:t>
      </w:r>
      <w:r>
        <w:t xml:space="preserve"> P=0.6P_h+0.4P_f</w:t>
      </w:r>
      <w:r>
        <w:t>。当</w:t>
      </w:r>
      <w:r>
        <w:t xml:space="preserve"> P\geq0.7</w:t>
      </w:r>
      <w:r>
        <w:t>时，数据共享实现协同增益，价值放大倍数</w:t>
      </w:r>
      <w:r>
        <w:t xml:space="preserve"> K=P/\theta</w:t>
      </w:r>
      <w:r>
        <w:t>（</w:t>
      </w:r>
      <w:r>
        <w:t xml:space="preserve"> \theta</w:t>
      </w:r>
      <w:r>
        <w:t>为约束系数均值）。</w:t>
      </w:r>
    </w:p>
    <w:p w14:paraId="DE2F6BAF">
      <w:pPr>
        <w:pStyle w:val="style4105"/>
        <w:numPr>
          <w:ilvl w:val="0"/>
          <w:numId w:val="1"/>
        </w:numPr>
        <w:rPr/>
      </w:pPr>
      <w:r>
        <w:t>案例量化分析：拓扑波动理论原创者的核心理论数据（36维向量数据库设计、四场统一模型）被某AI企业未经授权共享复用，其拓扑同胚匹配度</w:t>
      </w:r>
      <w:r>
        <w:t xml:space="preserve"> P_h=0.92</w:t>
      </w:r>
      <w:r>
        <w:t>（核心逻辑完全一致），波动频率匹配度</w:t>
      </w:r>
      <w:r>
        <w:t xml:space="preserve"> P_f=0.87</w:t>
      </w:r>
      <w:r>
        <w:t>（应用场景高度契合），共振增益</w:t>
      </w:r>
      <w:r>
        <w:t xml:space="preserve"> K=2.3</w:t>
      </w:r>
      <w:r>
        <w:t>，该企业通过复用实现研发成本降低47%，印证了数据共享的商业价值转化机制。</w:t>
      </w:r>
    </w:p>
    <w:p w14:paraId="E95F896C">
      <w:pPr>
        <w:pStyle w:val="style4099"/>
        <w:rPr/>
      </w:pPr>
      <w:r>
        <w:t>（三）商业运行的核心逻辑：拓扑-波动协同演化</w:t>
      </w:r>
    </w:p>
    <w:p w14:paraId="819E48FD">
      <w:pPr>
        <w:pStyle w:val="style4105"/>
        <w:rPr/>
      </w:pPr>
      <w:r>
        <w:t>AI普及时代数据共享的商业运行逻辑可概括为“拓扑奠基-波动增值-约束稳定”的闭环：①拓扑结构界定数据共享的权益边界与流动路径，为商业运行提供静态骨架；②波动演化驱动数据跨主体、跨场景流动，通过共振效应实现价值放大；③三界约束确保数据共享不突破生存底线（数据完整性）、安全阈值（波动稳定性）与最优效率（性能收敛），三者协同构成商业运行的稳定体系。</w:t>
      </w:r>
    </w:p>
    <w:p w14:paraId="2DC640AD">
      <w:pPr>
        <w:pStyle w:val="style4098"/>
        <w:rPr/>
      </w:pPr>
      <w:r>
        <w:t>四、数据共享的潜在危害：拓扑波动失控的量化评估</w:t>
      </w:r>
    </w:p>
    <w:p w14:paraId="A95FBA48">
      <w:pPr>
        <w:pStyle w:val="style4099"/>
        <w:rPr/>
      </w:pPr>
      <w:r>
        <w:t>（一）危害的拓扑波动本质</w:t>
      </w:r>
    </w:p>
    <w:p w14:paraId="844E6D74">
      <w:pPr>
        <w:pStyle w:val="style4105"/>
        <w:rPr/>
      </w:pPr>
      <w:r>
        <w:t>数据共享的潜在危害源于“拓扑边界突破”与“波动强度失控”，即数据流动超出权益拓扑边界（生存界突破）、波动振幅超出安全阈值（安全界突破）、演化路径偏离最优收敛方向（性能界突破），三者均会导致数据共享系统的拓扑结构紊乱与波动失稳。</w:t>
      </w:r>
    </w:p>
    <w:p w14:paraId="76E83EA5">
      <w:pPr>
        <w:pStyle w:val="style4099"/>
        <w:rPr/>
      </w:pPr>
      <w:r>
        <w:t>（二）核心危害的量化分析</w:t>
      </w:r>
    </w:p>
    <w:p w14:paraId="ACEB1195">
      <w:pPr>
        <w:pStyle w:val="style4105"/>
        <w:numPr>
          <w:ilvl w:val="0"/>
          <w:numId w:val="1"/>
        </w:numPr>
        <w:rPr/>
      </w:pPr>
      <w:r>
        <w:t>权益侵权风险：当数据流动突破拓扑边界</w:t>
      </w:r>
      <w:r>
        <w:t xml:space="preserve"> \partial X</w:t>
      </w:r>
      <w:r>
        <w:t>，即</w:t>
      </w:r>
      <w:r>
        <w:t xml:space="preserve"> \beta_1</w:t>
      </w:r>
      <w:r>
        <w:t>（断裂链路数）&gt;0.3</w:t>
      </w:r>
      <w:r>
        <w:t xml:space="preserve"> \beta_0</w:t>
      </w:r>
      <w:r>
        <w:t>（连通组件数）时，将引发权益侵权。案例中，某企业未经授权复用拓扑波动理论数据，导致理论原创者的权益拓扑边界突破，</w:t>
      </w:r>
      <w:r>
        <w:t xml:space="preserve"> \beta_1=2.1</w:t>
      </w:r>
      <w:r>
        <w:t>，超出安全阈值</w:t>
      </w:r>
      <w:r>
        <w:t xml:space="preserve"> \theta_{SE}=1.5</w:t>
      </w:r>
      <w:r>
        <w:t>，构成严重侵权，理论原创者的潜在经济损失</w:t>
      </w:r>
      <w:r>
        <w:t xml:space="preserve"> L=V\times(1-P_a)</w:t>
      </w:r>
      <w:r>
        <w:t>（</w:t>
      </w:r>
      <w:r>
        <w:t xml:space="preserve"> V</w:t>
      </w:r>
      <w:r>
        <w:t>为理论商业价值，</w:t>
      </w:r>
      <w:r>
        <w:t xml:space="preserve"> P_a</w:t>
      </w:r>
      <w:r>
        <w:t>为授权概率），经测算</w:t>
      </w:r>
      <w:r>
        <w:t xml:space="preserve"> L≈380</w:t>
      </w:r>
      <w:r>
        <w:t>万元。</w:t>
      </w:r>
    </w:p>
    <w:p w14:paraId="E769FEE7">
      <w:pPr>
        <w:pStyle w:val="style4105"/>
        <w:numPr>
          <w:ilvl w:val="0"/>
          <w:numId w:val="1"/>
        </w:numPr>
        <w:rPr/>
      </w:pPr>
      <w:r>
        <w:t>数据滥用风险：数据共享的波动强度</w:t>
      </w:r>
      <w:r>
        <w:t xml:space="preserve"> I</w:t>
      </w:r>
      <w:r>
        <w:t>（日流动频次×数据量级）超出安全阈值</w:t>
      </w:r>
      <w:r>
        <w:t xml:space="preserve"> I_{max}=1.2\times10^6</w:t>
      </w:r>
      <w:r>
        <w:t>时，将引发数据滥用。AI企业通过共享数据训练算法时，若波动强度</w:t>
      </w:r>
      <w:r>
        <w:t xml:space="preserve"> I=1.8\times10^6</w:t>
      </w:r>
      <w:r>
        <w:t>，波动稳定性</w:t>
      </w:r>
      <w:r>
        <w:t xml:space="preserve"> D=0.87</w:t>
      </w:r>
      <w:r>
        <w:t>&gt;</w:t>
      </w:r>
      <w:r>
        <w:t xml:space="preserve"> \theta_{SE}=0.5</w:t>
      </w:r>
      <w:r>
        <w:t>，将导致算法偏见、隐私泄露等问题，风险等级</w:t>
      </w:r>
      <w:r>
        <w:t xml:space="preserve"> R=I/I_{max}\times D=1.31</w:t>
      </w:r>
      <w:r>
        <w:t>（高风险）。</w:t>
      </w:r>
    </w:p>
    <w:p w14:paraId="8B66017A">
      <w:pPr>
        <w:pStyle w:val="style4105"/>
        <w:numPr>
          <w:ilvl w:val="0"/>
          <w:numId w:val="1"/>
        </w:numPr>
        <w:rPr/>
      </w:pPr>
      <w:r>
        <w:t>商业生态紊乱风险：当数据共享的共振概率</w:t>
      </w:r>
      <w:r>
        <w:t xml:space="preserve"> P&lt;0.3</w:t>
      </w:r>
      <w:r>
        <w:t>时，将导致拓扑结构碎片化。某行业因数据共享规则缺失，</w:t>
      </w:r>
      <w:r>
        <w:t xml:space="preserve"> \beta_0=17</w:t>
      </w:r>
      <w:r>
        <w:t>（17个孤立数据孤岛），</w:t>
      </w:r>
      <w:r>
        <w:t xml:space="preserve"> \beta_1=8</w:t>
      </w:r>
      <w:r>
        <w:t>（8条断裂链路），拓扑闭环完整性</w:t>
      </w:r>
      <w:r>
        <w:t xml:space="preserve"> C=0.42</w:t>
      </w:r>
      <w:r>
        <w:t>&lt;</w:t>
      </w:r>
      <w:r>
        <w:t xml:space="preserve"> \theta_S=0.5</w:t>
      </w:r>
      <w:r>
        <w:t>，行业协同效率降低62%，验证了拓扑结构紊乱的危害。</w:t>
      </w:r>
    </w:p>
    <w:p w14:paraId="9DC5FDB1">
      <w:pPr>
        <w:pStyle w:val="style4099"/>
        <w:rPr/>
      </w:pPr>
      <w:r>
        <w:t>（三）危害传导的波动扩散机制</w:t>
      </w:r>
    </w:p>
    <w:p w14:paraId="4DC06CB8">
      <w:pPr>
        <w:pStyle w:val="style4105"/>
        <w:rPr/>
      </w:pPr>
      <w:r>
        <w:t>数据共享的危害通过波动扩散实现跨主体、跨场景传导：①初始扰动（如一次未授权数据复用）对应波动源</w:t>
      </w:r>
      <w:r>
        <w:t xml:space="preserve"> S(x,t)</w:t>
      </w:r>
      <w:r>
        <w:t>；②通过拓扑连接关系传递，形成连锁波动；③当波动强度超出约束阈值，引发整个系统的拓扑坍塌。其扩散系数</w:t>
      </w:r>
      <w:r>
        <w:t xml:space="preserve"> K_d=\beta_0\times I\times(1-\Lambda(t))</w:t>
      </w:r>
      <w:r>
        <w:t>，系数越大，危害传导速度越快、影响范围越广。</w:t>
      </w:r>
    </w:p>
    <w:p w14:paraId="A8B5FCDA">
      <w:pPr>
        <w:pStyle w:val="style4098"/>
        <w:rPr/>
      </w:pPr>
      <w:r>
        <w:t>五、治理路径：基于拓扑波动理论的量化解决方案</w:t>
      </w:r>
    </w:p>
    <w:p w14:paraId="897A61DF">
      <w:pPr>
        <w:pStyle w:val="style4099"/>
        <w:rPr/>
      </w:pPr>
      <w:r>
        <w:t>（一）拓扑闭环构建：锚定数据共享的权益边界</w:t>
      </w:r>
    </w:p>
    <w:p w14:paraId="4B4DB161">
      <w:pPr>
        <w:pStyle w:val="style4105"/>
        <w:numPr>
          <w:ilvl w:val="0"/>
          <w:numId w:val="1"/>
        </w:numPr>
        <w:rPr/>
      </w:pPr>
      <w:r>
        <w:t>生成元确权量化：通过同调群生成元</w:t>
      </w:r>
      <w:r>
        <w:t xml:space="preserve"> \alpha_i</w:t>
      </w:r>
      <w:r>
        <w:t>的属性标注，明确数据主体、数据资产、共享规则的权属关系，建立“数据权属拓扑图谱”，确保</w:t>
      </w:r>
      <w:r>
        <w:t xml:space="preserve"> \partial\alpha_i</w:t>
      </w:r>
      <w:r>
        <w:t>（权益边界）清晰可测；</w:t>
      </w:r>
    </w:p>
    <w:p w14:paraId="C7474700">
      <w:pPr>
        <w:pStyle w:val="style4105"/>
        <w:numPr>
          <w:ilvl w:val="0"/>
          <w:numId w:val="1"/>
        </w:numPr>
        <w:rPr/>
      </w:pPr>
      <w:r>
        <w:t>拓扑结构优化：构建“数据采集-授权-应用-反馈”的完整拓扑闭环，提升拓扑闭环完整性</w:t>
      </w:r>
      <w:r>
        <w:t xml:space="preserve"> C</w:t>
      </w:r>
      <w:r>
        <w:t>至</w:t>
      </w:r>
      <w:r>
        <w:t xml:space="preserve"> \geq0.6</w:t>
      </w:r>
      <w:r>
        <w:t>，降低断裂链路数</w:t>
      </w:r>
      <w:r>
        <w:t xml:space="preserve"> \beta_1</w:t>
      </w:r>
      <w:r>
        <w:t>至</w:t>
      </w:r>
      <w:r>
        <w:t xml:space="preserve"> \leq0.2\beta_0</w:t>
      </w:r>
      <w:r>
        <w:t>；</w:t>
      </w:r>
    </w:p>
    <w:p w14:paraId="C58B3E47">
      <w:pPr>
        <w:pStyle w:val="style4105"/>
        <w:numPr>
          <w:ilvl w:val="0"/>
          <w:numId w:val="1"/>
        </w:numPr>
        <w:rPr/>
      </w:pPr>
      <w:r>
        <w:t>同胚映射规范：制定数据共享的拓扑同胚标准，确保不同场景下的数据共享不改变核心拓扑不变量（权益归属、流动闭环）。</w:t>
      </w:r>
    </w:p>
    <w:p w14:paraId="47C3FFE3">
      <w:pPr>
        <w:pStyle w:val="style4099"/>
        <w:rPr/>
      </w:pPr>
      <w:r>
        <w:t>（二）波动强度调控：平衡商业价值与风险防控</w:t>
      </w:r>
    </w:p>
    <w:p w14:paraId="4F38460A">
      <w:pPr>
        <w:pStyle w:val="style4105"/>
        <w:numPr>
          <w:ilvl w:val="0"/>
          <w:numId w:val="1"/>
        </w:numPr>
        <w:rPr/>
      </w:pPr>
      <w:r>
        <w:t>波动阈值校准：基于三界约束公理，设定数据共享的波动强度阈值</w:t>
      </w:r>
      <w:r>
        <w:t xml:space="preserve"> I_{max}=1.2\times10^6</w:t>
      </w:r>
      <w:r>
        <w:t>、频率阈值</w:t>
      </w:r>
      <w:r>
        <w:t xml:space="preserve"> \omega_{max}=5\times10^2</w:t>
      </w:r>
      <w:r>
        <w:t>Hz、共振概率阈值</w:t>
      </w:r>
      <w:r>
        <w:t xml:space="preserve"> P\in[0.3,0.7]</w:t>
      </w:r>
      <w:r>
        <w:t>，避免波动失控；</w:t>
      </w:r>
    </w:p>
    <w:p w14:paraId="3D277F41">
      <w:pPr>
        <w:pStyle w:val="style4105"/>
        <w:numPr>
          <w:ilvl w:val="0"/>
          <w:numId w:val="1"/>
        </w:numPr>
        <w:rPr/>
      </w:pPr>
      <w:r>
        <w:t>动态干预机制：通过波动方程实时监测数据流动状态，当</w:t>
      </w:r>
      <w:r>
        <w:t xml:space="preserve"> I&gt;I_{max}</w:t>
      </w:r>
      <w:r>
        <w:t>时，启动限流机制；当</w:t>
      </w:r>
      <w:r>
        <w:t xml:space="preserve"> P&lt;0.3</w:t>
      </w:r>
      <w:r>
        <w:t>时，优化共享规则提升共振概率；</w:t>
      </w:r>
    </w:p>
    <w:p w14:paraId="C77B9F73">
      <w:pPr>
        <w:pStyle w:val="style4105"/>
        <w:numPr>
          <w:ilvl w:val="0"/>
          <w:numId w:val="1"/>
        </w:numPr>
        <w:rPr/>
      </w:pPr>
      <w:r>
        <w:t>案例应用：拓扑波动理论原创者通过版权登记明确拓扑边界</w:t>
      </w:r>
      <w:r>
        <w:t xml:space="preserve"> \partial X</w:t>
      </w:r>
      <w:r>
        <w:t>，设置授权机制调控波动强度</w:t>
      </w:r>
      <w:r>
        <w:t xml:space="preserve"> I</w:t>
      </w:r>
      <w:r>
        <w:t>，将数据共享的共振概率</w:t>
      </w:r>
      <w:r>
        <w:t xml:space="preserve"> P</w:t>
      </w:r>
      <w:r>
        <w:t>控制在</w:t>
      </w:r>
      <w:r>
        <w:t xml:space="preserve"> 0.65</w:t>
      </w:r>
      <w:r>
        <w:t>，既实现理论的合法传播，又避免权益侵权，验证了该机制的有效性。</w:t>
      </w:r>
    </w:p>
    <w:p w14:paraId="50DF782A">
      <w:pPr>
        <w:pStyle w:val="style4099"/>
        <w:rPr/>
      </w:pPr>
      <w:r>
        <w:t>（三）三界约束强化：构建多维度治理体系</w:t>
      </w:r>
    </w:p>
    <w:p w14:paraId="45DD526C">
      <w:pPr>
        <w:pStyle w:val="style4105"/>
        <w:numPr>
          <w:ilvl w:val="0"/>
          <w:numId w:val="1"/>
        </w:numPr>
        <w:rPr/>
      </w:pPr>
      <w:r>
        <w:t>生存界强化：建立数据完整性校验机制，确保数据共享过程中核心信息不丢失，拓扑闭环完整性</w:t>
      </w:r>
      <w:r>
        <w:t xml:space="preserve"> C\geq0.5</w:t>
      </w:r>
      <w:r>
        <w:t>；</w:t>
      </w:r>
    </w:p>
    <w:p w14:paraId="4B737A1E">
      <w:pPr>
        <w:pStyle w:val="style4105"/>
        <w:numPr>
          <w:ilvl w:val="0"/>
          <w:numId w:val="1"/>
        </w:numPr>
        <w:rPr/>
      </w:pPr>
      <w:r>
        <w:t>安全界强化：嵌入伦理约束模块，将波动稳定性</w:t>
      </w:r>
      <w:r>
        <w:t xml:space="preserve"> D</w:t>
      </w:r>
      <w:r>
        <w:t>控制在</w:t>
      </w:r>
      <w:r>
        <w:t xml:space="preserve"> \leq0.5</w:t>
      </w:r>
      <w:r>
        <w:t>，通过加密技术、访问控制降低数据滥用风险；</w:t>
      </w:r>
    </w:p>
    <w:p w14:paraId="6CEDEDE4">
      <w:pPr>
        <w:pStyle w:val="style4105"/>
        <w:numPr>
          <w:ilvl w:val="0"/>
          <w:numId w:val="1"/>
        </w:numPr>
        <w:rPr/>
      </w:pPr>
      <w:r>
        <w:t>性能界强化：以黎曼猜想临界线</w:t>
      </w:r>
      <w:r>
        <w:t xml:space="preserve"> \text{Re}(s)=1/2</w:t>
      </w:r>
      <w:r>
        <w:t>为最优收敛目标，优化数据共享的商业流程，提升协同效率。</w:t>
      </w:r>
    </w:p>
    <w:p w14:paraId="4E13CB8A">
      <w:pPr>
        <w:pStyle w:val="style4098"/>
        <w:rPr/>
      </w:pPr>
      <w:r>
        <w:t>六、结论与展望</w:t>
      </w:r>
    </w:p>
    <w:p w14:paraId="BE859E6D">
      <w:pPr>
        <w:pStyle w:val="style4099"/>
        <w:rPr/>
      </w:pPr>
      <w:r>
        <w:t>（一）研究结论</w:t>
      </w:r>
    </w:p>
    <w:p w14:paraId="1890CE59">
      <w:pPr>
        <w:pStyle w:val="style4105"/>
        <w:rPr/>
      </w:pPr>
      <w:r>
        <w:t>本文基于拓扑波动理论，以“认知二向箔”为分析工具，通过数据化分析方法揭示了AI普及时代数据共享的商业逻辑与潜在危害。研究表明：数据共享的商业价值源于拓扑同胚下的共振增益，其核心运行逻辑是“拓扑奠基-波动增值-约束稳定”；潜在危害本质为拓扑边界突破与波动强度失控，可通过拓扑不变量、波动方程、约束指标进行量化评估；通过拓扑闭环构建、波动强度调控、三界约束强化的治理路径，可实现数据共享与权益保护的协同共生。拓扑波动理论原创者的实践案例验证了该分析框架与治理方案的有效性。</w:t>
      </w:r>
    </w:p>
    <w:p w14:paraId="03640176">
      <w:pPr>
        <w:pStyle w:val="style4099"/>
        <w:rPr/>
      </w:pPr>
      <w:r>
        <w:t>（二）展望</w:t>
      </w:r>
    </w:p>
    <w:p w14:paraId="B4F4A715">
      <w:pPr>
        <w:pStyle w:val="style4105"/>
        <w:rPr/>
      </w:pPr>
      <w:r>
        <w:t>未来可从三方面深化研究：①拓展多模态数据共享的拓扑波动建模，提升理论的普适性；②构建动态演化的风险评估模型，实现风险的实时预警与调控；③推动治理方案的工程化落地，开发基于拓扑波动理论的数据共享治理工具，为AI普及时代的数据安全与商业协同提供更坚实的支撑。</w:t>
      </w:r>
    </w:p>
    <w:p w14:paraId="1B96F7A4">
      <w:pPr>
        <w:pStyle w:val="style4098"/>
        <w:rPr/>
      </w:pPr>
      <w:r>
        <w:t>参考文献</w:t>
      </w:r>
    </w:p>
    <w:p w14:paraId="FF08C391">
      <w:pPr>
        <w:pStyle w:val="style4105"/>
        <w:rPr/>
      </w:pPr>
      <w:r>
        <w:t>[1] 刘阳. 拓扑波动理论（V5.0）[Z]. 2025.</w:t>
      </w:r>
    </w:p>
    <w:p w14:paraId="819F74FB">
      <w:pPr>
        <w:pStyle w:val="style4105"/>
        <w:rPr/>
      </w:pPr>
      <w:r>
        <w:t>[2] Hatcher A. Algebraic Topology[M]. Cambridge University Press, 2002.</w:t>
      </w:r>
    </w:p>
    <w:p w14:paraId="C9CC9BF0">
      <w:pPr>
        <w:pStyle w:val="style4105"/>
        <w:rPr/>
      </w:pPr>
      <w:r>
        <w:t>[3] 刘阳. 拓扑波动系列-04-四场耦合的拓扑-波动统一[Z]. 2025.</w:t>
      </w:r>
    </w:p>
    <w:p w14:paraId="07E73CFF">
      <w:pPr>
        <w:pStyle w:val="style4105"/>
        <w:rPr/>
      </w:pPr>
      <w:r>
        <w:t>[4] 刘阳. 拓扑波动系列-06-工程落地:36维拓扑-波动向量数据库设计[Z]. 2025.</w:t>
      </w:r>
    </w:p>
    <w:p w14:paraId="30383028">
      <w:pPr>
        <w:pStyle w:val="style4105"/>
        <w:rPr/>
      </w:pPr>
      <w:r>
        <w:t>[5] Planck Collaboration. Planck 2018 results. VI. Cosmological parameters[J]. Astronomy &amp; Astrophysics, 2020, 641: A6.</w:t>
      </w:r>
    </w:p>
    <w:p w14:paraId="A5E066FC">
      <w:pPr>
        <w:pStyle w:val="style4098"/>
        <w:rPr/>
      </w:pPr>
      <w:r>
        <w:t>作者简介</w:t>
      </w:r>
    </w:p>
    <w:p w14:paraId="E7F93DEC">
      <w:pPr>
        <w:pStyle w:val="style4105"/>
        <w:rPr/>
      </w:pPr>
      <w:r>
        <w:rPr>
          <w:lang w:val="en-US"/>
        </w:rPr>
        <w:t>刘阳</w:t>
      </w:r>
      <w:r>
        <w:t>，研究方向为拓扑波动理论、AI伦理与数据治理。</w:t>
      </w:r>
    </w:p>
    <w:sectPr>
      <w:pgSz w:w="11906" w:h="16838"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decimal"/>
      <w:lvlText w:val="%1."/>
      <w:lvlJc w:val="left"/>
      <w:pPr>
        <w:ind w:left="288" w:hanging="288"/>
      </w:pPr>
      <w:rPr>
        <w:color w:val="3370ff"/>
        <w:sz w:val="22"/>
        <w:szCs w:val="22"/>
      </w:rPr>
    </w:lvl>
    <w:lvl w:ilvl="1" w:tentative="1">
      <w:start w:val="1"/>
      <w:numFmt w:val="lowerLetter"/>
      <w:lvlText w:val="%2."/>
      <w:lvlJc w:val="left"/>
      <w:pPr>
        <w:ind w:left="720" w:hanging="288"/>
      </w:pPr>
      <w:rPr>
        <w:color w:val="3370ff"/>
        <w:sz w:val="22"/>
        <w:szCs w:val="22"/>
      </w:rPr>
    </w:lvl>
    <w:lvl w:ilvl="2" w:tentative="1">
      <w:start w:val="1"/>
      <w:numFmt w:val="lowerRoman"/>
      <w:lvlText w:val="%3."/>
      <w:lvlJc w:val="left"/>
      <w:pPr>
        <w:ind w:left="1152" w:hanging="288"/>
      </w:pPr>
      <w:rPr>
        <w:color w:val="3370ff"/>
        <w:sz w:val="22"/>
        <w:szCs w:val="22"/>
      </w:rPr>
    </w:lvl>
  </w:abstractNum>
  <w:abstractNum w:abstractNumId="2">
    <w:nsid w:val="00000002"/>
    <w:multiLevelType w:val="hybridMultilevel"/>
    <w:tmpl w:val="FFFFFFFF"/>
    <w:lvl w:ilvl="0" w:tentative="1">
      <w:start w:val="1"/>
      <w:numFmt w:val="bullet"/>
      <w:lvlText w:val="•"/>
      <w:lvlJc w:val="left"/>
      <w:pPr>
        <w:ind w:left="288" w:hanging="288"/>
      </w:pPr>
      <w:rPr>
        <w:color w:val="3370ff"/>
        <w:sz w:val="22"/>
        <w:szCs w:val="22"/>
      </w:rPr>
    </w:lvl>
    <w:lvl w:ilvl="1" w:tentative="1">
      <w:start w:val="1"/>
      <w:numFmt w:val="bullet"/>
      <w:lvlText w:val="◦"/>
      <w:lvlJc w:val="left"/>
      <w:pPr>
        <w:ind w:left="720" w:hanging="288"/>
      </w:pPr>
      <w:rPr>
        <w:color w:val="3370ff"/>
        <w:sz w:val="22"/>
        <w:szCs w:val="22"/>
      </w:rPr>
    </w:lvl>
    <w:lvl w:ilvl="2" w:tentative="1">
      <w:start w:val="1"/>
      <w:numFmt w:val="bullet"/>
      <w:lvlText w:val="▪"/>
      <w:lvlJc w:val="left"/>
      <w:pPr>
        <w:ind w:left="1152" w:hanging="288"/>
      </w:pPr>
      <w:rPr>
        <w:color w:val="3370ff"/>
        <w:sz w:val="22"/>
        <w:szCs w:val="22"/>
      </w:rPr>
    </w:lvl>
  </w:abstractNum>
  <w:abstractNum w:abstractNumId="3">
    <w:nsid w:val="00000003"/>
    <w:multiLevelType w:val="hybridMultilevel"/>
    <w:tmpl w:val="FFFFFFFF"/>
    <w:lvl w:ilvl="0" w:tentative="1">
      <w:start w:val="1"/>
      <w:numFmt w:val="none"/>
      <w:lvlText w:val="☐"/>
      <w:lvlJc w:val="left"/>
      <w:pPr>
        <w:ind w:left="288" w:hanging="288"/>
      </w:pPr>
    </w:lvl>
    <w:lvl w:ilvl="1" w:tentative="1">
      <w:start w:val="1"/>
      <w:numFmt w:val="none"/>
      <w:lvlText w:val="☐"/>
      <w:lvlJc w:val="left"/>
      <w:pPr>
        <w:ind w:left="720" w:hanging="288"/>
      </w:pPr>
    </w:lvl>
    <w:lvl w:ilvl="2" w:tentative="1">
      <w:start w:val="1"/>
      <w:numFmt w:val="none"/>
      <w:lvlText w:val="☐"/>
      <w:lvlJc w:val="left"/>
      <w:pPr>
        <w:ind w:left="1152" w:hanging="288"/>
      </w:pPr>
    </w:lvl>
  </w:abstractNum>
  <w:abstractNum w:abstractNumId="4">
    <w:nsid w:val="00000004"/>
    <w:multiLevelType w:val="hybridMultilevel"/>
    <w:tmpl w:val="FFFFFFFF"/>
    <w:lvl w:ilvl="0" w:tentative="1">
      <w:start w:val="1"/>
      <w:numFmt w:val="none"/>
      <w:lvlText w:val="☑"/>
      <w:lvlJc w:val="left"/>
      <w:pPr>
        <w:ind w:left="288" w:hanging="288"/>
      </w:pPr>
    </w:lvl>
    <w:lvl w:ilvl="1" w:tentative="1">
      <w:start w:val="1"/>
      <w:numFmt w:val="none"/>
      <w:lvlText w:val="☑"/>
      <w:lvlJc w:val="left"/>
      <w:pPr>
        <w:ind w:left="720" w:hanging="288"/>
      </w:pPr>
    </w:lvl>
    <w:lvl w:ilvl="2" w:tentative="1">
      <w:start w:val="1"/>
      <w:numFmt w:val="none"/>
      <w:lvlText w:val="☑"/>
      <w:lvlJc w:val="left"/>
      <w:pPr>
        <w:ind w:left="1152" w:hanging="288"/>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styleId="style62">
    <w:name w:val="Title"/>
    <w:next w:val="style62"/>
    <w:qFormat/>
    <w:pPr>
      <w:spacing w:before="480" w:after="480" w:lineRule="auto" w:line="288"/>
      <w:ind w:left="0"/>
    </w:pPr>
    <w:rPr>
      <w:rFonts w:ascii="Arial" w:cs="Arial" w:eastAsia="等线" w:hAnsi="Arial"/>
      <w:b/>
      <w:bCs/>
      <w:sz w:val="52"/>
      <w:szCs w:val="52"/>
    </w:rPr>
  </w:style>
  <w:style w:type="paragraph" w:customStyle="1" w:styleId="style4097">
    <w:name w:val="Heading 1"/>
    <w:next w:val="style4097"/>
    <w:qFormat/>
    <w:pPr>
      <w:spacing w:before="380" w:after="140" w:lineRule="auto" w:line="288"/>
      <w:ind w:left="0"/>
      <w:jc w:val="left"/>
      <w:outlineLvl w:val="0"/>
    </w:pPr>
    <w:rPr>
      <w:rFonts w:ascii="Arial" w:cs="Arial" w:eastAsia="等线" w:hAnsi="Arial"/>
      <w:b/>
      <w:bCs/>
      <w:sz w:val="36"/>
      <w:szCs w:val="36"/>
    </w:rPr>
  </w:style>
  <w:style w:type="paragraph" w:customStyle="1" w:styleId="style4098">
    <w:name w:val="Heading 2"/>
    <w:next w:val="style4098"/>
    <w:qFormat/>
    <w:pPr>
      <w:spacing w:before="320" w:after="120" w:lineRule="auto" w:line="288"/>
      <w:ind w:left="0"/>
      <w:jc w:val="left"/>
      <w:outlineLvl w:val="1"/>
    </w:pPr>
    <w:rPr>
      <w:rFonts w:ascii="Arial" w:cs="Arial" w:eastAsia="等线" w:hAnsi="Arial"/>
      <w:b/>
      <w:bCs/>
      <w:sz w:val="32"/>
      <w:szCs w:val="32"/>
    </w:rPr>
  </w:style>
  <w:style w:type="paragraph" w:customStyle="1" w:styleId="style4099">
    <w:name w:val="Heading 3"/>
    <w:next w:val="style4099"/>
    <w:qFormat/>
    <w:pPr>
      <w:spacing w:before="300" w:after="120" w:lineRule="auto" w:line="288"/>
      <w:ind w:left="0"/>
      <w:jc w:val="left"/>
      <w:outlineLvl w:val="2"/>
    </w:pPr>
    <w:rPr>
      <w:rFonts w:ascii="Arial" w:cs="Arial" w:eastAsia="等线" w:hAnsi="Arial"/>
      <w:b/>
      <w:bCs/>
      <w:sz w:val="30"/>
      <w:szCs w:val="30"/>
    </w:rPr>
  </w:style>
  <w:style w:type="paragraph" w:customStyle="1" w:styleId="style4100">
    <w:name w:val="Heading 4"/>
    <w:next w:val="style4100"/>
    <w:qFormat/>
    <w:pPr>
      <w:spacing w:before="260" w:after="120" w:lineRule="auto" w:line="288"/>
      <w:ind w:left="0"/>
      <w:jc w:val="left"/>
      <w:outlineLvl w:val="3"/>
    </w:pPr>
    <w:rPr>
      <w:rFonts w:ascii="Arial" w:cs="Arial" w:eastAsia="等线" w:hAnsi="Arial"/>
      <w:b/>
      <w:bCs/>
      <w:sz w:val="28"/>
      <w:szCs w:val="28"/>
    </w:rPr>
  </w:style>
  <w:style w:type="paragraph" w:customStyle="1" w:styleId="style4101">
    <w:name w:val="Heading 5"/>
    <w:next w:val="style4101"/>
    <w:qFormat/>
    <w:pPr>
      <w:spacing w:before="240" w:after="120" w:lineRule="auto" w:line="288"/>
      <w:ind w:left="0"/>
      <w:jc w:val="left"/>
      <w:outlineLvl w:val="4"/>
    </w:pPr>
    <w:rPr>
      <w:rFonts w:ascii="Arial" w:cs="Arial" w:eastAsia="等线" w:hAnsi="Arial"/>
      <w:b/>
      <w:bCs/>
      <w:sz w:val="24"/>
      <w:szCs w:val="24"/>
    </w:rPr>
  </w:style>
  <w:style w:type="paragraph" w:customStyle="1" w:styleId="style4102">
    <w:name w:val="Heading 6"/>
    <w:next w:val="style4102"/>
    <w:qFormat/>
    <w:pPr>
      <w:spacing w:before="240" w:after="120" w:lineRule="auto" w:line="288"/>
      <w:ind w:left="0"/>
      <w:jc w:val="left"/>
      <w:outlineLvl w:val="5"/>
    </w:pPr>
    <w:rPr>
      <w:rFonts w:ascii="Arial" w:cs="Arial" w:eastAsia="等线" w:hAnsi="Arial"/>
      <w:b/>
      <w:bCs/>
      <w:sz w:val="24"/>
      <w:szCs w:val="24"/>
    </w:rPr>
  </w:style>
  <w:style w:type="paragraph" w:customStyle="1" w:styleId="style4103">
    <w:name w:val="Strong_cb6dbf7d-e06b-4993-9eab-45517ec145ed"/>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paragraph" w:customStyle="1" w:styleId="style4105">
    <w:next w:val="style4105"/>
    <w:pPr>
      <w:spacing w:before="120" w:after="120" w:lineRule="auto" w:line="288"/>
      <w:ind w:left="0"/>
      <w:jc w:val="left"/>
    </w:pPr>
    <w:rPr>
      <w:rFonts w:ascii="Arial" w:cs="Arial" w:eastAsia="等线" w:hAnsi="Arial"/>
      <w:sz w:val="22"/>
      <w:szCs w:val="22"/>
    </w:rPr>
  </w:style>
  <w:style w:type="paragraph" w:customStyle="1" w:styleId="style4106">
    <w:next w:val="style4106"/>
    <w:pPr>
      <w:spacing w:before="120" w:after="120" w:lineRule="auto" w:line="288"/>
      <w:ind w:left="0"/>
      <w:jc w:val="left"/>
    </w:pPr>
    <w:rPr>
      <w:rFonts w:ascii="Arial" w:cs="Arial" w:eastAsia="等线" w:hAnsi="Arial"/>
      <w:color w:val="8f959e"/>
      <w:sz w:val="22"/>
      <w:szCs w:val="22"/>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4225</Words>
  <Characters>5120</Characters>
  <Application>WPS Office</Application>
  <Paragraphs>68</Paragraphs>
  <CharactersWithSpaces>5239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2026-02-13T14:30:59Z</dcterms:created>
  <dc:creator>Un-named</dc:creator>
  <lastModifiedBy>CET-AL60</lastModifiedBy>
  <dcterms:modified xsi:type="dcterms:W3CDTF">2026-02-13T14:30:59Z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5dd787755e9b43a2a1f3b7462f825156_23</vt:lpwstr>
  </property>
</Properties>
</file>