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Relatórios do Tasy para a CCIH</w:t>
      </w:r>
    </w:p>
    <w:p>
      <w:pPr>
        <w:spacing w:after="120"/>
      </w:pPr>
      <w:r>
        <w:rPr>
          <w:i/>
          <w:iCs/>
          <w:color w:val="61707F"/>
        </w:rPr>
        <w:t xml:space="preserve">Lista de extrações, periodicidade e forma de entrega — para a equipe de TI</w:t>
      </w:r>
    </w:p>
    <w:p>
      <w:pPr>
        <w:spacing w:after="120"/>
      </w:pPr>
      <w:r>
        <w:rPr>
          <w:color w:val="61707F"/>
          <w:sz w:val="18"/>
          <w:szCs w:val="18"/>
        </w:rPr>
        <w:t xml:space="preserve">CCIH / HNSC — setembro de 2026</w:t>
      </w:r>
    </w:p>
    <w:p>
      <w:pPr>
        <w:spacing w:after="120"/>
      </w:pPr>
      <w:r>
        <w:t xml:space="preserve">A CCIH registra e classifica as infecções em sistema próprio; o que precisamos do Tasy são os </w:t>
      </w:r>
      <w:r>
        <w:rPr>
          <w:b/>
          <w:bCs/>
        </w:rPr>
        <w:t xml:space="preserve">relatórios brutos</w:t>
      </w:r>
      <w:r>
        <w:t xml:space="preserve"> abaixo, em planilha. A importação deduplica sozinha, então </w:t>
      </w:r>
      <w:r>
        <w:rPr>
          <w:b/>
          <w:bCs/>
        </w:rPr>
        <w:t xml:space="preserve">períodos sobrepostos não são problema</w:t>
      </w:r>
      <w:r>
        <w:t xml:space="preserve"> — pode sempre exportar “últimos 30 dias”, por exemplo.</w:t>
      </w:r>
    </w:p>
    <w:p>
      <w:pPr>
        <w:pStyle w:val="Heading1"/>
        <w:spacing w:after="140" w:before="280"/>
      </w:pPr>
      <w:r>
        <w:rPr>
          <w:color w:val="14532D"/>
        </w:rPr>
        <w:t xml:space="preserve">Regras que valem para todos os relatórios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Formato: Excel (xlsx/xls) ou CSV — nunca PDF. </w:t>
      </w:r>
      <w:r>
        <w:t xml:space="preserve">PDF exige reconstrução manual e perde dados.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Toda linha precisa do nº de ATENDIMENTO </w:t>
      </w:r>
      <w:r>
        <w:t xml:space="preserve">(e do prontuário, quando houver). É a chave que liga os relatórios entre si.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Nomes de colunas estáveis: </w:t>
      </w:r>
      <w:r>
        <w:t xml:space="preserve">o sistema da CCIH memoriza o layout de cada relatório; mudar o cabeçalho quebra o reconhecimento automático.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Uma linha por evento </w:t>
      </w:r>
      <w:r>
        <w:t xml:space="preserve">(uma cultura, uma prescrição, uma internação) — sem células mescladas, sem totais no meio.</w:t>
      </w:r>
    </w:p>
    <w:p>
      <w:pPr>
        <w:pStyle w:val="Heading1"/>
        <w:spacing w:after="140" w:before="280"/>
      </w:pPr>
      <w:r>
        <w:rPr>
          <w:color w:val="14532D"/>
        </w:rPr>
        <w:t xml:space="preserve">Os relatórios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1750"/>
        <w:gridCol w:w="1250"/>
        <w:gridCol w:w="3600"/>
        <w:gridCol w:w="2620"/>
      </w:tblGrid>
      <w:tr>
        <w:trPr>
          <w:tblHeader/>
        </w:trPr>
        <w:tc>
          <w:tcPr>
            <w:tcW w:type="dxa" w:w="420"/>
            <w:shd w:fill="E8F3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4532D"/>
                <w:sz w:val="18"/>
                <w:szCs w:val="18"/>
              </w:rPr>
              <w:t xml:space="preserve">#</w:t>
            </w:r>
          </w:p>
        </w:tc>
        <w:tc>
          <w:tcPr>
            <w:tcW w:type="dxa" w:w="1750"/>
            <w:shd w:fill="E8F3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4532D"/>
                <w:sz w:val="18"/>
                <w:szCs w:val="18"/>
              </w:rPr>
              <w:t xml:space="preserve">Relatório</w:t>
            </w:r>
          </w:p>
        </w:tc>
        <w:tc>
          <w:tcPr>
            <w:tcW w:type="dxa" w:w="1250"/>
            <w:shd w:fill="E8F3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4532D"/>
                <w:sz w:val="18"/>
                <w:szCs w:val="18"/>
              </w:rPr>
              <w:t xml:space="preserve">Frequência</w:t>
            </w:r>
          </w:p>
        </w:tc>
        <w:tc>
          <w:tcPr>
            <w:tcW w:type="dxa" w:w="3600"/>
            <w:shd w:fill="E8F3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4532D"/>
                <w:sz w:val="18"/>
                <w:szCs w:val="18"/>
              </w:rPr>
              <w:t xml:space="preserve">Colunas essenciais</w:t>
            </w:r>
          </w:p>
        </w:tc>
        <w:tc>
          <w:tcPr>
            <w:tcW w:type="dxa" w:w="2620"/>
            <w:shd w:fill="E8F3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4532D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Culturas do laboratório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Diário (dias úteis)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ID do exame, atendimento, nome, data coleta, data resultado, setor, material, resultado, microrganismo, antibiograma</w:t>
            </w:r>
          </w:p>
        </w:tc>
        <w:tc>
          <w:tcPr>
            <w:tcW w:type="dxa" w:w="26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Substituir os PDFs diários por planilha. A partir de set/2026 o laudo vem com o nº de atendimento — manter.</w:t>
            </w:r>
          </w:p>
        </w:tc>
      </w:tr>
      <w:tr>
        <w:tc>
          <w:tcPr>
            <w:tcW w:type="dxa" w:w="420"/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750"/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Pacientes em isolamento (foto do momento)</w:t>
            </w:r>
          </w:p>
        </w:tc>
        <w:tc>
          <w:tcPr>
            <w:tcW w:type="dxa" w:w="1250"/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Diário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Atendimento, nome, setor, leito, data internação, data início do isolamento, precaução, motivo</w:t>
            </w:r>
          </w:p>
        </w:tc>
        <w:tc>
          <w:tcPr>
            <w:tcW w:type="dxa" w:w="2620"/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É a “foto de agora”: cada carga encerra sozinha as precauções de quem saiu da lista.</w:t>
            </w:r>
          </w:p>
        </w:tc>
      </w:tr>
      <w:t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Censo de internações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Diário (mínimo 3×/semana)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Prontuário, atendimento, nome, data de nascimento, telefone, data internação, data alta, desfecho, setor atual, leito, clínica</w:t>
            </w:r>
          </w:p>
        </w:tc>
        <w:tc>
          <w:tcPr>
            <w:tcW w:type="dxa" w:w="26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 NOVO: incluir as PASSAGENS DE SETOR (data/hora de cada transferência). Sem isso não há taxa de infecção por unidade.</w:t>
            </w:r>
          </w:p>
        </w:tc>
      </w:tr>
      <w:tr>
        <w:tc>
          <w:tcPr>
            <w:tcW w:type="dxa" w:w="420"/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50"/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Antibióticos prescritos (ainda não recebemos — é o que falta)</w:t>
            </w:r>
          </w:p>
        </w:tc>
        <w:tc>
          <w:tcPr>
            <w:tcW w:type="dxa" w:w="1250"/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Diário (dias úteis)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Atendimento, antibiótico, dose, via, frequência, data início, data fim/suspensão, setor, indicação, última evolução</w:t>
            </w:r>
          </w:p>
        </w:tc>
        <w:tc>
          <w:tcPr>
            <w:tcW w:type="dxa" w:w="2620"/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Alimenta a avaliação diária de prescrições e o consumo de antimicrobianos.</w:t>
            </w:r>
          </w:p>
        </w:tc>
      </w:tr>
      <w:t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Cirurgias realizadas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Semanal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Atendimento, data, procedimento, cirurgião, potencial de contaminação, ASA, duração, caráter, profilaxia (antibiótico + horário)</w:t>
            </w:r>
          </w:p>
        </w:tc>
        <w:tc>
          <w:tcPr>
            <w:tcW w:type="dxa" w:w="26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 NOVO: o potencial de contaminação vem em branco hoje. Com ele, a vigilância pós-alta seleciona as cirurgias limpas sozinha.</w:t>
            </w:r>
          </w:p>
        </w:tc>
      </w:tr>
      <w:tr>
        <w:tc>
          <w:tcPr>
            <w:tcW w:type="dxa" w:w="420"/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750"/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Dispositivos invasivos (CVC, VM, SVD…)</w:t>
            </w:r>
          </w:p>
        </w:tc>
        <w:tc>
          <w:tcPr>
            <w:tcW w:type="dxa" w:w="1250"/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Semanal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Atendimento, nome, dispositivo, data instalação, data retirada</w:t>
            </w:r>
          </w:p>
        </w:tc>
        <w:tc>
          <w:tcPr>
            <w:tcW w:type="dxa" w:w="2620"/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Confere as retiradas combinadas na visita da UTI e os dias de dispositivo.</w:t>
            </w:r>
          </w:p>
        </w:tc>
      </w:tr>
      <w:t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Óbitos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Mensal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Atendimento, nome, data entrada, data óbito, idade, sexo, médico, setor</w:t>
            </w:r>
          </w:p>
        </w:tc>
        <w:tc>
          <w:tcPr>
            <w:tcW w:type="dxa" w:w="26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Uma vez só: exportação retroativa desde 2021, para fechar o desfecho do histórico.</w:t>
            </w:r>
          </w:p>
        </w:tc>
      </w:tr>
      <w:tr>
        <w:tc>
          <w:tcPr>
            <w:tcW w:type="dxa" w:w="420"/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750"/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Catálogo de antimicrobianos da farmácia</w:t>
            </w:r>
          </w:p>
        </w:tc>
        <w:tc>
          <w:tcPr>
            <w:tcW w:type="dxa" w:w="1250"/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Semestral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Código do material, descrição, subgrupo, classe</w:t>
            </w:r>
          </w:p>
        </w:tc>
        <w:tc>
          <w:tcPr>
            <w:tcW w:type="dxa" w:w="2620"/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Já recebemos um exemplar — atualizar quando mudar a padronização.</w:t>
            </w:r>
          </w:p>
        </w:tc>
      </w:tr>
    </w:tbl>
    <w:p>
      <w:pPr>
        <w:pStyle w:val="Heading1"/>
        <w:spacing w:after="140" w:before="280"/>
      </w:pPr>
      <w:r>
        <w:rPr>
          <w:color w:val="14532D"/>
        </w:rPr>
        <w:t xml:space="preserve">Como entregar (sugestão)</w:t>
      </w:r>
    </w:p>
    <w:p>
      <w:pPr>
        <w:spacing w:after="120"/>
      </w:pPr>
      <w:r>
        <w:t xml:space="preserve">O Tasy roda sobre Oracle. A forma mais simples e robusta de atender esta lista é </w:t>
      </w:r>
      <w:r>
        <w:rPr>
          <w:b/>
          <w:bCs/>
        </w:rPr>
        <w:t xml:space="preserve">uma consulta SQL agendada por relatório</w:t>
      </w:r>
      <w:r>
        <w:t xml:space="preserve"> (DBMS_SCHEDULER ou script no servidor), gravando o CSV direto numa pasta de rede da CCIH — sem tela, sem relatório formatado, sem ninguém clicando. </w:t>
      </w:r>
      <w:r>
        <w:t xml:space="preserve">SELECT com as colunas da lista, uma linha por registro, nome de arquivo com a data. O sistema da CCIH importa a pasta inteira em lote.</w:t>
      </w:r>
    </w:p>
    <w:p>
      <w:pPr>
        <w:spacing w:after="120"/>
      </w:pPr>
      <w:r>
        <w:rPr>
          <w:b/>
          <w:bCs/>
        </w:rPr>
        <w:t xml:space="preserve">Alternativa sem DBA: </w:t>
      </w:r>
      <w:r>
        <w:t xml:space="preserve">o agendamento de relatórios do próprio Tasy (geração e envio por e-mail em horário programado) também atende, desde que o layout não seja alterado depois.</w:t>
      </w:r>
    </w:p>
    <w:p>
      <w:pPr>
        <w:spacing w:after="120"/>
      </w:pPr>
      <w:r>
        <w:rPr>
          <w:b/>
          <w:bCs/>
        </w:rPr>
        <w:t xml:space="preserve">Exemplos de layout que já funcionam: </w:t>
      </w:r>
      <w:r>
        <w:t xml:space="preserve">a CCIH guarda os arquivos já importados e pode fornecer um exemplar de cada relatório como referência.</w:t>
      </w:r>
    </w:p>
    <w:p>
      <w:pPr>
        <w:pStyle w:val="Heading1"/>
        <w:spacing w:after="140" w:before="280"/>
      </w:pPr>
      <w:r>
        <w:rPr>
          <w:color w:val="14532D"/>
        </w:rPr>
        <w:t xml:space="preserve">O que NÃO precisamos mais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Vigispec</w:t>
      </w:r>
      <w:r>
        <w:t xml:space="preserve"> — descontinuado. A higiene das mãos passa a ser registrada por aplicativo próprio da CCIH.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Relatório de infecções/IRAS de outro sistema</w:t>
      </w:r>
      <w:r>
        <w:t xml:space="preserve"> — as infecções são classificadas e registradas dentro do sistema da CCIH, a partir das culturas e da vigilância ativa.</w:t>
      </w:r>
    </w:p>
    <w:p>
      <w:pPr>
        <w:pStyle w:val="Heading1"/>
        <w:spacing w:after="140" w:before="280"/>
      </w:pPr>
      <w:r>
        <w:rPr>
          <w:color w:val="14532D"/>
        </w:rPr>
        <w:t xml:space="preserve">Prioridade, se for preciso escalonar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Antibióticos prescritos </w:t>
      </w:r>
      <w:r>
        <w:t xml:space="preserve">(item 4) — é a única fonte que ainda não existe.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Passagens de setor no censo </w:t>
      </w:r>
      <w:r>
        <w:t xml:space="preserve">(item 3) — destrava as taxas de infecção por unidade.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Potencial de contaminação nas cirurgias </w:t>
      </w:r>
      <w:r>
        <w:t xml:space="preserve">(item 5).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Culturas em planilha diária </w:t>
      </w:r>
      <w:r>
        <w:t xml:space="preserve">no lugar dos PDFs (item 1).</w:t>
      </w:r>
    </w:p>
    <w:p>
      <w:pPr>
        <w:spacing w:before="300"/>
      </w:pPr>
      <w:r>
        <w:rPr>
          <w:color w:val="61707F"/>
          <w:sz w:val="18"/>
          <w:szCs w:val="18"/>
        </w:rPr>
        <w:t xml:space="preserve">Contato: Dr. Rogério Sobroza — CCIH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88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4532D"/>
      <w:sz w:val="34"/>
      <w:szCs w:val="3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4532D"/>
      <w:sz w:val="26"/>
      <w:szCs w:val="2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2026-09-01T12:51:04.148Z</dcterms:created>
  <dcterms:modified xsi:type="dcterms:W3CDTF">2026-09-01T12:51:04.148Z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