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A99D"/>
          <w:sz w:val="28"/>
          <w:szCs w:val="28"/>
        </w:rPr>
        <w:t xml:space="preserve">Expungement.ai</w:t>
      </w:r>
    </w:p>
    <w:p>
      <w:pPr>
        <w:spacing w:after="40"/>
      </w:pPr>
      <w:r>
        <w:rPr>
          <w:b/>
          <w:bCs/>
          <w:color w:val="0B1320"/>
          <w:sz w:val="44"/>
          <w:szCs w:val="44"/>
        </w:rPr>
        <w:t xml:space="preserve">Briefcase, Product UI Design Specification</w:t>
      </w:r>
    </w:p>
    <w:p>
      <w:pPr>
        <w:spacing w:after="240"/>
      </w:pPr>
      <w:r>
        <w:rPr>
          <w:i/>
          <w:iCs/>
          <w:color w:val="5A6275"/>
        </w:rPr>
        <w:t xml:space="preserve">Design handoff reference, v1. Pair with the visual mockup file (Briefcase-Product-Mockup.html).</w:t>
      </w:r>
    </w:p>
    <w:p>
      <w:pPr>
        <w:pStyle w:val="Heading1"/>
      </w:pPr>
      <w:r>
        <w:t xml:space="preserve">1. What the Briefcase is</w:t>
      </w:r>
    </w:p>
    <w:p>
      <w:pPr>
        <w:spacing w:after="120"/>
      </w:pPr>
      <w:r>
        <w:t xml:space="preserve">The Briefcase is the home base of the Expungement.ai consumer app. It is where a person lands after logging in. Its single job is to answer two questions the moment they arrive: where do I stand, and what is my next step.</w:t>
      </w:r>
    </w:p>
    <w:p>
      <w:pPr>
        <w:spacing w:after="120"/>
      </w:pPr>
      <w:r>
        <w:t xml:space="preserve">Critical product model the design must reflect: Expungement.ai prepares documents and guides the user, but the user files the paperwork themselves. We are not a law firm and do not file on anyone's behalf. The UI must never imply we act as the user's attorney or submit on their behalf. Language stays plain and supportive, never legal-advice-like.</w:t>
      </w:r>
    </w:p>
    <w:p>
      <w:pPr>
        <w:spacing w:after="120"/>
      </w:pPr>
      <w:r>
        <w:t xml:space="preserve">The audience is people with criminal records, often anxious, sometimes ashamed, frequently on mobile, with mixed reading levels. Every screen should feel calm, plain-spoken, and reassuring. Reduce cognitive load. Surface one clear next action. Never overwhelm with legal complexity.</w:t>
      </w:r>
    </w:p>
    <w:p>
      <w:pPr>
        <w:pStyle w:val="Heading1"/>
      </w:pPr>
      <w:r>
        <w:t xml:space="preserve">2. Design principles</w:t>
      </w:r>
    </w:p>
    <w:p>
      <w:pPr>
        <w:pStyle w:val="ListParagraph"/>
        <w:numPr>
          <w:ilvl w:val="0"/>
          <w:numId w:val="2"/>
        </w:numPr>
        <w:spacing w:after="60"/>
      </w:pPr>
      <w:r>
        <w:rPr>
          <w:b/>
          <w:bCs/>
        </w:rPr>
        <w:t xml:space="preserve">Status-forward. </w:t>
      </w:r>
      <w:r>
        <w:t xml:space="preserve">The user should understand where every case stands before anything else. Status and next-step lead; documents and detail come after.</w:t>
      </w:r>
    </w:p>
    <w:p>
      <w:pPr>
        <w:pStyle w:val="ListParagraph"/>
        <w:numPr>
          <w:ilvl w:val="0"/>
          <w:numId w:val="2"/>
        </w:numPr>
        <w:spacing w:after="60"/>
      </w:pPr>
      <w:r>
        <w:rPr>
          <w:b/>
          <w:bCs/>
        </w:rPr>
        <w:t xml:space="preserve">One next step. </w:t>
      </w:r>
      <w:r>
        <w:t xml:space="preserve">Always surface the single most important action. The 'Your next step' banner is the most important element on the home screen.</w:t>
      </w:r>
    </w:p>
    <w:p>
      <w:pPr>
        <w:pStyle w:val="ListParagraph"/>
        <w:numPr>
          <w:ilvl w:val="0"/>
          <w:numId w:val="2"/>
        </w:numPr>
        <w:spacing w:after="60"/>
      </w:pPr>
      <w:r>
        <w:rPr>
          <w:b/>
          <w:bCs/>
        </w:rPr>
        <w:t xml:space="preserve">Matters contain documents. </w:t>
      </w:r>
      <w:r>
        <w:t xml:space="preserve">Documents are nested inside the matter they belong to, not dumped in a global pile. A person thinks in cases, not files.</w:t>
      </w:r>
    </w:p>
    <w:p>
      <w:pPr>
        <w:pStyle w:val="ListParagraph"/>
        <w:numPr>
          <w:ilvl w:val="0"/>
          <w:numId w:val="2"/>
        </w:numPr>
        <w:spacing w:after="60"/>
      </w:pPr>
      <w:r>
        <w:rPr>
          <w:b/>
          <w:bCs/>
        </w:rPr>
        <w:t xml:space="preserve">Plain language only. </w:t>
      </w:r>
      <w:r>
        <w:t xml:space="preserve">No legalese. 'With the court' not 'pending adjudication'. Target a 6th-to-8th grade reading level.</w:t>
      </w:r>
    </w:p>
    <w:p>
      <w:pPr>
        <w:pStyle w:val="ListParagraph"/>
        <w:numPr>
          <w:ilvl w:val="0"/>
          <w:numId w:val="2"/>
        </w:numPr>
        <w:spacing w:after="60"/>
      </w:pPr>
      <w:r>
        <w:rPr>
          <w:b/>
          <w:bCs/>
        </w:rPr>
        <w:t xml:space="preserve">Wilma always reachable. </w:t>
      </w:r>
      <w:r>
        <w:t xml:space="preserve">The Wilma help affordance is present on every screen. She explains, she never advises. Information, not legal advice.</w:t>
      </w:r>
    </w:p>
    <w:p>
      <w:pPr>
        <w:pStyle w:val="ListParagraph"/>
        <w:numPr>
          <w:ilvl w:val="0"/>
          <w:numId w:val="2"/>
        </w:numPr>
        <w:spacing w:after="60"/>
      </w:pPr>
      <w:r>
        <w:rPr>
          <w:b/>
          <w:bCs/>
        </w:rPr>
        <w:t xml:space="preserve">Self-file, supported. </w:t>
      </w:r>
      <w:r>
        <w:t xml:space="preserve">The highest-stakes, highest-care screen is the filing instructions. This is where an anxious user is most likely to freeze. It deserves the most warmth and clarity.</w:t>
      </w:r>
    </w:p>
    <w:p>
      <w:pPr>
        <w:pStyle w:val="Heading1"/>
      </w:pPr>
      <w:r>
        <w:t xml:space="preserve">3. Brand and visual tokens</w:t>
      </w:r>
    </w:p>
    <w:p>
      <w:pPr>
        <w:pStyle w:val="Heading3"/>
      </w:pPr>
      <w:r>
        <w:t xml:space="preserve">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9DEE8" w:sz="1"/>
              <w:left w:val="single" w:color="D9DEE8" w:sz="1"/>
              <w:bottom w:val="single" w:color="D9DEE8" w:sz="1"/>
              <w:right w:val="single" w:color="D9DEE8" w:sz="1"/>
            </w:tcBorders>
            <w:shd w:fill="0B1320" w:val="clear"/>
            <w:tcMar>
              <w:top w:type="dxa" w:w="80"/>
              <w:left w:type="dxa" w:w="120"/>
              <w:bottom w:type="dxa" w:w="80"/>
              <w:right w:type="dxa" w:w="120"/>
            </w:tcMar>
          </w:tcPr>
          <w:p>
            <w:r>
              <w:rPr>
                <w:b/>
                <w:bCs/>
                <w:color w:val="FFFFFF"/>
              </w:rPr>
              <w:t xml:space="preserve">Token</w:t>
            </w:r>
          </w:p>
        </w:tc>
        <w:tc>
          <w:tcPr>
            <w:tcW w:type="dxa" w:w="2400"/>
            <w:tcBorders>
              <w:top w:val="single" w:color="D9DEE8" w:sz="1"/>
              <w:left w:val="single" w:color="D9DEE8" w:sz="1"/>
              <w:bottom w:val="single" w:color="D9DEE8" w:sz="1"/>
              <w:right w:val="single" w:color="D9DEE8" w:sz="1"/>
            </w:tcBorders>
            <w:shd w:fill="0B1320" w:val="clear"/>
            <w:tcMar>
              <w:top w:type="dxa" w:w="80"/>
              <w:left w:type="dxa" w:w="120"/>
              <w:bottom w:type="dxa" w:w="80"/>
              <w:right w:type="dxa" w:w="120"/>
            </w:tcMar>
          </w:tcPr>
          <w:p>
            <w:r>
              <w:rPr>
                <w:b/>
                <w:bCs/>
                <w:color w:val="FFFFFF"/>
              </w:rPr>
              <w:t xml:space="preserve">Hex</w:t>
            </w:r>
          </w:p>
        </w:tc>
        <w:tc>
          <w:tcPr>
            <w:tcW w:type="dxa" w:w="4560"/>
            <w:tcBorders>
              <w:top w:val="single" w:color="D9DEE8" w:sz="1"/>
              <w:left w:val="single" w:color="D9DEE8" w:sz="1"/>
              <w:bottom w:val="single" w:color="D9DEE8" w:sz="1"/>
              <w:right w:val="single" w:color="D9DEE8" w:sz="1"/>
            </w:tcBorders>
            <w:shd w:fill="0B1320" w:val="clear"/>
            <w:tcMar>
              <w:top w:type="dxa" w:w="80"/>
              <w:left w:type="dxa" w:w="120"/>
              <w:bottom w:type="dxa" w:w="80"/>
              <w:right w:type="dxa" w:w="120"/>
            </w:tcMar>
          </w:tcPr>
          <w:p>
            <w:r>
              <w:rPr>
                <w:b/>
                <w:bCs/>
                <w:color w:val="FFFFFF"/>
              </w:rPr>
              <w:t xml:space="preserve">Use</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Navy (primary)</w:t>
            </w:r>
          </w:p>
        </w:tc>
        <w:tc>
          <w:tcPr>
            <w:tcW w:type="dxa" w:w="2400"/>
            <w:tcBorders>
              <w:top w:val="single" w:color="D9DEE8" w:sz="1"/>
              <w:left w:val="single" w:color="D9DEE8" w:sz="1"/>
              <w:bottom w:val="single" w:color="D9DEE8" w:sz="1"/>
              <w:right w:val="single" w:color="D9DEE8" w:sz="1"/>
            </w:tcBorders>
            <w:shd w:fill="0B1320" w:val="clear"/>
            <w:tcMar>
              <w:top w:type="dxa" w:w="80"/>
              <w:left w:type="dxa" w:w="120"/>
              <w:bottom w:type="dxa" w:w="80"/>
              <w:right w:type="dxa" w:w="120"/>
            </w:tcMar>
          </w:tcPr>
          <w:p>
            <w:r>
              <w:rPr>
                <w:b/>
                <w:bCs/>
                <w:color w:val="FFFFFF"/>
              </w:rPr>
              <w:t xml:space="preserve">#0B1320</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Headlines, primary text, dark surfaces, sidebar</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Orange (action)</w:t>
            </w:r>
          </w:p>
        </w:tc>
        <w:tc>
          <w:tcPr>
            <w:tcW w:type="dxa" w:w="2400"/>
            <w:tcBorders>
              <w:top w:val="single" w:color="D9DEE8" w:sz="1"/>
              <w:left w:val="single" w:color="D9DEE8" w:sz="1"/>
              <w:bottom w:val="single" w:color="D9DEE8" w:sz="1"/>
              <w:right w:val="single" w:color="D9DEE8" w:sz="1"/>
            </w:tcBorders>
            <w:shd w:fill="FF3B00" w:val="clear"/>
            <w:tcMar>
              <w:top w:type="dxa" w:w="80"/>
              <w:left w:type="dxa" w:w="120"/>
              <w:bottom w:type="dxa" w:w="80"/>
              <w:right w:type="dxa" w:w="120"/>
            </w:tcMar>
          </w:tcPr>
          <w:p>
            <w:r>
              <w:rPr>
                <w:b/>
                <w:bCs/>
                <w:color w:val="FFFFFF"/>
              </w:rPr>
              <w:t xml:space="preserve">#FF3B00</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Primary CTAs and action buttons only. Use sparingly.</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Teal (positive)</w:t>
            </w:r>
          </w:p>
        </w:tc>
        <w:tc>
          <w:tcPr>
            <w:tcW w:type="dxa" w:w="2400"/>
            <w:tcBorders>
              <w:top w:val="single" w:color="D9DEE8" w:sz="1"/>
              <w:left w:val="single" w:color="D9DEE8" w:sz="1"/>
              <w:bottom w:val="single" w:color="D9DEE8" w:sz="1"/>
              <w:right w:val="single" w:color="D9DEE8" w:sz="1"/>
            </w:tcBorders>
            <w:shd w:fill="00A99D" w:val="clear"/>
            <w:tcMar>
              <w:top w:type="dxa" w:w="80"/>
              <w:left w:type="dxa" w:w="120"/>
              <w:bottom w:type="dxa" w:w="80"/>
              <w:right w:type="dxa" w:w="120"/>
            </w:tcMar>
          </w:tcPr>
          <w:p>
            <w:r>
              <w:rPr>
                <w:b/>
                <w:bCs/>
                <w:color w:val="FFFFFF"/>
              </w:rPr>
              <w:t xml:space="preserve">#00A99D</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Positive status, success, 'ready', accents</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Cream (canvas)</w:t>
            </w:r>
          </w:p>
        </w:tc>
        <w:tc>
          <w:tcPr>
            <w:tcW w:type="dxa" w:w="2400"/>
            <w:tcBorders>
              <w:top w:val="single" w:color="D9DEE8" w:sz="1"/>
              <w:left w:val="single" w:color="D9DEE8" w:sz="1"/>
              <w:bottom w:val="single" w:color="D9DEE8" w:sz="1"/>
              <w:right w:val="single" w:color="D9DEE8" w:sz="1"/>
            </w:tcBorders>
            <w:shd w:fill="F7F3EC" w:val="clear"/>
            <w:tcMar>
              <w:top w:type="dxa" w:w="80"/>
              <w:left w:type="dxa" w:w="120"/>
              <w:bottom w:type="dxa" w:w="80"/>
              <w:right w:type="dxa" w:w="120"/>
            </w:tcMar>
          </w:tcPr>
          <w:p>
            <w:r>
              <w:rPr>
                <w:b/>
                <w:bCs/>
                <w:color w:val="5A6275"/>
              </w:rPr>
              <w:t xml:space="preserve">#F7F3EC</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Warm section backgrounds, calm surfaces</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Ink</w:t>
            </w:r>
          </w:p>
        </w:tc>
        <w:tc>
          <w:tcPr>
            <w:tcW w:type="dxa" w:w="2400"/>
            <w:tcBorders>
              <w:top w:val="single" w:color="D9DEE8" w:sz="1"/>
              <w:left w:val="single" w:color="D9DEE8" w:sz="1"/>
              <w:bottom w:val="single" w:color="D9DEE8" w:sz="1"/>
              <w:right w:val="single" w:color="D9DEE8" w:sz="1"/>
            </w:tcBorders>
            <w:shd w:fill="1A1D26" w:val="clear"/>
            <w:tcMar>
              <w:top w:type="dxa" w:w="80"/>
              <w:left w:type="dxa" w:w="120"/>
              <w:bottom w:type="dxa" w:w="80"/>
              <w:right w:type="dxa" w:w="120"/>
            </w:tcMar>
          </w:tcPr>
          <w:p>
            <w:r>
              <w:rPr>
                <w:b/>
                <w:bCs/>
                <w:color w:val="FFFFFF"/>
              </w:rPr>
              <w:t xml:space="preserve">#1A1D26</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Body text</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Muted</w:t>
            </w:r>
          </w:p>
        </w:tc>
        <w:tc>
          <w:tcPr>
            <w:tcW w:type="dxa" w:w="2400"/>
            <w:tcBorders>
              <w:top w:val="single" w:color="D9DEE8" w:sz="1"/>
              <w:left w:val="single" w:color="D9DEE8" w:sz="1"/>
              <w:bottom w:val="single" w:color="D9DEE8" w:sz="1"/>
              <w:right w:val="single" w:color="D9DEE8" w:sz="1"/>
            </w:tcBorders>
            <w:shd w:fill="5A6275" w:val="clear"/>
            <w:tcMar>
              <w:top w:type="dxa" w:w="80"/>
              <w:left w:type="dxa" w:w="120"/>
              <w:bottom w:type="dxa" w:w="80"/>
              <w:right w:type="dxa" w:w="120"/>
            </w:tcMar>
          </w:tcPr>
          <w:p>
            <w:r>
              <w:rPr>
                <w:b/>
                <w:bCs/>
                <w:color w:val="FFFFFF"/>
              </w:rPr>
              <w:t xml:space="preserve">#5A6275</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Secondary text</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Faint</w:t>
            </w:r>
          </w:p>
        </w:tc>
        <w:tc>
          <w:tcPr>
            <w:tcW w:type="dxa" w:w="2400"/>
            <w:tcBorders>
              <w:top w:val="single" w:color="D9DEE8" w:sz="1"/>
              <w:left w:val="single" w:color="D9DEE8" w:sz="1"/>
              <w:bottom w:val="single" w:color="D9DEE8" w:sz="1"/>
              <w:right w:val="single" w:color="D9DEE8" w:sz="1"/>
            </w:tcBorders>
            <w:shd w:fill="8A93A6" w:val="clear"/>
            <w:tcMar>
              <w:top w:type="dxa" w:w="80"/>
              <w:left w:type="dxa" w:w="120"/>
              <w:bottom w:type="dxa" w:w="80"/>
              <w:right w:type="dxa" w:w="120"/>
            </w:tcMar>
          </w:tcPr>
          <w:p>
            <w:r>
              <w:rPr>
                <w:b/>
                <w:bCs/>
                <w:color w:val="FFFFFF"/>
              </w:rPr>
              <w:t xml:space="preserve">#8A93A6</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Tertiary text, labels, metadata</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Green (done)</w:t>
            </w:r>
          </w:p>
        </w:tc>
        <w:tc>
          <w:tcPr>
            <w:tcW w:type="dxa" w:w="2400"/>
            <w:tcBorders>
              <w:top w:val="single" w:color="D9DEE8" w:sz="1"/>
              <w:left w:val="single" w:color="D9DEE8" w:sz="1"/>
              <w:bottom w:val="single" w:color="D9DEE8" w:sz="1"/>
              <w:right w:val="single" w:color="D9DEE8" w:sz="1"/>
            </w:tcBorders>
            <w:shd w:fill="3DD598" w:val="clear"/>
            <w:tcMar>
              <w:top w:type="dxa" w:w="80"/>
              <w:left w:type="dxa" w:w="120"/>
              <w:bottom w:type="dxa" w:w="80"/>
              <w:right w:type="dxa" w:w="120"/>
            </w:tcMar>
          </w:tcPr>
          <w:p>
            <w:r>
              <w:rPr>
                <w:b/>
                <w:bCs/>
                <w:color w:val="FFFFFF"/>
              </w:rPr>
              <w:t xml:space="preserve">#3DD598</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Completed stepper stages</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Amber (waiting)</w:t>
            </w:r>
          </w:p>
        </w:tc>
        <w:tc>
          <w:tcPr>
            <w:tcW w:type="dxa" w:w="2400"/>
            <w:tcBorders>
              <w:top w:val="single" w:color="D9DEE8" w:sz="1"/>
              <w:left w:val="single" w:color="D9DEE8" w:sz="1"/>
              <w:bottom w:val="single" w:color="D9DEE8" w:sz="1"/>
              <w:right w:val="single" w:color="D9DEE8" w:sz="1"/>
            </w:tcBorders>
            <w:shd w:fill="E0A93B" w:val="clear"/>
            <w:tcMar>
              <w:top w:type="dxa" w:w="80"/>
              <w:left w:type="dxa" w:w="120"/>
              <w:bottom w:type="dxa" w:w="80"/>
              <w:right w:type="dxa" w:w="120"/>
            </w:tcMar>
          </w:tcPr>
          <w:p>
            <w:r>
              <w:rPr>
                <w:b/>
                <w:bCs/>
                <w:color w:val="FFFFFF"/>
              </w:rPr>
              <w:t xml:space="preserve">#E0A93B</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With-the-court / waiting status</w:t>
            </w:r>
          </w:p>
        </w:tc>
      </w:tr>
      <w:tr>
        <w:tc>
          <w:tcPr>
            <w:tcW w:type="dxa" w:w="2400"/>
            <w:tcBorders>
              <w:top w:val="single" w:color="D9DEE8" w:sz="1"/>
              <w:left w:val="single" w:color="D9DEE8" w:sz="1"/>
              <w:bottom w:val="single" w:color="D9DEE8" w:sz="1"/>
              <w:right w:val="single" w:color="D9DEE8" w:sz="1"/>
            </w:tcBorders>
            <w:tcMar>
              <w:top w:type="dxa" w:w="80"/>
              <w:left w:type="dxa" w:w="120"/>
              <w:bottom w:type="dxa" w:w="80"/>
              <w:right w:type="dxa" w:w="120"/>
            </w:tcMar>
          </w:tcPr>
          <w:p>
            <w:r>
              <w:rPr>
                <w:b/>
                <w:bCs/>
              </w:rPr>
              <w:t xml:space="preserve">Red (attention)</w:t>
            </w:r>
          </w:p>
        </w:tc>
        <w:tc>
          <w:tcPr>
            <w:tcW w:type="dxa" w:w="2400"/>
            <w:tcBorders>
              <w:top w:val="single" w:color="D9DEE8" w:sz="1"/>
              <w:left w:val="single" w:color="D9DEE8" w:sz="1"/>
              <w:bottom w:val="single" w:color="D9DEE8" w:sz="1"/>
              <w:right w:val="single" w:color="D9DEE8" w:sz="1"/>
            </w:tcBorders>
            <w:shd w:fill="E5484D" w:val="clear"/>
            <w:tcMar>
              <w:top w:type="dxa" w:w="80"/>
              <w:left w:type="dxa" w:w="120"/>
              <w:bottom w:type="dxa" w:w="80"/>
              <w:right w:type="dxa" w:w="120"/>
            </w:tcMar>
          </w:tcPr>
          <w:p>
            <w:r>
              <w:rPr>
                <w:b/>
                <w:bCs/>
                <w:color w:val="FFFFFF"/>
              </w:rPr>
              <w:t xml:space="preserve">#E5484D</w:t>
            </w:r>
          </w:p>
        </w:tc>
        <w:tc>
          <w:tcPr>
            <w:tcW w:type="dxa" w:w="4560"/>
            <w:tcBorders>
              <w:top w:val="single" w:color="D9DEE8" w:sz="1"/>
              <w:left w:val="single" w:color="D9DEE8" w:sz="1"/>
              <w:bottom w:val="single" w:color="D9DEE8" w:sz="1"/>
              <w:right w:val="single" w:color="D9DEE8" w:sz="1"/>
            </w:tcBorders>
            <w:tcMar>
              <w:top w:type="dxa" w:w="80"/>
              <w:left w:type="dxa" w:w="120"/>
              <w:bottom w:type="dxa" w:w="80"/>
              <w:right w:type="dxa" w:w="120"/>
            </w:tcMar>
          </w:tcPr>
          <w:p>
            <w:r>
              <w:t xml:space="preserve">Needs attention, missing info, deadlines</w:t>
            </w:r>
          </w:p>
        </w:tc>
      </w:tr>
    </w:tbl>
    <w:p>
      <w:pPr>
        <w:pStyle w:val="Heading3"/>
      </w:pPr>
      <w:r>
        <w:t xml:space="preserve">Typography</w:t>
      </w:r>
    </w:p>
    <w:p>
      <w:pPr>
        <w:pStyle w:val="ListParagraph"/>
        <w:numPr>
          <w:ilvl w:val="0"/>
          <w:numId w:val="2"/>
        </w:numPr>
        <w:spacing w:after="60"/>
      </w:pPr>
      <w:r>
        <w:rPr>
          <w:b/>
          <w:bCs/>
        </w:rPr>
        <w:t xml:space="preserve">Typeface: </w:t>
      </w:r>
      <w:r>
        <w:t xml:space="preserve">Sora across the product (the marketing site uses it too). Weights: 800 headlines, 700 subheads, 600 emphasis, 500 body, 400 long text.</w:t>
      </w:r>
    </w:p>
    <w:p>
      <w:pPr>
        <w:pStyle w:val="ListParagraph"/>
        <w:numPr>
          <w:ilvl w:val="0"/>
          <w:numId w:val="2"/>
        </w:numPr>
        <w:spacing w:after="60"/>
      </w:pPr>
      <w:r>
        <w:rPr>
          <w:b/>
          <w:bCs/>
        </w:rPr>
        <w:t xml:space="preserve">Scale (approx): </w:t>
      </w:r>
      <w:r>
        <w:t xml:space="preserve">Page title 24px/800; section title 15px/700; card title 16px/700; body 13-14px/500; labels 10-11px/600 uppercase, letter-spacing .07em; metadata 11-12px/500.</w:t>
      </w:r>
    </w:p>
    <w:p>
      <w:pPr>
        <w:pStyle w:val="Heading3"/>
      </w:pPr>
      <w:r>
        <w:t xml:space="preserve">Surfaces &amp; shape</w:t>
      </w:r>
    </w:p>
    <w:p>
      <w:pPr>
        <w:pStyle w:val="ListParagraph"/>
        <w:numPr>
          <w:ilvl w:val="0"/>
          <w:numId w:val="2"/>
        </w:numPr>
        <w:spacing w:after="60"/>
      </w:pPr>
      <w:r>
        <w:t xml:space="preserve">Cards: white, 1px border #ECEFF4, radius 14-16px, soft shadow 0 10px 30px rgba(11,19,32,.05).</w:t>
      </w:r>
    </w:p>
    <w:p>
      <w:pPr>
        <w:pStyle w:val="ListParagraph"/>
        <w:numPr>
          <w:ilvl w:val="0"/>
          <w:numId w:val="2"/>
        </w:numPr>
        <w:spacing w:after="60"/>
      </w:pPr>
      <w:r>
        <w:t xml:space="preserve">Sidebar: very dark navy #0B1326. App canvas: near-white #FBFCFE. Warm sections (where used): cream #F7F3EC.</w:t>
      </w:r>
    </w:p>
    <w:p>
      <w:pPr>
        <w:pStyle w:val="ListParagraph"/>
        <w:numPr>
          <w:ilvl w:val="0"/>
          <w:numId w:val="2"/>
        </w:numPr>
        <w:spacing w:after="60"/>
      </w:pPr>
      <w:r>
        <w:t xml:space="preserve">Buttons: radius 9-11px. Primary = orange fill, white text. Secondary = light gray fill (#F0F2F6), navy text. Icon buttons = white, 1px border, faint icon.</w:t>
      </w:r>
    </w:p>
    <w:p>
      <w:r>
        <w:br w:type="page"/>
      </w:r>
    </w:p>
    <w:p>
      <w:pPr>
        <w:pStyle w:val="Heading1"/>
      </w:pPr>
      <w:r>
        <w:t xml:space="preserve">4. App shell</w:t>
      </w:r>
    </w:p>
    <w:p>
      <w:pPr>
        <w:pStyle w:val="Heading3"/>
      </w:pPr>
      <w:r>
        <w:t xml:space="preserve">Sidebar (left, ~248px, dark navy)</w:t>
      </w:r>
    </w:p>
    <w:p>
      <w:pPr>
        <w:pStyle w:val="ListParagraph"/>
        <w:numPr>
          <w:ilvl w:val="0"/>
          <w:numId w:val="2"/>
        </w:numPr>
        <w:spacing w:after="60"/>
      </w:pPr>
      <w:r>
        <w:t xml:space="preserve">Logo (wordmark + mark) at top.</w:t>
      </w:r>
    </w:p>
    <w:p>
      <w:pPr>
        <w:pStyle w:val="ListParagraph"/>
        <w:numPr>
          <w:ilvl w:val="0"/>
          <w:numId w:val="2"/>
        </w:numPr>
        <w:spacing w:after="60"/>
      </w:pPr>
      <w:r>
        <w:t xml:space="preserve">User chip: avatar (initials on navy-to-teal gradient), name, email.</w:t>
      </w:r>
    </w:p>
    <w:p>
      <w:pPr>
        <w:pStyle w:val="ListParagraph"/>
        <w:numPr>
          <w:ilvl w:val="0"/>
          <w:numId w:val="2"/>
        </w:numPr>
        <w:spacing w:after="60"/>
      </w:pPr>
      <w:r>
        <w:rPr>
          <w:b/>
          <w:bCs/>
        </w:rPr>
        <w:t xml:space="preserve">Primary nav: </w:t>
      </w:r>
      <w:r>
        <w:t xml:space="preserve">Briefcase (home), My matters, Documents. Active item has teal-tinted background and teal icon.</w:t>
      </w:r>
    </w:p>
    <w:p>
      <w:pPr>
        <w:pStyle w:val="ListParagraph"/>
        <w:numPr>
          <w:ilvl w:val="0"/>
          <w:numId w:val="2"/>
        </w:numPr>
        <w:spacing w:after="60"/>
      </w:pPr>
      <w:r>
        <w:rPr>
          <w:b/>
          <w:bCs/>
        </w:rPr>
        <w:t xml:space="preserve">Account nav: </w:t>
      </w:r>
      <w:r>
        <w:t xml:space="preserve">Profile, Settings.</w:t>
      </w:r>
    </w:p>
    <w:p>
      <w:pPr>
        <w:pStyle w:val="ListParagraph"/>
        <w:numPr>
          <w:ilvl w:val="0"/>
          <w:numId w:val="2"/>
        </w:numPr>
        <w:spacing w:after="60"/>
      </w:pPr>
      <w:r>
        <w:rPr>
          <w:b/>
          <w:bCs/>
        </w:rPr>
        <w:t xml:space="preserve">Help card (bottom): </w:t>
      </w:r>
      <w:r>
        <w:t xml:space="preserve">'Stuck on something?' with an Ask Wilma button. Persistent.</w:t>
      </w:r>
    </w:p>
    <w:p>
      <w:pPr>
        <w:pStyle w:val="Heading3"/>
      </w:pPr>
      <w:r>
        <w:t xml:space="preserve">Top bar (~62px)</w:t>
      </w:r>
    </w:p>
    <w:p>
      <w:pPr>
        <w:pStyle w:val="ListParagraph"/>
        <w:numPr>
          <w:ilvl w:val="0"/>
          <w:numId w:val="2"/>
        </w:numPr>
        <w:spacing w:after="60"/>
      </w:pPr>
      <w:r>
        <w:t xml:space="preserve">Left: breadcrumb (e.g. 'My matters / Disorderly conduct'). Current item in ink, parents in faint.</w:t>
      </w:r>
    </w:p>
    <w:p>
      <w:pPr>
        <w:pStyle w:val="ListParagraph"/>
        <w:numPr>
          <w:ilvl w:val="0"/>
          <w:numId w:val="2"/>
        </w:numPr>
        <w:spacing w:after="60"/>
      </w:pPr>
      <w:r>
        <w:t xml:space="preserve">Right: notifications bell (icon button), and on the home screen, the 'New record check' primary button (orange).</w:t>
      </w:r>
    </w:p>
    <w:p>
      <w:pPr>
        <w:pStyle w:val="Heading3"/>
      </w:pPr>
      <w:r>
        <w:t xml:space="preserve">Wilma affordance</w:t>
      </w:r>
    </w:p>
    <w:p>
      <w:pPr>
        <w:pStyle w:val="ListParagraph"/>
        <w:numPr>
          <w:ilvl w:val="0"/>
          <w:numId w:val="2"/>
        </w:numPr>
        <w:spacing w:after="60"/>
      </w:pPr>
      <w:r>
        <w:t xml:space="preserve">Floating pill, bottom-right, on every screen: 'Ask Wilma' label + circular gradient orb with a chat icon. Opens a chat panel. Wilma gives plain-language explanation and guidance only, never legal advice, and the UI copy should make that boundary feel natural, not lawyerly.</w:t>
      </w:r>
    </w:p>
    <w:p>
      <w:pPr>
        <w:pStyle w:val="Heading1"/>
      </w:pPr>
      <w:r>
        <w:t xml:space="preserve">5. Screens</w:t>
      </w:r>
    </w:p>
    <w:p>
      <w:pPr>
        <w:pStyle w:val="Heading2"/>
      </w:pPr>
      <w:r>
        <w:t xml:space="preserve">5.1 Briefcase home (default landed state)</w:t>
      </w:r>
    </w:p>
    <w:p>
      <w:pPr>
        <w:spacing w:after="120"/>
      </w:pPr>
      <w:r>
        <w:t xml:space="preserve">The screen a returning user with active matters sees. Top to bottom:</w:t>
      </w:r>
    </w:p>
    <w:p>
      <w:pPr>
        <w:pStyle w:val="ListParagraph"/>
        <w:numPr>
          <w:ilvl w:val="0"/>
          <w:numId w:val="2"/>
        </w:numPr>
        <w:spacing w:after="60"/>
      </w:pPr>
      <w:r>
        <w:rPr>
          <w:b/>
          <w:bCs/>
        </w:rPr>
        <w:t xml:space="preserve">Greeting: </w:t>
      </w:r>
      <w:r>
        <w:t xml:space="preserve">'Welcome back, [name]' + one-line status summary ('You have 2 records in progress. Here's where things stand.').</w:t>
      </w:r>
    </w:p>
    <w:p>
      <w:pPr>
        <w:pStyle w:val="ListParagraph"/>
        <w:numPr>
          <w:ilvl w:val="0"/>
          <w:numId w:val="2"/>
        </w:numPr>
        <w:spacing w:after="60"/>
      </w:pPr>
      <w:r>
        <w:rPr>
          <w:b/>
          <w:bCs/>
        </w:rPr>
        <w:t xml:space="preserve">Next-step banner (hero of the screen): </w:t>
      </w:r>
      <w:r>
        <w:t xml:space="preserve">Dark navy gradient block. Eyebrow 'YOUR NEXT STEP' in teal with a glowing dot, a bold action headline ('File your Philadelphia petition'), a one-line plain explanation, and a single orange CTA ('Show me how to file -&gt;'). This is the most prominent element. Only ever one next step shown.</w:t>
      </w:r>
    </w:p>
    <w:p>
      <w:pPr>
        <w:pStyle w:val="ListParagraph"/>
        <w:numPr>
          <w:ilvl w:val="0"/>
          <w:numId w:val="2"/>
        </w:numPr>
        <w:spacing w:after="60"/>
      </w:pPr>
      <w:r>
        <w:rPr>
          <w:b/>
          <w:bCs/>
        </w:rPr>
        <w:t xml:space="preserve">Stat row (4 cards): </w:t>
      </w:r>
      <w:r>
        <w:t xml:space="preserve">In progress, Ready to file (teal value), Documents, Cleared. Glanceable counts, each with a tiny sublabel.</w:t>
      </w:r>
    </w:p>
    <w:p>
      <w:pPr>
        <w:pStyle w:val="ListParagraph"/>
        <w:numPr>
          <w:ilvl w:val="0"/>
          <w:numId w:val="2"/>
        </w:numPr>
        <w:spacing w:after="60"/>
      </w:pPr>
      <w:r>
        <w:rPr>
          <w:b/>
          <w:bCs/>
        </w:rPr>
        <w:t xml:space="preserve">Your matters: </w:t>
      </w:r>
      <w:r>
        <w:t xml:space="preserve">Section header with 'View all'. Matter cards in a 2-up grid (1-up on mobile).</w:t>
      </w:r>
    </w:p>
    <w:p>
      <w:pPr>
        <w:pStyle w:val="Heading3"/>
      </w:pPr>
      <w:r>
        <w:t xml:space="preserve">Matter card</w:t>
      </w:r>
    </w:p>
    <w:p>
      <w:pPr>
        <w:pStyle w:val="ListParagraph"/>
        <w:numPr>
          <w:ilvl w:val="0"/>
          <w:numId w:val="2"/>
        </w:numPr>
        <w:spacing w:after="60"/>
      </w:pPr>
      <w:r>
        <w:t xml:space="preserve">Title (the charge, e.g. 'Disorderly conduct'), subtitle (jurisdiction + disposition + year), and a status pill (top-right).</w:t>
      </w:r>
    </w:p>
    <w:p>
      <w:pPr>
        <w:pStyle w:val="ListParagraph"/>
        <w:numPr>
          <w:ilvl w:val="0"/>
          <w:numId w:val="2"/>
        </w:numPr>
        <w:spacing w:after="60"/>
      </w:pPr>
      <w:r>
        <w:rPr>
          <w:b/>
          <w:bCs/>
        </w:rPr>
        <w:t xml:space="preserve">Stepper (5 stages, always the same): </w:t>
      </w:r>
      <w:r>
        <w:t xml:space="preserve">Reviewed, Prepared, File it, Court, Decision. Done stages = green check nodes + green connector; current stage = orange ring; future = gray. Clicking the card opens the matter detail.</w:t>
      </w:r>
    </w:p>
    <w:p>
      <w:pPr>
        <w:pStyle w:val="Heading2"/>
      </w:pPr>
      <w:r>
        <w:t xml:space="preserve">5.2 Matter detail (documents nested here)</w:t>
      </w:r>
    </w:p>
    <w:p>
      <w:pPr>
        <w:spacing w:after="120"/>
      </w:pPr>
      <w:r>
        <w:t xml:space="preserve">Opened from a matter card. This is where the documents and the filing instructions live. Top to bottom:</w:t>
      </w:r>
    </w:p>
    <w:p>
      <w:pPr>
        <w:pStyle w:val="ListParagraph"/>
        <w:numPr>
          <w:ilvl w:val="0"/>
          <w:numId w:val="2"/>
        </w:numPr>
        <w:spacing w:after="60"/>
      </w:pPr>
      <w:r>
        <w:t xml:space="preserve">Header: charge title, full subtitle (jurisdiction, disposition, case number), status pill.</w:t>
      </w:r>
    </w:p>
    <w:p>
      <w:pPr>
        <w:pStyle w:val="ListParagraph"/>
        <w:numPr>
          <w:ilvl w:val="0"/>
          <w:numId w:val="2"/>
        </w:numPr>
        <w:spacing w:after="60"/>
      </w:pPr>
      <w:r>
        <w:t xml:space="preserve">The same 5-stage stepper, larger.</w:t>
      </w:r>
    </w:p>
    <w:p>
      <w:pPr>
        <w:pStyle w:val="ListParagraph"/>
        <w:numPr>
          <w:ilvl w:val="0"/>
          <w:numId w:val="2"/>
        </w:numPr>
        <w:spacing w:after="60"/>
      </w:pPr>
      <w:r>
        <w:rPr>
          <w:b/>
          <w:bCs/>
        </w:rPr>
        <w:t xml:space="preserve">How to file (the highest-care block): </w:t>
      </w:r>
      <w:r>
        <w:t xml:space="preserve">A prominent card with state-specific, numbered filing steps. This content is DYNAMIC, generated per jurisdiction from the engine's state pack, so the design must accommodate variable step counts and text length. Each step has a number node on a vertical connector, a bold title, and a plain-language detail line (where to go, what to bring, hours, fee-waiver guidance). Ends with an 'I've filed this, mark as submitted' action that advances the stepper.</w:t>
      </w:r>
    </w:p>
    <w:p>
      <w:pPr>
        <w:pStyle w:val="ListParagraph"/>
        <w:numPr>
          <w:ilvl w:val="0"/>
          <w:numId w:val="2"/>
        </w:numPr>
        <w:spacing w:after="60"/>
      </w:pPr>
      <w:r>
        <w:rPr>
          <w:b/>
          <w:bCs/>
        </w:rPr>
        <w:t xml:space="preserve">Your documents (nested doc list): </w:t>
      </w:r>
      <w:r>
        <w:t xml:space="preserve">Each row: document icon, name, metadata ('Prepared, ready to print, 4 pages'), and Preview + Download actions. 'Download all' in the section header.</w:t>
      </w:r>
    </w:p>
    <w:p>
      <w:pPr>
        <w:spacing w:after="120"/>
      </w:pPr>
      <w:r>
        <w:rPr>
          <w:i/>
          <w:iCs/>
          <w:color w:val="5A6275"/>
        </w:rPr>
        <w:t xml:space="preserve">Design note: the filing instructions outrank the document list in visual priority. A scared user needs to know what to DO before they need the files.</w:t>
      </w:r>
    </w:p>
    <w:p>
      <w:pPr>
        <w:pStyle w:val="Heading2"/>
      </w:pPr>
      <w:r>
        <w:t xml:space="preserve">5.3 Empty / first-time state</w:t>
      </w:r>
    </w:p>
    <w:p>
      <w:pPr>
        <w:spacing w:after="120"/>
      </w:pPr>
      <w:r>
        <w:t xml:space="preserve">What a brand-new user with no matters sees. Do NOT show an empty dashboard shell with zeroes. Instead, a warm centered state:</w:t>
      </w:r>
    </w:p>
    <w:p>
      <w:pPr>
        <w:pStyle w:val="ListParagraph"/>
        <w:numPr>
          <w:ilvl w:val="0"/>
          <w:numId w:val="2"/>
        </w:numPr>
        <w:spacing w:after="60"/>
      </w:pPr>
      <w:r>
        <w:t xml:space="preserve">Soft circular illustration (briefcase or path motif) on cream.</w:t>
      </w:r>
    </w:p>
    <w:p>
      <w:pPr>
        <w:pStyle w:val="ListParagraph"/>
        <w:numPr>
          <w:ilvl w:val="0"/>
          <w:numId w:val="2"/>
        </w:numPr>
        <w:spacing w:after="60"/>
      </w:pPr>
      <w:r>
        <w:t xml:space="preserve">Headline: 'Let's find out what you can clear.'</w:t>
      </w:r>
    </w:p>
    <w:p>
      <w:pPr>
        <w:pStyle w:val="ListParagraph"/>
        <w:numPr>
          <w:ilvl w:val="0"/>
          <w:numId w:val="2"/>
        </w:numPr>
        <w:spacing w:after="60"/>
      </w:pPr>
      <w:r>
        <w:t xml:space="preserve">One plain paragraph: free, ~3 minutes, see where you stand before paying.</w:t>
      </w:r>
    </w:p>
    <w:p>
      <w:pPr>
        <w:pStyle w:val="ListParagraph"/>
        <w:numPr>
          <w:ilvl w:val="0"/>
          <w:numId w:val="2"/>
        </w:numPr>
        <w:spacing w:after="60"/>
      </w:pPr>
      <w:r>
        <w:t xml:space="preserve">Single orange CTA: 'Check if I qualify.' Wilma pill still present.</w:t>
      </w:r>
    </w:p>
    <w:p>
      <w:pPr>
        <w:pStyle w:val="Heading2"/>
      </w:pPr>
      <w:r>
        <w:t xml:space="preserve">5.4 Other care states (to design)</w:t>
      </w:r>
    </w:p>
    <w:p>
      <w:pPr>
        <w:spacing w:after="120"/>
      </w:pPr>
      <w:r>
        <w:t xml:space="preserve">These are real states the product must handle gracefully. Each should feel supportive, never cold or dead-ended:</w:t>
      </w:r>
    </w:p>
    <w:p>
      <w:pPr>
        <w:pStyle w:val="ListParagraph"/>
        <w:numPr>
          <w:ilvl w:val="0"/>
          <w:numId w:val="2"/>
        </w:numPr>
        <w:spacing w:after="60"/>
      </w:pPr>
      <w:r>
        <w:rPr>
          <w:b/>
          <w:bCs/>
        </w:rPr>
        <w:t xml:space="preserve">Waiting (with the court): </w:t>
      </w:r>
      <w:r>
        <w:t xml:space="preserve">Matter is filed and awaiting a decision. Show reassurance and rough timeline expectations, not a demand for action. Amber status.</w:t>
      </w:r>
    </w:p>
    <w:p>
      <w:pPr>
        <w:pStyle w:val="ListParagraph"/>
        <w:numPr>
          <w:ilvl w:val="0"/>
          <w:numId w:val="2"/>
        </w:numPr>
        <w:spacing w:after="60"/>
      </w:pPr>
      <w:r>
        <w:rPr>
          <w:b/>
          <w:bCs/>
        </w:rPr>
        <w:t xml:space="preserve">Missing info / needs attention: </w:t>
      </w:r>
      <w:r>
        <w:t xml:space="preserve">We need something from the user before we can prepare documents. Red 'Needs your attention' pill, a clear single ask, and a way to provide it. Never blame the user.</w:t>
      </w:r>
    </w:p>
    <w:p>
      <w:pPr>
        <w:pStyle w:val="ListParagraph"/>
        <w:numPr>
          <w:ilvl w:val="0"/>
          <w:numId w:val="2"/>
        </w:numPr>
        <w:spacing w:after="60"/>
      </w:pPr>
      <w:r>
        <w:rPr>
          <w:b/>
          <w:bCs/>
        </w:rPr>
        <w:t xml:space="preserve">Decision, denied: </w:t>
      </w:r>
      <w:r>
        <w:t xml:space="preserve">The most emotionally delicate screen. Deliver the outcome with care, explain in plain terms what it means and what options remain (refile, alternative relief), and keep Wilma close. This screen should be designed with the most sensitivity.</w:t>
      </w:r>
    </w:p>
    <w:p>
      <w:pPr>
        <w:pStyle w:val="ListParagraph"/>
        <w:numPr>
          <w:ilvl w:val="0"/>
          <w:numId w:val="2"/>
        </w:numPr>
        <w:spacing w:after="60"/>
      </w:pPr>
      <w:r>
        <w:rPr>
          <w:b/>
          <w:bCs/>
        </w:rPr>
        <w:t xml:space="preserve">Decision, granted (cleared): </w:t>
      </w:r>
      <w:r>
        <w:t xml:space="preserve">A genuine moment of relief and accomplishment. Celebrate appropriately, then explain any follow-up (keeping the order, what changes now). Teal/green.</w:t>
      </w:r>
    </w:p>
    <w:p>
      <w:r>
        <w:br w:type="page"/>
      </w:r>
    </w:p>
    <w:p>
      <w:pPr>
        <w:pStyle w:val="Heading1"/>
      </w:pPr>
      <w:r>
        <w:t xml:space="preserve">6. Components</w:t>
      </w:r>
    </w:p>
    <w:p>
      <w:pPr>
        <w:pStyle w:val="Heading3"/>
      </w:pPr>
      <w:r>
        <w:t xml:space="preserve">Status pills</w:t>
      </w:r>
    </w:p>
    <w:p>
      <w:pPr>
        <w:pStyle w:val="ListParagraph"/>
        <w:numPr>
          <w:ilvl w:val="0"/>
          <w:numId w:val="2"/>
        </w:numPr>
        <w:spacing w:after="60"/>
      </w:pPr>
      <w:r>
        <w:t xml:space="preserve">Reviewing eligibility (gray), Ready to file (teal), With the court (amber), Cleared (green), Needs your attention (red).</w:t>
      </w:r>
    </w:p>
    <w:p>
      <w:pPr>
        <w:pStyle w:val="ListParagraph"/>
        <w:numPr>
          <w:ilvl w:val="0"/>
          <w:numId w:val="2"/>
        </w:numPr>
        <w:spacing w:after="60"/>
      </w:pPr>
      <w:r>
        <w:t xml:space="preserve">Pill color maps to the matter's current stepper stage. 'Needs your attention' (red) overrides all others when we are blocked on the user or a deadline is near.</w:t>
      </w:r>
    </w:p>
    <w:p>
      <w:pPr>
        <w:pStyle w:val="Heading3"/>
      </w:pPr>
      <w:r>
        <w:t xml:space="preserve">The 5-stage stepper</w:t>
      </w:r>
    </w:p>
    <w:p>
      <w:pPr>
        <w:pStyle w:val="ListParagraph"/>
        <w:numPr>
          <w:ilvl w:val="0"/>
          <w:numId w:val="2"/>
        </w:numPr>
        <w:spacing w:after="60"/>
      </w:pPr>
      <w:r>
        <w:t xml:space="preserve">Stages, fixed and always shown: Reviewed -&gt; Prepared -&gt; File it -&gt; Court -&gt; Decision.</w:t>
      </w:r>
    </w:p>
    <w:p>
      <w:pPr>
        <w:pStyle w:val="ListParagraph"/>
        <w:numPr>
          <w:ilvl w:val="0"/>
          <w:numId w:val="2"/>
        </w:numPr>
        <w:spacing w:after="60"/>
      </w:pPr>
      <w:r>
        <w:t xml:space="preserve">Done = green filled node with check + green connector. Current = white node, orange ring, orange number. Future = white node, gray ring, faint number.</w:t>
      </w:r>
    </w:p>
    <w:p>
      <w:pPr>
        <w:pStyle w:val="Heading3"/>
      </w:pPr>
      <w:r>
        <w:t xml:space="preserve">Buttons</w:t>
      </w:r>
    </w:p>
    <w:p>
      <w:pPr>
        <w:pStyle w:val="ListParagraph"/>
        <w:numPr>
          <w:ilvl w:val="0"/>
          <w:numId w:val="2"/>
        </w:numPr>
        <w:spacing w:after="60"/>
      </w:pPr>
      <w:r>
        <w:t xml:space="preserve">Primary (orange): the one main action on a screen. Used very sparingly, one per context.</w:t>
      </w:r>
    </w:p>
    <w:p>
      <w:pPr>
        <w:pStyle w:val="ListParagraph"/>
        <w:numPr>
          <w:ilvl w:val="0"/>
          <w:numId w:val="2"/>
        </w:numPr>
        <w:spacing w:after="60"/>
      </w:pPr>
      <w:r>
        <w:t xml:space="preserve">Secondary (light gray fill, navy text), tertiary/ghost, and icon buttons for everything else.</w:t>
      </w:r>
    </w:p>
    <w:p>
      <w:pPr>
        <w:pStyle w:val="Heading3"/>
      </w:pPr>
      <w:r>
        <w:t xml:space="preserve">Document row</w:t>
      </w:r>
    </w:p>
    <w:p>
      <w:pPr>
        <w:pStyle w:val="ListParagraph"/>
        <w:numPr>
          <w:ilvl w:val="0"/>
          <w:numId w:val="2"/>
        </w:numPr>
        <w:spacing w:after="60"/>
      </w:pPr>
      <w:r>
        <w:t xml:space="preserve">Icon (document thumbnail), name, metadata line, Preview (ghost) + Download (solid navy) actions.</w:t>
      </w:r>
    </w:p>
    <w:p>
      <w:pPr>
        <w:pStyle w:val="Heading1"/>
      </w:pPr>
      <w:r>
        <w:t xml:space="preserve">7. Responsive (mobile is primary)</w:t>
      </w:r>
    </w:p>
    <w:p>
      <w:pPr>
        <w:spacing w:after="120"/>
      </w:pPr>
      <w:r>
        <w:t xml:space="preserve">A large share of users are on phones, often budget Android. Design mobile-first. Specifics:</w:t>
      </w:r>
    </w:p>
    <w:p>
      <w:pPr>
        <w:pStyle w:val="ListParagraph"/>
        <w:numPr>
          <w:ilvl w:val="0"/>
          <w:numId w:val="2"/>
        </w:numPr>
        <w:spacing w:after="60"/>
      </w:pPr>
      <w:r>
        <w:t xml:space="preserve">Sidebar collapses to a bottom tab bar or a hamburger drawer. The Wilma pill remains reachable (may dock above the tab bar).</w:t>
      </w:r>
    </w:p>
    <w:p>
      <w:pPr>
        <w:pStyle w:val="ListParagraph"/>
        <w:numPr>
          <w:ilvl w:val="0"/>
          <w:numId w:val="2"/>
        </w:numPr>
        <w:spacing w:after="60"/>
      </w:pPr>
      <w:r>
        <w:t xml:space="preserve">Matter cards stack 1-up. Stat row becomes 2x2.</w:t>
      </w:r>
    </w:p>
    <w:p>
      <w:pPr>
        <w:pStyle w:val="ListParagraph"/>
        <w:numPr>
          <w:ilvl w:val="0"/>
          <w:numId w:val="2"/>
        </w:numPr>
        <w:spacing w:after="60"/>
      </w:pPr>
      <w:r>
        <w:t xml:space="preserve">The next-step banner stays prominent and full-width, its CTA full-width.</w:t>
      </w:r>
    </w:p>
    <w:p>
      <w:pPr>
        <w:pStyle w:val="ListParagraph"/>
        <w:numPr>
          <w:ilvl w:val="0"/>
          <w:numId w:val="2"/>
        </w:numPr>
        <w:spacing w:after="60"/>
      </w:pPr>
      <w:r>
        <w:t xml:space="preserve">Filing instructions remain the priority block, comfortably tappable, generous spacing.</w:t>
      </w:r>
    </w:p>
    <w:p>
      <w:pPr>
        <w:pStyle w:val="ListParagraph"/>
        <w:numPr>
          <w:ilvl w:val="0"/>
          <w:numId w:val="2"/>
        </w:numPr>
        <w:spacing w:after="60"/>
      </w:pPr>
      <w:r>
        <w:t xml:space="preserve">Tap targets &gt;= 44px. Avoid hover-only interactions.</w:t>
      </w:r>
    </w:p>
    <w:p>
      <w:pPr>
        <w:pStyle w:val="Heading1"/>
      </w:pPr>
      <w:r>
        <w:t xml:space="preserve">8. Voice &amp; copy rules</w:t>
      </w:r>
    </w:p>
    <w:p>
      <w:pPr>
        <w:pStyle w:val="ListParagraph"/>
        <w:numPr>
          <w:ilvl w:val="0"/>
          <w:numId w:val="2"/>
        </w:numPr>
        <w:spacing w:after="60"/>
      </w:pPr>
      <w:r>
        <w:t xml:space="preserve">Plain language, 6th-to-8th grade. Short sentences. No legalese.</w:t>
      </w:r>
    </w:p>
    <w:p>
      <w:pPr>
        <w:pStyle w:val="ListParagraph"/>
        <w:numPr>
          <w:ilvl w:val="0"/>
          <w:numId w:val="2"/>
        </w:numPr>
        <w:spacing w:after="60"/>
      </w:pPr>
      <w:r>
        <w:t xml:space="preserve">Supportive and calm, never alarming. The user is often anxious.</w:t>
      </w:r>
    </w:p>
    <w:p>
      <w:pPr>
        <w:pStyle w:val="ListParagraph"/>
        <w:numPr>
          <w:ilvl w:val="0"/>
          <w:numId w:val="2"/>
        </w:numPr>
        <w:spacing w:after="60"/>
      </w:pPr>
      <w:r>
        <w:t xml:space="preserve">Never imply we are the user's lawyer or that we file for them. Information and preparation, not legal advice or representation.</w:t>
      </w:r>
    </w:p>
    <w:p>
      <w:pPr>
        <w:pStyle w:val="ListParagraph"/>
        <w:numPr>
          <w:ilvl w:val="0"/>
          <w:numId w:val="2"/>
        </w:numPr>
        <w:spacing w:after="60"/>
      </w:pPr>
      <w:r>
        <w:t xml:space="preserve">No em dashes. Use colons, commas, or periods.</w:t>
      </w:r>
    </w:p>
    <w:p>
      <w:pPr>
        <w:pStyle w:val="ListParagraph"/>
        <w:numPr>
          <w:ilvl w:val="0"/>
          <w:numId w:val="2"/>
        </w:numPr>
        <w:spacing w:after="60"/>
      </w:pPr>
      <w:r>
        <w:t xml:space="preserve">Status words are human: 'With the court', 'Ready to file', 'Cleared'. Not procedural jargon.</w:t>
      </w:r>
    </w:p>
    <w:p>
      <w:pPr>
        <w:pStyle w:val="Heading1"/>
      </w:pPr>
      <w:r>
        <w:t xml:space="preserve">9. What to design next (priority)</w:t>
      </w:r>
    </w:p>
    <w:p>
      <w:pPr>
        <w:pStyle w:val="ListParagraph"/>
        <w:numPr>
          <w:ilvl w:val="0"/>
          <w:numId w:val="2"/>
        </w:numPr>
        <w:spacing w:after="60"/>
      </w:pPr>
      <w:r>
        <w:rPr>
          <w:b/>
          <w:bCs/>
        </w:rPr>
        <w:t xml:space="preserve">1. </w:t>
      </w:r>
      <w:r>
        <w:t xml:space="preserve">High-fidelity Briefcase home (5.1) and Matter detail (5.2), mobile and desktop.</w:t>
      </w:r>
    </w:p>
    <w:p>
      <w:pPr>
        <w:pStyle w:val="ListParagraph"/>
        <w:numPr>
          <w:ilvl w:val="0"/>
          <w:numId w:val="2"/>
        </w:numPr>
        <w:spacing w:after="60"/>
      </w:pPr>
      <w:r>
        <w:rPr>
          <w:b/>
          <w:bCs/>
        </w:rPr>
        <w:t xml:space="preserve">2. </w:t>
      </w:r>
      <w:r>
        <w:t xml:space="preserve">The four care states (5.3, 5.4), especially Denied and Empty, where emotional design matters most.</w:t>
      </w:r>
    </w:p>
    <w:p>
      <w:pPr>
        <w:pStyle w:val="ListParagraph"/>
        <w:numPr>
          <w:ilvl w:val="0"/>
          <w:numId w:val="2"/>
        </w:numPr>
        <w:spacing w:after="60"/>
      </w:pPr>
      <w:r>
        <w:rPr>
          <w:b/>
          <w:bCs/>
        </w:rPr>
        <w:t xml:space="preserve">3. </w:t>
      </w:r>
      <w:r>
        <w:t xml:space="preserve">The Wilma chat panel (open state).</w:t>
      </w:r>
    </w:p>
    <w:p>
      <w:pPr>
        <w:pStyle w:val="ListParagraph"/>
        <w:numPr>
          <w:ilvl w:val="0"/>
          <w:numId w:val="2"/>
        </w:numPr>
        <w:spacing w:after="60"/>
      </w:pPr>
      <w:r>
        <w:rPr>
          <w:b/>
          <w:bCs/>
        </w:rPr>
        <w:t xml:space="preserve">4. </w:t>
      </w:r>
      <w:r>
        <w:t xml:space="preserve">Component library: pills, stepper, buttons, document row, cards, as reusable design-system pieces.</w:t>
      </w:r>
    </w:p>
    <w:p>
      <w:pPr>
        <w:spacing w:before="300"/>
      </w:pPr>
      <w:r>
        <w:rPr>
          <w:i/>
          <w:iCs/>
          <w:color w:val="5A6275"/>
        </w:rPr>
        <w:t xml:space="preserve">Reference the visual mockup file (Briefcase-Product-Mockup.html) for built examples of screens 5.1, 5.2, 5.3 and the status legend. All names and data in the mockup are placeholder.</w:t>
      </w:r>
    </w:p>
    <w:p>
      <w:pPr>
        <w:pStyle w:val="Heading1"/>
      </w:pPr>
      <w:r>
        <w:t xml:space="preserve">Appendix A. Launch model and the guidance-only matter</w:t>
      </w:r>
    </w:p>
    <w:p>
      <w:r>
        <w:t xml:space="preserve">Added after the original spec to reflect the launch decision. Expungement.ai launches in all 50 states plus DC at once. There is no state rollout and no “we are not live in your state” condition for any U.S. state or DC. Every state is selectable, every user gets a real result, and every result saves to the Briefcase. The only thing that varies by state is what we can produce: a generated filing packet, or saved next steps.</w:t>
      </w:r>
    </w:p>
    <w:p>
      <w:pPr>
        <w:pStyle w:val="Heading2"/>
      </w:pPr>
      <w:r>
        <w:t xml:space="preserve">A.1 Two kinds of matter</w:t>
      </w:r>
    </w:p>
    <w:p>
      <w:r>
        <w:t xml:space="preserve">A matter in the Briefcase is one of two kinds, and the design must make the difference obvious without making the guidance kind feel like a lesser or failed result.</w:t>
      </w:r>
    </w:p>
    <w:p>
      <w:r>
        <w:rPr>
          <w:b/>
        </w:rPr>
        <w:t xml:space="preserve">Packet matter.</w:t>
      </w:r>
      <w:r>
        <w:t xml:space="preserve"> The state and pathway support packet generation. This is the matter the original spec describes: it has the 5-stage stepper (Reviewed, Prepared, File it, Court, Decision), a generated document set, the “How to file” instructions block, and it can reach the $50 pay gate.</w:t>
      </w:r>
    </w:p>
    <w:p>
      <w:r>
        <w:rPr>
          <w:b/>
        </w:rPr>
        <w:t xml:space="preserve">Guidance matter.</w:t>
      </w:r>
      <w:r>
        <w:t xml:space="preserve"> The state is supported and the record is in scope, but we cannot generate a court-ready packet for this path yet. The user still gets real, state-specific next steps, saved to the Briefcase. No packet, no pay gate, and the 5-stage filing stepper does not apply.</w:t>
      </w:r>
    </w:p>
    <w:p>
      <w:pPr>
        <w:pStyle w:val="Heading2"/>
      </w:pPr>
      <w:r>
        <w:t xml:space="preserve">A.2 How the Briefcase shows a guidance matter</w:t>
      </w:r>
    </w:p>
    <w:p>
      <w:r>
        <w:t xml:space="preserve">A guidance matter is its own card and detail state, not a broken packet matter. Specifics for the designer:</w:t>
      </w:r>
    </w:p>
    <w:p>
      <w:pPr>
        <w:pStyle w:val="ListParagraph"/>
        <w:numPr>
          <w:ilvl w:val="0"/>
          <w:numId w:val="2"/>
        </w:numPr>
        <w:spacing w:after="60"/>
      </w:pPr>
      <w:r>
        <w:rPr>
          <w:b/>
        </w:rPr>
        <w:t xml:space="preserve">Title and subtitle: </w:t>
      </w:r>
      <w:r>
        <w:t xml:space="preserve">the charge and jurisdiction, same as a packet matter. The user thinks in cases either way.</w:t>
      </w:r>
    </w:p>
    <w:p>
      <w:pPr>
        <w:pStyle w:val="ListParagraph"/>
        <w:numPr>
          <w:ilvl w:val="0"/>
          <w:numId w:val="2"/>
        </w:numPr>
        <w:spacing w:after="60"/>
      </w:pPr>
      <w:r>
        <w:rPr>
          <w:b/>
        </w:rPr>
        <w:t xml:space="preserve">Status pill: </w:t>
      </w:r>
      <w:r>
        <w:t xml:space="preserve">a dedicated “Guidance saved” pill in teal. It reads as a positive, completed state, not a warning. It is not “Needs your attention” and not a gray reviewing state.</w:t>
      </w:r>
    </w:p>
    <w:p>
      <w:pPr>
        <w:pStyle w:val="ListParagraph"/>
        <w:numPr>
          <w:ilvl w:val="0"/>
          <w:numId w:val="2"/>
        </w:numPr>
        <w:spacing w:after="60"/>
      </w:pPr>
      <w:r>
        <w:rPr>
          <w:b/>
        </w:rPr>
        <w:t xml:space="preserve">No 5-stage stepper: </w:t>
      </w:r>
      <w:r>
        <w:t xml:space="preserve">the Reviewed to Decision stepper is for filing a packet, so it is hidden for a guidance matter. Do not show a grayed-out or stalled stepper, which would read as failure. Replace it with a short “What we can do here” line.</w:t>
      </w:r>
    </w:p>
    <w:p>
      <w:pPr>
        <w:pStyle w:val="ListParagraph"/>
        <w:numPr>
          <w:ilvl w:val="0"/>
          <w:numId w:val="2"/>
        </w:numPr>
        <w:spacing w:after="60"/>
      </w:pPr>
      <w:r>
        <w:rPr>
          <w:b/>
        </w:rPr>
        <w:t xml:space="preserve">Next steps in place of the documents list: </w:t>
      </w:r>
      <w:r>
        <w:t xml:space="preserve">the matter detail shows saved next steps (possible path, what to gather, official forms and resources, where to file, warnings and limits) instead of a generated document set. Same visual weight as “How to file,” since for this user the next steps are the deliverable.</w:t>
      </w:r>
    </w:p>
    <w:p>
      <w:pPr>
        <w:pStyle w:val="ListParagraph"/>
        <w:numPr>
          <w:ilvl w:val="0"/>
          <w:numId w:val="2"/>
        </w:numPr>
        <w:spacing w:after="60"/>
      </w:pPr>
      <w:r>
        <w:rPr>
          <w:b/>
        </w:rPr>
        <w:t xml:space="preserve">Primary action: </w:t>
      </w:r>
      <w:r>
        <w:t xml:space="preserve">“Save next steps to my Briefcase.” Secondary actions: email me my next steps, ask Wilma to explain this. No orange “pay” or “generate packet” action anywhere on a guidance matter.</w:t>
      </w:r>
    </w:p>
    <w:p>
      <w:pPr>
        <w:pStyle w:val="ListParagraph"/>
        <w:numPr>
          <w:ilvl w:val="0"/>
          <w:numId w:val="2"/>
        </w:numPr>
        <w:spacing w:after="60"/>
      </w:pPr>
      <w:r>
        <w:rPr>
          <w:b/>
        </w:rPr>
        <w:t xml:space="preserve">A door left open: </w:t>
      </w:r>
      <w:r>
        <w:t xml:space="preserve">one quiet line that a packet may become available for this path later, so the matter does not feel closed. Never promise a date.</w:t>
      </w:r>
    </w:p>
    <w:p>
      <w:pPr>
        <w:pStyle w:val="Heading2"/>
      </w:pPr>
      <w:r>
        <w:t xml:space="preserve">A.3 Which screens depend on the state engine</w:t>
      </w:r>
    </w:p>
    <w:p>
      <w:r>
        <w:t xml:space="preserve">The engine returns a result for every state, so no screen should ever dead-end on geography. What the engine drives is the content inside the matter, not whether the matter exists:</w:t>
      </w:r>
    </w:p>
    <w:p>
      <w:pPr>
        <w:pStyle w:val="ListParagraph"/>
        <w:numPr>
          <w:ilvl w:val="0"/>
          <w:numId w:val="2"/>
        </w:numPr>
        <w:spacing w:after="60"/>
      </w:pPr>
      <w:r>
        <w:rPr>
          <w:b/>
        </w:rPr>
        <w:t xml:space="preserve">Engine-driven, varies by state: </w:t>
      </w:r>
      <w:r>
        <w:t xml:space="preserve">the “How to file” steps (count, order, and text differ by jurisdiction), the document set, whether the matter is a packet matter or a guidance matter, and the next-steps content on a guidance matter.</w:t>
      </w:r>
    </w:p>
    <w:p>
      <w:pPr>
        <w:pStyle w:val="ListParagraph"/>
        <w:numPr>
          <w:ilvl w:val="0"/>
          <w:numId w:val="2"/>
        </w:numPr>
        <w:spacing w:after="60"/>
      </w:pPr>
      <w:r>
        <w:rPr>
          <w:b/>
        </w:rPr>
        <w:t xml:space="preserve">Fixed, same everywhere: </w:t>
      </w:r>
      <w:r>
        <w:t xml:space="preserve">the app shell, the Briefcase home layout, the stat row, the status pill system, the empty state, and Wilma. Design these once; they do not change per state.</w:t>
      </w:r>
    </w:p>
    <w:p>
      <w:r>
        <w:rPr>
          <w:i/>
          <w:color w:val="5A6275"/>
        </w:rPr>
        <w:t xml:space="preserve">Design implication: the “How to file” block and the guidance next-steps block must both flex to variable length and step count. Build them as repeating step components fed by the state pack, never as fixed layouts. Treat the guidance matter as a first-class state in the component library, with its own pill, its own detail layout, and its own 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6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F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F1F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3A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2026-06-17T16:49:49.414Z</dcterms:created>
  <dcterms:modified xsi:type="dcterms:W3CDTF">2026-06-17T16:49:49.414Z</dcterms:modified>
</cp:coreProperties>
</file>

<file path=docProps/custom.xml><?xml version="1.0" encoding="utf-8"?>
<Properties xmlns="http://schemas.openxmlformats.org/officeDocument/2006/custom-properties" xmlns:vt="http://schemas.openxmlformats.org/officeDocument/2006/docPropsVTypes"/>
</file>