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00"/>
        <w:jc w:val="center"/>
      </w:pPr>
      <w:r>
        <w:t>Arquitetura de Integração no Cenário Localiza</w:t>
      </w:r>
    </w:p>
    <w:p>
      <w:pPr>
        <w:spacing w:before="360"/>
        <w:jc w:val="center"/>
      </w:pPr>
      <w:r>
        <w:rPr>
          <w:b/>
        </w:rPr>
        <w:t>Projeto Aplicado Cenário 4</w:t>
      </w:r>
    </w:p>
    <w:p>
      <w:pPr>
        <w:spacing w:before="3000"/>
        <w:jc w:val="center"/>
      </w:pPr>
      <w:r>
        <w:t>Equipe do Projeto Aplicado — nomes e contribuições pendentes</w:t>
        <w:br/>
        <w:t>30 de setembro de 2026</w:t>
        <w:br/>
        <w:t>Relatório técnico em revisão</w:t>
      </w:r>
    </w:p>
    <w:p>
      <w:pPr>
        <w:pStyle w:val="Heading1"/>
        <w:pageBreakBefore/>
        <w:spacing w:before="160" w:after="240"/>
      </w:pPr>
      <w:r>
        <w:t>Resumo</w:t>
      </w:r>
    </w:p>
    <w:p>
      <w:pPr>
        <w:spacing w:after="160" w:line="276" w:lineRule="auto"/>
        <w:jc w:val="both"/>
      </w:pPr>
      <w:r>
        <w:t>A organização do Cenário 4 utiliza CRM, sistema de reservas e contratos, sistema financeiro e faturamento, sistema de atendimento e assistência 24h e gestão de processos operacionais. O enunciado associa o crescimento da organização a duplicidade de dados, lançamentos manuais, integrações frágeis e processos fragmentados. Este trabalho propõe e implementa uma arquitetura orientada a serviços entregue como monólito modular, com APIs REST para interações imediatas e eventos para efeitos desacoplados.</w:t>
      </w:r>
    </w:p>
    <w:p>
      <w:pPr>
        <w:spacing w:after="160" w:line="276" w:lineRule="auto"/>
        <w:jc w:val="both"/>
      </w:pPr>
      <w:r>
        <w:t>O método combinou análise do enunciado, levantamento de requisitos, modelagem AS-IS e TO-BE, registro de decisão arquitetural, implementação incremental e verificação automatizada. O protótipo separa os contextos CRM, Contracts, Finance, Support, Workflow e Integration. As fronteiras usam portas públicas; cada contexto controla seus dados e regras. A entrega confiável emprega outbox, inbox, idempotência, correlação e reprocessamento auditado.</w:t>
      </w:r>
    </w:p>
    <w:p>
      <w:pPr>
        <w:spacing w:after="160" w:line="276" w:lineRule="auto"/>
        <w:jc w:val="both"/>
      </w:pPr>
      <w:r>
        <w:t>Em 30/09/2026, 84 testes Python e 11 testes de navegador passaram. F1, F2 e F3 preservaram identidade e efeitos únicos. A avaliação incluiu centavos e auditoria financeira, estados finais de tarefas, recuperação após erro SQL e privacidade de exceções. A varredura axe em sete telas não detectou violações automáticas; isso não comprova WCAG completa. Em 200 consultas locais de prontidão, o p95 foi 3,68 ms, sem carga concorrente ou hospedagem pública.</w:t>
      </w:r>
    </w:p>
    <w:p>
      <w:pPr>
        <w:spacing w:after="160" w:line="276" w:lineRule="auto"/>
        <w:jc w:val="both"/>
      </w:pPr>
      <w:r>
        <w:t>Palavras-chave: arquitetura de sistemas corporativos; SOA; monólito modular; integração; REST; eventos; interoperabilidade.</w:t>
      </w:r>
    </w:p>
    <w:p>
      <w:pPr>
        <w:pStyle w:val="Heading1"/>
        <w:pageBreakBefore/>
        <w:spacing w:before="160" w:after="240"/>
      </w:pPr>
      <w:r>
        <w:t>1 Introdução</w:t>
      </w:r>
    </w:p>
    <w:p>
      <w:pPr>
        <w:pStyle w:val="Heading2"/>
      </w:pPr>
      <w:r>
        <w:t>1.1 Contexto e problema</w:t>
      </w:r>
    </w:p>
    <w:p>
      <w:pPr>
        <w:spacing w:after="160" w:line="276" w:lineRule="auto"/>
        <w:jc w:val="both"/>
      </w:pPr>
      <w:r>
        <w:t>Este projeto acadêmico modela a integração de cinco capacidades do cenário de locação: CRM, reservas e contratos, financeiro e faturamento, atendimento e assistência 24h e gestão de processos operacionais. O Guia.pdf orienta a análise arquitetural e as entregas [1]; o plano local define os três fluxos. Produtos, interfaces e dificuldades reais da Localiza são premissas a validar, sem acesso a seus sistemas.</w:t>
      </w:r>
    </w:p>
    <w:p>
      <w:pPr>
        <w:spacing w:after="160" w:line="276" w:lineRule="auto"/>
        <w:jc w:val="both"/>
      </w:pPr>
      <w:r>
        <w:t>O problema arquitetural envolve propriedade de dados e coordenação entre sistemas. Uma chamada bem-sucedida não basta quando uma ativação precisa produzir cobrança e preparação de retirada, pois uma falha intermediária pode perder o fato ou repetir efeitos. A solução precisa definir contratos técnicos, responsabilidades, consistência e recuperação.</w:t>
      </w:r>
    </w:p>
    <w:p>
      <w:pPr>
        <w:pStyle w:val="Heading2"/>
      </w:pPr>
      <w:r>
        <w:t>1.2 Objetivos</w:t>
      </w:r>
    </w:p>
    <w:p>
      <w:pPr>
        <w:spacing w:after="160" w:line="276" w:lineRule="auto"/>
        <w:jc w:val="both"/>
      </w:pPr>
      <w:r>
        <w:t>O objetivo geral consiste em demonstrar uma arquitetura executável que integre os cinco sistemas sem substituir suas capacidades completas. Os objetivos específicos abrangem identidade global de cliente, três fluxos integrados, contratos versionados, entrega idempotente, observabilidade, segurança, avaliação de qualidade e uma estratégia de evolução.</w:t>
      </w:r>
    </w:p>
    <w:p>
      <w:pPr>
        <w:pStyle w:val="Heading2"/>
      </w:pPr>
      <w:r>
        <w:t>1.3 Organização do relatório</w:t>
      </w:r>
    </w:p>
    <w:p>
      <w:pPr>
        <w:spacing w:after="160" w:line="276" w:lineRule="auto"/>
        <w:jc w:val="both"/>
      </w:pPr>
      <w:r>
        <w:t>As seções seguintes apresentam fundamentação, método, análise AS-IS, requisitos, arquitetura TO-BE, integrações, qualidade, evolução, viabilidade, resultados e conclusões. Os anexos do repositório contêm OpenAPI, AsyncAPI, testes e roteiro de demonstração.</w:t>
      </w:r>
    </w:p>
    <w:p>
      <w:pPr>
        <w:pStyle w:val="Heading1"/>
        <w:pageBreakBefore/>
        <w:spacing w:before="160" w:after="240"/>
      </w:pPr>
      <w:r>
        <w:t>2 Fundamentação teórica</w:t>
      </w:r>
    </w:p>
    <w:p>
      <w:pPr>
        <w:pStyle w:val="Heading2"/>
      </w:pPr>
      <w:r>
        <w:t>2.1 Arquitetura de sistemas</w:t>
      </w:r>
    </w:p>
    <w:p>
      <w:pPr>
        <w:spacing w:after="160" w:line="276" w:lineRule="auto"/>
        <w:jc w:val="both"/>
      </w:pPr>
      <w:r>
        <w:t>Arquitetura de software organiza estruturas, responsabilidades e relações que condicionam atributos de qualidade. Bass, Clements e Kazman tratam decisões arquiteturais como instrumentos para responder a requisitos de qualidade e riscos [2]. Por isso, a solução não se limita a um diagrama: ela relaciona escolhas a cenários verificáveis.</w:t>
      </w:r>
    </w:p>
    <w:p>
      <w:pPr>
        <w:pStyle w:val="Heading2"/>
      </w:pPr>
      <w:r>
        <w:t>2.2 SOA e serviços</w:t>
      </w:r>
    </w:p>
    <w:p>
      <w:pPr>
        <w:spacing w:after="160" w:line="276" w:lineRule="auto"/>
        <w:jc w:val="both"/>
      </w:pPr>
      <w:r>
        <w:t>A arquitetura orientada a serviços expõe capacidades por contratos estáveis. No projeto, serviço significa uma fronteira de negócio com interface pública e propriedade de dados. A implantação inicial pode reunir essas fronteiras em um processo sem eliminar sua separação lógica.</w:t>
      </w:r>
    </w:p>
    <w:p>
      <w:pPr>
        <w:pStyle w:val="Heading2"/>
      </w:pPr>
      <w:r>
        <w:t>2.3 Arquitetura hexagonal</w:t>
      </w:r>
    </w:p>
    <w:p>
      <w:pPr>
        <w:spacing w:after="160" w:line="276" w:lineRule="auto"/>
        <w:jc w:val="both"/>
      </w:pPr>
      <w:r>
        <w:t>Portas definem o que a aplicação precisa ou oferece. Adaptadores conectam HTTP, banco, broker e sistemas externos. Essa direção mantém regras de domínio independentes de detalhes de infraestrutura e permite substituir simuladores por conectores reais.</w:t>
      </w:r>
    </w:p>
    <w:p>
      <w:pPr>
        <w:pStyle w:val="Heading2"/>
      </w:pPr>
      <w:r>
        <w:t>2.4 Monólito modular</w:t>
      </w:r>
    </w:p>
    <w:p>
      <w:pPr>
        <w:spacing w:after="160" w:line="276" w:lineRule="auto"/>
        <w:jc w:val="both"/>
      </w:pPr>
      <w:r>
        <w:t>O monólito modular reduz a operação inicial e preserva limites internos que podem orientar uma extração futura. Newman recomenda justificar limites e distribuição pelas necessidades do sistema, pois a distribuição adiciona custo de comunicação, dados e operação [4].</w:t>
      </w:r>
    </w:p>
    <w:p>
      <w:pPr>
        <w:pStyle w:val="Heading1"/>
        <w:pageBreakBefore/>
        <w:spacing w:before="160" w:after="240"/>
      </w:pPr>
      <w:r>
        <w:t>2 Fundamentação teórica continuação</w:t>
      </w:r>
    </w:p>
    <w:p>
      <w:pPr>
        <w:pStyle w:val="Heading2"/>
      </w:pPr>
      <w:r>
        <w:t>2.5 APIs e eventos</w:t>
      </w:r>
    </w:p>
    <w:p>
      <w:pPr>
        <w:spacing w:after="160" w:line="276" w:lineRule="auto"/>
        <w:jc w:val="both"/>
      </w:pPr>
      <w:r>
        <w:t>HTTP define semântica para requisições e respostas [5]. O projeto usa REST quando o solicitante precisa conhecer o resultado imediato. Eventos representam fatos confirmados e permitem vários consumidores. A OpenAPI descreve as rotas e a AsyncAPI descreve canais, mensagens e payloads [6][7].</w:t>
      </w:r>
    </w:p>
    <w:p>
      <w:pPr>
        <w:pStyle w:val="Heading2"/>
      </w:pPr>
      <w:r>
        <w:t>2.6 Padrões de integração</w:t>
      </w:r>
    </w:p>
    <w:p>
      <w:pPr>
        <w:spacing w:after="160" w:line="276" w:lineRule="auto"/>
        <w:jc w:val="both"/>
      </w:pPr>
      <w:r>
        <w:t>Hohpe e Woolf organizam mensageria por canais, mensagens, roteamento e transformação [3]. Outbox resolve a lacuna entre a transação de negócio e a publicação. Inbox registra o evento recebido por consumidor. A combinação oferece entrega ao menos uma vez sem repetir o efeito de negócio.</w:t>
      </w:r>
    </w:p>
    <w:p>
      <w:pPr>
        <w:pStyle w:val="Heading2"/>
      </w:pPr>
      <w:r>
        <w:t>2.7 Interoperabilidade</w:t>
      </w:r>
    </w:p>
    <w:p>
      <w:pPr>
        <w:spacing w:after="160" w:line="276" w:lineRule="auto"/>
        <w:jc w:val="both"/>
      </w:pPr>
      <w:r>
        <w:t>Interoperabilidade exige mais que conectividade. Sistemas precisam concordar sobre identidade, significado, formato, versão, erro e fonte oficial. O modelo canônico deve conter somente os campos compartilhados pelo fluxo para não virar um modelo central rígido.</w:t>
      </w:r>
    </w:p>
    <w:p>
      <w:pPr>
        <w:pStyle w:val="Heading2"/>
      </w:pPr>
      <w:r>
        <w:t>2.8 Qualidade arquitetural</w:t>
      </w:r>
    </w:p>
    <w:p>
      <w:pPr>
        <w:spacing w:after="160" w:line="276" w:lineRule="auto"/>
        <w:jc w:val="both"/>
      </w:pPr>
      <w:r>
        <w:t>Cenários de qualidade ligam estímulo, ambiente, resposta e medida. Este trabalho avalia interoperabilidade, confiabilidade, segurança, observabilidade, manutenibilidade, disponibilidade, desempenho, escalabilidade e testabilidade.</w:t>
      </w:r>
    </w:p>
    <w:p>
      <w:pPr>
        <w:pStyle w:val="Heading1"/>
        <w:pageBreakBefore/>
        <w:spacing w:before="160" w:after="240"/>
      </w:pPr>
      <w:r>
        <w:t>3 Metodologia</w:t>
      </w:r>
    </w:p>
    <w:p>
      <w:pPr>
        <w:pStyle w:val="Heading2"/>
      </w:pPr>
      <w:r>
        <w:t>3.1 Participantes e contribuições</w:t>
      </w:r>
    </w:p>
    <w:p>
      <w:pPr>
        <w:spacing w:after="160" w:line="276" w:lineRule="auto"/>
        <w:jc w:val="both"/>
      </w:pPr>
      <w:r>
        <w:t>A Equipe do Projeto Aplicado conduziu análise, modelagem, implementação, testes e documentação. O backlog organiza essas atividades em tarefas e subtarefas e mantém a relação entre requisito, responsável, resultado e evidência. A identificação nominal e a contribuição individual serão registradas pela equipe na versão de submissão.</w:t>
      </w:r>
    </w:p>
    <w:p>
      <w:pPr>
        <w:pStyle w:val="Heading2"/>
      </w:pPr>
      <w:r>
        <w:t>3.2 Recursos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trPr>
        <w:tc>
          <w:tcPr>
            <w:tcW w:type="dxa" w:w="2880"/>
            <w:shd w:fill="17365D"/>
            <w:vAlign w:val="center"/>
            <w:tcMar>
              <w:top w:w="100" w:type="dxa"/>
              <w:start w:w="120" w:type="dxa"/>
              <w:bottom w:w="100" w:type="dxa"/>
              <w:end w:w="120" w:type="dxa"/>
            </w:tcMar>
          </w:tcPr>
          <w:p>
            <w:r>
              <w:rPr>
                <w:b/>
                <w:color w:val="FFFFFF"/>
              </w:rPr>
              <w:t>Finalidade</w:t>
            </w:r>
          </w:p>
        </w:tc>
        <w:tc>
          <w:tcPr>
            <w:tcW w:type="dxa" w:w="6768"/>
            <w:shd w:fill="17365D"/>
            <w:vAlign w:val="center"/>
            <w:tcMar>
              <w:top w:w="100" w:type="dxa"/>
              <w:start w:w="120" w:type="dxa"/>
              <w:bottom w:w="100" w:type="dxa"/>
              <w:end w:w="120" w:type="dxa"/>
            </w:tcMar>
          </w:tcPr>
          <w:p>
            <w:r>
              <w:rPr>
                <w:b/>
                <w:color w:val="FFFFFF"/>
              </w:rPr>
              <w:t>Recurso</w:t>
            </w:r>
          </w:p>
        </w:tc>
      </w:tr>
      <w:tr>
        <w:tc>
          <w:tcPr>
            <w:tcW w:type="dxa" w:w="2880"/>
            <w:vAlign w:val="center"/>
            <w:tcMar>
              <w:top w:w="100" w:type="dxa"/>
              <w:start w:w="120" w:type="dxa"/>
              <w:bottom w:w="100" w:type="dxa"/>
              <w:end w:w="120" w:type="dxa"/>
            </w:tcMar>
          </w:tcPr>
          <w:p>
            <w:pPr>
              <w:spacing w:after="0"/>
            </w:pPr>
            <w:r>
              <w:rPr>
                <w:sz w:val="18"/>
              </w:rPr>
              <w:t>Desenvolvimento</w:t>
            </w:r>
          </w:p>
        </w:tc>
        <w:tc>
          <w:tcPr>
            <w:tcW w:type="dxa" w:w="6768"/>
            <w:vAlign w:val="center"/>
            <w:tcMar>
              <w:top w:w="100" w:type="dxa"/>
              <w:start w:w="120" w:type="dxa"/>
              <w:bottom w:w="100" w:type="dxa"/>
              <w:end w:w="120" w:type="dxa"/>
            </w:tcMar>
          </w:tcPr>
          <w:p>
            <w:pPr>
              <w:spacing w:after="0"/>
            </w:pPr>
            <w:r>
              <w:rPr>
                <w:sz w:val="18"/>
              </w:rPr>
              <w:t>Python, FastAPI e SQLAlchemy</w:t>
            </w:r>
          </w:p>
        </w:tc>
      </w:tr>
      <w:tr>
        <w:tc>
          <w:tcPr>
            <w:tcW w:type="dxa" w:w="2880"/>
            <w:vAlign w:val="center"/>
            <w:tcMar>
              <w:top w:w="100" w:type="dxa"/>
              <w:start w:w="120" w:type="dxa"/>
              <w:bottom w:w="100" w:type="dxa"/>
              <w:end w:w="120" w:type="dxa"/>
            </w:tcMar>
            <w:shd w:fill="EAF1F8"/>
          </w:tcPr>
          <w:p>
            <w:pPr>
              <w:spacing w:after="0"/>
            </w:pPr>
            <w:r>
              <w:rPr>
                <w:sz w:val="18"/>
              </w:rPr>
              <w:t>Persistência</w:t>
            </w:r>
          </w:p>
        </w:tc>
        <w:tc>
          <w:tcPr>
            <w:tcW w:type="dxa" w:w="6768"/>
            <w:vAlign w:val="center"/>
            <w:tcMar>
              <w:top w:w="100" w:type="dxa"/>
              <w:start w:w="120" w:type="dxa"/>
              <w:bottom w:w="100" w:type="dxa"/>
              <w:end w:w="120" w:type="dxa"/>
            </w:tcMar>
            <w:shd w:fill="EAF1F8"/>
          </w:tcPr>
          <w:p>
            <w:pPr>
              <w:spacing w:after="0"/>
            </w:pPr>
            <w:r>
              <w:rPr>
                <w:sz w:val="18"/>
              </w:rPr>
              <w:t>SQLite verificado; PostgreSQL previsto no Compose</w:t>
            </w:r>
          </w:p>
        </w:tc>
      </w:tr>
      <w:tr>
        <w:tc>
          <w:tcPr>
            <w:tcW w:type="dxa" w:w="2880"/>
            <w:vAlign w:val="center"/>
            <w:tcMar>
              <w:top w:w="100" w:type="dxa"/>
              <w:start w:w="120" w:type="dxa"/>
              <w:bottom w:w="100" w:type="dxa"/>
              <w:end w:w="120" w:type="dxa"/>
            </w:tcMar>
          </w:tcPr>
          <w:p>
            <w:pPr>
              <w:spacing w:after="0"/>
            </w:pPr>
            <w:r>
              <w:rPr>
                <w:sz w:val="18"/>
              </w:rPr>
              <w:t>Mensageria</w:t>
            </w:r>
          </w:p>
        </w:tc>
        <w:tc>
          <w:tcPr>
            <w:tcW w:type="dxa" w:w="6768"/>
            <w:vAlign w:val="center"/>
            <w:tcMar>
              <w:top w:w="100" w:type="dxa"/>
              <w:start w:w="120" w:type="dxa"/>
              <w:bottom w:w="100" w:type="dxa"/>
              <w:end w:w="120" w:type="dxa"/>
            </w:tcMar>
          </w:tcPr>
          <w:p>
            <w:pPr>
              <w:spacing w:after="0"/>
            </w:pPr>
            <w:r>
              <w:rPr>
                <w:sz w:val="18"/>
              </w:rPr>
              <w:t>Outbox verificada; cópia RabbitMQ opcional</w:t>
            </w:r>
          </w:p>
        </w:tc>
      </w:tr>
      <w:tr>
        <w:tc>
          <w:tcPr>
            <w:tcW w:type="dxa" w:w="2880"/>
            <w:vAlign w:val="center"/>
            <w:tcMar>
              <w:top w:w="100" w:type="dxa"/>
              <w:start w:w="120" w:type="dxa"/>
              <w:bottom w:w="100" w:type="dxa"/>
              <w:end w:w="120" w:type="dxa"/>
            </w:tcMar>
            <w:shd w:fill="EAF1F8"/>
          </w:tcPr>
          <w:p>
            <w:pPr>
              <w:spacing w:after="0"/>
            </w:pPr>
            <w:r>
              <w:rPr>
                <w:sz w:val="18"/>
              </w:rPr>
              <w:t>Contratos técnicos</w:t>
            </w:r>
          </w:p>
        </w:tc>
        <w:tc>
          <w:tcPr>
            <w:tcW w:type="dxa" w:w="6768"/>
            <w:vAlign w:val="center"/>
            <w:tcMar>
              <w:top w:w="100" w:type="dxa"/>
              <w:start w:w="120" w:type="dxa"/>
              <w:bottom w:w="100" w:type="dxa"/>
              <w:end w:w="120" w:type="dxa"/>
            </w:tcMar>
            <w:shd w:fill="EAF1F8"/>
          </w:tcPr>
          <w:p>
            <w:pPr>
              <w:spacing w:after="0"/>
            </w:pPr>
            <w:r>
              <w:rPr>
                <w:sz w:val="18"/>
              </w:rPr>
              <w:t>OpenAPI 3.1 e AsyncAPI 3.0, seis eventos</w:t>
            </w:r>
          </w:p>
        </w:tc>
      </w:tr>
      <w:tr>
        <w:tc>
          <w:tcPr>
            <w:tcW w:type="dxa" w:w="2880"/>
            <w:vAlign w:val="center"/>
            <w:tcMar>
              <w:top w:w="100" w:type="dxa"/>
              <w:start w:w="120" w:type="dxa"/>
              <w:bottom w:w="100" w:type="dxa"/>
              <w:end w:w="120" w:type="dxa"/>
            </w:tcMar>
          </w:tcPr>
          <w:p>
            <w:pPr>
              <w:spacing w:after="0"/>
            </w:pPr>
            <w:r>
              <w:rPr>
                <w:sz w:val="18"/>
              </w:rPr>
              <w:t>Execução</w:t>
            </w:r>
          </w:p>
        </w:tc>
        <w:tc>
          <w:tcPr>
            <w:tcW w:type="dxa" w:w="6768"/>
            <w:vAlign w:val="center"/>
            <w:tcMar>
              <w:top w:w="100" w:type="dxa"/>
              <w:start w:w="120" w:type="dxa"/>
              <w:bottom w:w="100" w:type="dxa"/>
              <w:end w:w="120" w:type="dxa"/>
            </w:tcMar>
          </w:tcPr>
          <w:p>
            <w:pPr>
              <w:spacing w:after="0"/>
            </w:pPr>
            <w:r>
              <w:rPr>
                <w:sz w:val="18"/>
              </w:rPr>
              <w:t>Docker Compose e PowerShell</w:t>
            </w:r>
          </w:p>
        </w:tc>
      </w:tr>
      <w:tr>
        <w:tc>
          <w:tcPr>
            <w:tcW w:type="dxa" w:w="2880"/>
            <w:vAlign w:val="center"/>
            <w:tcMar>
              <w:top w:w="100" w:type="dxa"/>
              <w:start w:w="120" w:type="dxa"/>
              <w:bottom w:w="100" w:type="dxa"/>
              <w:end w:w="120" w:type="dxa"/>
            </w:tcMar>
            <w:shd w:fill="EAF1F8"/>
          </w:tcPr>
          <w:p>
            <w:pPr>
              <w:spacing w:after="0"/>
            </w:pPr>
            <w:r>
              <w:rPr>
                <w:sz w:val="18"/>
              </w:rPr>
              <w:t>Verificação</w:t>
            </w:r>
          </w:p>
        </w:tc>
        <w:tc>
          <w:tcPr>
            <w:tcW w:type="dxa" w:w="6768"/>
            <w:vAlign w:val="center"/>
            <w:tcMar>
              <w:top w:w="100" w:type="dxa"/>
              <w:start w:w="120" w:type="dxa"/>
              <w:bottom w:w="100" w:type="dxa"/>
              <w:end w:w="120" w:type="dxa"/>
            </w:tcMar>
            <w:shd w:fill="EAF1F8"/>
          </w:tcPr>
          <w:p>
            <w:pPr>
              <w:spacing w:after="0"/>
            </w:pPr>
            <w:r>
              <w:rPr>
                <w:sz w:val="18"/>
              </w:rPr>
              <w:t>Pytest, Playwright/axe, contratos e medição local</w:t>
            </w:r>
          </w:p>
        </w:tc>
      </w:tr>
    </w:tbl>
    <w:p>
      <w:pPr>
        <w:spacing w:after="40"/>
      </w:pPr>
    </w:p>
    <w:p>
      <w:pPr>
        <w:pStyle w:val="Heading2"/>
      </w:pPr>
      <w:r>
        <w:t>3.3 Procedimento</w:t>
      </w:r>
    </w:p>
    <w:p>
      <w:pPr>
        <w:spacing w:after="160" w:line="276" w:lineRule="auto"/>
        <w:jc w:val="both"/>
      </w:pPr>
      <w:r>
        <w:t>O trabalho seguiu descoberta, contratos técnicos e fundação, adaptadores, fluxos, qualidade e entrega. Cada tarefa foi verificada e comitada antes da próxima. Alembic aditivo e carga sintética idempotente foram testados em SQLite; o SQL PostgreSQL foi gerado offline, sem execução em nuvem. O enunciado específico Localiza não foi localizado no checkout; o Guia.pdf e o plano local sustentam as premissas explícitas.</w:t>
      </w:r>
    </w:p>
    <w:p>
      <w:pPr>
        <w:pStyle w:val="Heading1"/>
        <w:pageBreakBefore/>
        <w:spacing w:before="160" w:after="240"/>
      </w:pPr>
      <w:r>
        <w:t>4 Cenário atual AS IS</w:t>
      </w:r>
    </w:p>
    <w:p>
      <w:pPr>
        <w:spacing w:after="160" w:line="276" w:lineRule="auto"/>
        <w:jc w:val="both"/>
      </w:pPr>
      <w:r>
        <w:t>O enunciado confirma os cinco sistemas, mas não identifica produtos, interfaces ou tecnologia. A análise separa essa evidência das premissas usadas para construir a demonstração. Essa distinção evita apresentar como observação uma troca manual que ainda precisa de entrevista.</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2088"/>
            <w:shd w:fill="17365D"/>
            <w:vAlign w:val="center"/>
            <w:tcMar>
              <w:top w:w="100" w:type="dxa"/>
              <w:start w:w="120" w:type="dxa"/>
              <w:bottom w:w="100" w:type="dxa"/>
              <w:end w:w="120" w:type="dxa"/>
            </w:tcMar>
          </w:tcPr>
          <w:p>
            <w:r>
              <w:rPr>
                <w:b/>
                <w:color w:val="FFFFFF"/>
              </w:rPr>
              <w:t>Sistema</w:t>
            </w:r>
          </w:p>
        </w:tc>
        <w:tc>
          <w:tcPr>
            <w:tcW w:type="dxa" w:w="2376"/>
            <w:shd w:fill="17365D"/>
            <w:vAlign w:val="center"/>
            <w:tcMar>
              <w:top w:w="100" w:type="dxa"/>
              <w:start w:w="120" w:type="dxa"/>
              <w:bottom w:w="100" w:type="dxa"/>
              <w:end w:w="120" w:type="dxa"/>
            </w:tcMar>
          </w:tcPr>
          <w:p>
            <w:r>
              <w:rPr>
                <w:b/>
                <w:color w:val="FFFFFF"/>
              </w:rPr>
              <w:t>Usuários</w:t>
            </w:r>
          </w:p>
        </w:tc>
        <w:tc>
          <w:tcPr>
            <w:tcW w:type="dxa" w:w="5112"/>
            <w:shd w:fill="17365D"/>
            <w:vAlign w:val="center"/>
            <w:tcMar>
              <w:top w:w="100" w:type="dxa"/>
              <w:start w:w="120" w:type="dxa"/>
              <w:bottom w:w="100" w:type="dxa"/>
              <w:end w:w="120" w:type="dxa"/>
            </w:tcMar>
          </w:tcPr>
          <w:p>
            <w:r>
              <w:rPr>
                <w:b/>
                <w:color w:val="FFFFFF"/>
              </w:rPr>
              <w:t>Dados oficiais</w:t>
            </w:r>
          </w:p>
        </w:tc>
      </w:tr>
      <w:tr>
        <w:tc>
          <w:tcPr>
            <w:tcW w:type="dxa" w:w="2088"/>
            <w:vAlign w:val="center"/>
            <w:tcMar>
              <w:top w:w="100" w:type="dxa"/>
              <w:start w:w="120" w:type="dxa"/>
              <w:bottom w:w="100" w:type="dxa"/>
              <w:end w:w="120" w:type="dxa"/>
            </w:tcMar>
          </w:tcPr>
          <w:p>
            <w:pPr>
              <w:spacing w:after="0"/>
            </w:pPr>
            <w:r>
              <w:rPr>
                <w:sz w:val="18"/>
              </w:rPr>
              <w:t>CRM</w:t>
            </w:r>
          </w:p>
        </w:tc>
        <w:tc>
          <w:tcPr>
            <w:tcW w:type="dxa" w:w="2376"/>
            <w:vAlign w:val="center"/>
            <w:tcMar>
              <w:top w:w="100" w:type="dxa"/>
              <w:start w:w="120" w:type="dxa"/>
              <w:bottom w:w="100" w:type="dxa"/>
              <w:end w:w="120" w:type="dxa"/>
            </w:tcMar>
          </w:tcPr>
          <w:p>
            <w:pPr>
              <w:spacing w:after="0"/>
            </w:pPr>
            <w:r>
              <w:rPr>
                <w:sz w:val="18"/>
              </w:rPr>
              <w:t>Comercial e canais digitais</w:t>
            </w:r>
          </w:p>
        </w:tc>
        <w:tc>
          <w:tcPr>
            <w:tcW w:type="dxa" w:w="5112"/>
            <w:vAlign w:val="center"/>
            <w:tcMar>
              <w:top w:w="100" w:type="dxa"/>
              <w:start w:w="120" w:type="dxa"/>
              <w:bottom w:w="100" w:type="dxa"/>
              <w:end w:w="120" w:type="dxa"/>
            </w:tcMar>
          </w:tcPr>
          <w:p>
            <w:pPr>
              <w:spacing w:after="0"/>
            </w:pPr>
            <w:r>
              <w:rPr>
                <w:sz w:val="18"/>
              </w:rPr>
              <w:t>Cliente, contatos, consentimentos e oportunidade</w:t>
            </w:r>
          </w:p>
        </w:tc>
      </w:tr>
      <w:tr>
        <w:tc>
          <w:tcPr>
            <w:tcW w:type="dxa" w:w="2088"/>
            <w:vAlign w:val="center"/>
            <w:tcMar>
              <w:top w:w="100" w:type="dxa"/>
              <w:start w:w="120" w:type="dxa"/>
              <w:bottom w:w="100" w:type="dxa"/>
              <w:end w:w="120" w:type="dxa"/>
            </w:tcMar>
            <w:shd w:fill="EAF1F8"/>
          </w:tcPr>
          <w:p>
            <w:pPr>
              <w:spacing w:after="0"/>
            </w:pPr>
            <w:r>
              <w:rPr>
                <w:sz w:val="18"/>
              </w:rPr>
              <w:t>Reservas e contratos</w:t>
            </w:r>
          </w:p>
        </w:tc>
        <w:tc>
          <w:tcPr>
            <w:tcW w:type="dxa" w:w="2376"/>
            <w:vAlign w:val="center"/>
            <w:tcMar>
              <w:top w:w="100" w:type="dxa"/>
              <w:start w:w="120" w:type="dxa"/>
              <w:bottom w:w="100" w:type="dxa"/>
              <w:end w:w="120" w:type="dxa"/>
            </w:tcMar>
            <w:shd w:fill="EAF1F8"/>
          </w:tcPr>
          <w:p>
            <w:pPr>
              <w:spacing w:after="0"/>
            </w:pPr>
            <w:r>
              <w:rPr>
                <w:sz w:val="18"/>
              </w:rPr>
              <w:t>Operação e jurídico</w:t>
            </w:r>
          </w:p>
        </w:tc>
        <w:tc>
          <w:tcPr>
            <w:tcW w:type="dxa" w:w="5112"/>
            <w:vAlign w:val="center"/>
            <w:tcMar>
              <w:top w:w="100" w:type="dxa"/>
              <w:start w:w="120" w:type="dxa"/>
              <w:bottom w:w="100" w:type="dxa"/>
              <w:end w:w="120" w:type="dxa"/>
            </w:tcMar>
            <w:shd w:fill="EAF1F8"/>
          </w:tcPr>
          <w:p>
            <w:pPr>
              <w:spacing w:after="0"/>
            </w:pPr>
            <w:r>
              <w:rPr>
                <w:sz w:val="18"/>
              </w:rPr>
              <w:t>Reserva, contrato de locação, grupo de veículo, vigência, proteções e SLA</w:t>
            </w:r>
          </w:p>
        </w:tc>
      </w:tr>
      <w:tr>
        <w:tc>
          <w:tcPr>
            <w:tcW w:type="dxa" w:w="2088"/>
            <w:vAlign w:val="center"/>
            <w:tcMar>
              <w:top w:w="100" w:type="dxa"/>
              <w:start w:w="120" w:type="dxa"/>
              <w:bottom w:w="100" w:type="dxa"/>
              <w:end w:w="120" w:type="dxa"/>
            </w:tcMar>
          </w:tcPr>
          <w:p>
            <w:pPr>
              <w:spacing w:after="0"/>
            </w:pPr>
            <w:r>
              <w:rPr>
                <w:sz w:val="18"/>
              </w:rPr>
              <w:t>Financeiro e faturamento</w:t>
            </w:r>
          </w:p>
        </w:tc>
        <w:tc>
          <w:tcPr>
            <w:tcW w:type="dxa" w:w="2376"/>
            <w:vAlign w:val="center"/>
            <w:tcMar>
              <w:top w:w="100" w:type="dxa"/>
              <w:start w:w="120" w:type="dxa"/>
              <w:bottom w:w="100" w:type="dxa"/>
              <w:end w:w="120" w:type="dxa"/>
            </w:tcMar>
          </w:tcPr>
          <w:p>
            <w:pPr>
              <w:spacing w:after="0"/>
            </w:pPr>
            <w:r>
              <w:rPr>
                <w:sz w:val="18"/>
              </w:rPr>
              <w:t>Financeiro e faturamento</w:t>
            </w:r>
          </w:p>
        </w:tc>
        <w:tc>
          <w:tcPr>
            <w:tcW w:type="dxa" w:w="5112"/>
            <w:vAlign w:val="center"/>
            <w:tcMar>
              <w:top w:w="100" w:type="dxa"/>
              <w:start w:w="120" w:type="dxa"/>
              <w:bottom w:w="100" w:type="dxa"/>
              <w:end w:w="120" w:type="dxa"/>
            </w:tcMar>
          </w:tcPr>
          <w:p>
            <w:pPr>
              <w:spacing w:after="0"/>
            </w:pPr>
            <w:r>
              <w:rPr>
                <w:sz w:val="18"/>
              </w:rPr>
              <w:t>Pré-autorização, cobrança, fatura, pagamento, caução, multa e inadimplência</w:t>
            </w:r>
          </w:p>
        </w:tc>
      </w:tr>
      <w:tr>
        <w:tc>
          <w:tcPr>
            <w:tcW w:type="dxa" w:w="2088"/>
            <w:vAlign w:val="center"/>
            <w:tcMar>
              <w:top w:w="100" w:type="dxa"/>
              <w:start w:w="120" w:type="dxa"/>
              <w:bottom w:w="100" w:type="dxa"/>
              <w:end w:w="120" w:type="dxa"/>
            </w:tcMar>
            <w:shd w:fill="EAF1F8"/>
          </w:tcPr>
          <w:p>
            <w:pPr>
              <w:spacing w:after="0"/>
            </w:pPr>
            <w:r>
              <w:rPr>
                <w:sz w:val="18"/>
              </w:rPr>
              <w:t>Atendimento e assistência 24h</w:t>
            </w:r>
          </w:p>
        </w:tc>
        <w:tc>
          <w:tcPr>
            <w:tcW w:type="dxa" w:w="2376"/>
            <w:vAlign w:val="center"/>
            <w:tcMar>
              <w:top w:w="100" w:type="dxa"/>
              <w:start w:w="120" w:type="dxa"/>
              <w:bottom w:w="100" w:type="dxa"/>
              <w:end w:w="120" w:type="dxa"/>
            </w:tcMar>
            <w:shd w:fill="EAF1F8"/>
          </w:tcPr>
          <w:p>
            <w:pPr>
              <w:spacing w:after="0"/>
            </w:pPr>
            <w:r>
              <w:rPr>
                <w:sz w:val="18"/>
              </w:rPr>
              <w:t>Agentes</w:t>
            </w:r>
          </w:p>
        </w:tc>
        <w:tc>
          <w:tcPr>
            <w:tcW w:type="dxa" w:w="5112"/>
            <w:vAlign w:val="center"/>
            <w:tcMar>
              <w:top w:w="100" w:type="dxa"/>
              <w:start w:w="120" w:type="dxa"/>
              <w:bottom w:w="100" w:type="dxa"/>
              <w:end w:w="120" w:type="dxa"/>
            </w:tcMar>
            <w:shd w:fill="EAF1F8"/>
          </w:tcPr>
          <w:p>
            <w:pPr>
              <w:spacing w:after="0"/>
            </w:pPr>
            <w:r>
              <w:rPr>
                <w:sz w:val="18"/>
              </w:rPr>
              <w:t>Chamado, assistência, prioridade, histórico e resolução</w:t>
            </w:r>
          </w:p>
        </w:tc>
      </w:tr>
      <w:tr>
        <w:tc>
          <w:tcPr>
            <w:tcW w:type="dxa" w:w="2088"/>
            <w:vAlign w:val="center"/>
            <w:tcMar>
              <w:top w:w="100" w:type="dxa"/>
              <w:start w:w="120" w:type="dxa"/>
              <w:bottom w:w="100" w:type="dxa"/>
              <w:end w:w="120" w:type="dxa"/>
            </w:tcMar>
          </w:tcPr>
          <w:p>
            <w:pPr>
              <w:spacing w:after="0"/>
            </w:pPr>
            <w:r>
              <w:rPr>
                <w:sz w:val="18"/>
              </w:rPr>
              <w:t>Gestão de processos operacionais</w:t>
            </w:r>
          </w:p>
        </w:tc>
        <w:tc>
          <w:tcPr>
            <w:tcW w:type="dxa" w:w="2376"/>
            <w:vAlign w:val="center"/>
            <w:tcMar>
              <w:top w:w="100" w:type="dxa"/>
              <w:start w:w="120" w:type="dxa"/>
              <w:bottom w:w="100" w:type="dxa"/>
              <w:end w:w="120" w:type="dxa"/>
            </w:tcMar>
          </w:tcPr>
          <w:p>
            <w:pPr>
              <w:spacing w:after="0"/>
            </w:pPr>
            <w:r>
              <w:rPr>
                <w:sz w:val="18"/>
              </w:rPr>
              <w:t>Operações e gestão</w:t>
            </w:r>
          </w:p>
        </w:tc>
        <w:tc>
          <w:tcPr>
            <w:tcW w:type="dxa" w:w="5112"/>
            <w:vAlign w:val="center"/>
            <w:tcMar>
              <w:top w:w="100" w:type="dxa"/>
              <w:start w:w="120" w:type="dxa"/>
              <w:bottom w:w="100" w:type="dxa"/>
              <w:end w:w="120" w:type="dxa"/>
            </w:tcMar>
          </w:tcPr>
          <w:p>
            <w:pPr>
              <w:spacing w:after="0"/>
            </w:pPr>
            <w:r>
              <w:rPr>
                <w:sz w:val="18"/>
              </w:rPr>
              <w:t>Instância, tarefa, responsável, prazo e estado operacional</w:t>
            </w:r>
          </w:p>
        </w:tc>
      </w:tr>
    </w:tbl>
    <w:p>
      <w:pPr>
        <w:spacing w:after="40"/>
      </w:pPr>
    </w:p>
    <w:p>
      <w:pPr>
        <w:spacing w:after="160" w:line="276" w:lineRule="auto"/>
        <w:jc w:val="both"/>
      </w:pPr>
      <w:r>
        <w:t>A primeira hipótese de trabalho considera recadastro entre CRM e reservas e contratos. A segunda considera acionamento manual do financeiro e faturamento e da preparação de retirada após a ativação. A terceira considera que o atendimento e assistência 24h consulta contrato de locação e SLA por processo informal. O professor ou representante da organização deve validar essas hipóteses.</w:t>
      </w:r>
    </w:p>
    <w:p>
      <w:pPr>
        <w:pStyle w:val="Heading1"/>
        <w:pageBreakBefore/>
        <w:spacing w:before="160" w:after="240"/>
      </w:pPr>
      <w:r>
        <w:t>4 Cenário atual AS IS continuação</w:t>
      </w:r>
    </w:p>
    <w:p>
      <w:pPr>
        <w:pStyle w:val="Heading2"/>
      </w:pPr>
      <w:r>
        <w:t>4.1 Fluxo e dependências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1152"/>
            <w:shd w:fill="17365D"/>
            <w:vAlign w:val="center"/>
            <w:tcMar>
              <w:top w:w="100" w:type="dxa"/>
              <w:start w:w="120" w:type="dxa"/>
              <w:bottom w:w="100" w:type="dxa"/>
              <w:end w:w="120" w:type="dxa"/>
            </w:tcMar>
          </w:tcPr>
          <w:p>
            <w:r>
              <w:rPr>
                <w:b/>
                <w:color w:val="FFFFFF"/>
              </w:rPr>
              <w:t>Etapa</w:t>
            </w:r>
          </w:p>
        </w:tc>
        <w:tc>
          <w:tcPr>
            <w:tcW w:type="dxa" w:w="1800"/>
            <w:shd w:fill="17365D"/>
            <w:vAlign w:val="center"/>
            <w:tcMar>
              <w:top w:w="100" w:type="dxa"/>
              <w:start w:w="120" w:type="dxa"/>
              <w:bottom w:w="100" w:type="dxa"/>
              <w:end w:w="120" w:type="dxa"/>
            </w:tcMar>
          </w:tcPr>
          <w:p>
            <w:r>
              <w:rPr>
                <w:b/>
                <w:color w:val="FFFFFF"/>
              </w:rPr>
              <w:t>Origem</w:t>
            </w:r>
          </w:p>
        </w:tc>
        <w:tc>
          <w:tcPr>
            <w:tcW w:type="dxa" w:w="2376"/>
            <w:shd w:fill="17365D"/>
            <w:vAlign w:val="center"/>
            <w:tcMar>
              <w:top w:w="100" w:type="dxa"/>
              <w:start w:w="120" w:type="dxa"/>
              <w:bottom w:w="100" w:type="dxa"/>
              <w:end w:w="120" w:type="dxa"/>
            </w:tcMar>
          </w:tcPr>
          <w:p>
            <w:r>
              <w:rPr>
                <w:b/>
                <w:color w:val="FFFFFF"/>
              </w:rPr>
              <w:t>Destino</w:t>
            </w:r>
          </w:p>
        </w:tc>
        <w:tc>
          <w:tcPr>
            <w:tcW w:type="dxa" w:w="4032"/>
            <w:shd w:fill="17365D"/>
            <w:vAlign w:val="center"/>
            <w:tcMar>
              <w:top w:w="100" w:type="dxa"/>
              <w:start w:w="120" w:type="dxa"/>
              <w:bottom w:w="100" w:type="dxa"/>
              <w:end w:w="120" w:type="dxa"/>
            </w:tcMar>
          </w:tcPr>
          <w:p>
            <w:r>
              <w:rPr>
                <w:b/>
                <w:color w:val="FFFFFF"/>
              </w:rPr>
              <w:t>Risco atual</w:t>
            </w:r>
          </w:p>
        </w:tc>
      </w:tr>
      <w:tr>
        <w:tc>
          <w:tcPr>
            <w:tcW w:type="dxa" w:w="1152"/>
            <w:vAlign w:val="center"/>
            <w:tcMar>
              <w:top w:w="100" w:type="dxa"/>
              <w:start w:w="120" w:type="dxa"/>
              <w:bottom w:w="100" w:type="dxa"/>
              <w:end w:w="120" w:type="dxa"/>
            </w:tcMar>
          </w:tcPr>
          <w:p>
            <w:pPr>
              <w:spacing w:after="0"/>
            </w:pPr>
            <w:r>
              <w:rPr>
                <w:sz w:val="18"/>
              </w:rPr>
              <w:t>Venda</w:t>
            </w:r>
          </w:p>
        </w:tc>
        <w:tc>
          <w:tcPr>
            <w:tcW w:type="dxa" w:w="1800"/>
            <w:vAlign w:val="center"/>
            <w:tcMar>
              <w:top w:w="100" w:type="dxa"/>
              <w:start w:w="120" w:type="dxa"/>
              <w:bottom w:w="100" w:type="dxa"/>
              <w:end w:w="120" w:type="dxa"/>
            </w:tcMar>
          </w:tcPr>
          <w:p>
            <w:pPr>
              <w:spacing w:after="0"/>
            </w:pPr>
            <w:r>
              <w:rPr>
                <w:sz w:val="18"/>
              </w:rPr>
              <w:t>CRM</w:t>
            </w:r>
          </w:p>
        </w:tc>
        <w:tc>
          <w:tcPr>
            <w:tcW w:type="dxa" w:w="2376"/>
            <w:vAlign w:val="center"/>
            <w:tcMar>
              <w:top w:w="100" w:type="dxa"/>
              <w:start w:w="120" w:type="dxa"/>
              <w:bottom w:w="100" w:type="dxa"/>
              <w:end w:w="120" w:type="dxa"/>
            </w:tcMar>
          </w:tcPr>
          <w:p>
            <w:pPr>
              <w:spacing w:after="0"/>
            </w:pPr>
            <w:r>
              <w:rPr>
                <w:sz w:val="18"/>
              </w:rPr>
              <w:t>Reservas e contratos</w:t>
            </w:r>
          </w:p>
        </w:tc>
        <w:tc>
          <w:tcPr>
            <w:tcW w:type="dxa" w:w="4032"/>
            <w:vAlign w:val="center"/>
            <w:tcMar>
              <w:top w:w="100" w:type="dxa"/>
              <w:start w:w="120" w:type="dxa"/>
              <w:bottom w:w="100" w:type="dxa"/>
              <w:end w:w="120" w:type="dxa"/>
            </w:tcMar>
          </w:tcPr>
          <w:p>
            <w:pPr>
              <w:spacing w:after="0"/>
            </w:pPr>
            <w:r>
              <w:rPr>
                <w:sz w:val="18"/>
              </w:rPr>
              <w:t>Recadastro e identificador divergente</w:t>
            </w:r>
          </w:p>
        </w:tc>
      </w:tr>
      <w:tr>
        <w:tc>
          <w:tcPr>
            <w:tcW w:type="dxa" w:w="1152"/>
            <w:vAlign w:val="center"/>
            <w:tcMar>
              <w:top w:w="100" w:type="dxa"/>
              <w:start w:w="120" w:type="dxa"/>
              <w:bottom w:w="100" w:type="dxa"/>
              <w:end w:w="120" w:type="dxa"/>
            </w:tcMar>
            <w:shd w:fill="EAF1F8"/>
          </w:tcPr>
          <w:p>
            <w:pPr>
              <w:spacing w:after="0"/>
            </w:pPr>
            <w:r>
              <w:rPr>
                <w:sz w:val="18"/>
              </w:rPr>
              <w:t>Ativação</w:t>
            </w:r>
          </w:p>
        </w:tc>
        <w:tc>
          <w:tcPr>
            <w:tcW w:type="dxa" w:w="1800"/>
            <w:vAlign w:val="center"/>
            <w:tcMar>
              <w:top w:w="100" w:type="dxa"/>
              <w:start w:w="120" w:type="dxa"/>
              <w:bottom w:w="100" w:type="dxa"/>
              <w:end w:w="120" w:type="dxa"/>
            </w:tcMar>
            <w:shd w:fill="EAF1F8"/>
          </w:tcPr>
          <w:p>
            <w:pPr>
              <w:spacing w:after="0"/>
            </w:pPr>
            <w:r>
              <w:rPr>
                <w:sz w:val="18"/>
              </w:rPr>
              <w:t>Reservas e contratos</w:t>
            </w:r>
          </w:p>
        </w:tc>
        <w:tc>
          <w:tcPr>
            <w:tcW w:type="dxa" w:w="2376"/>
            <w:vAlign w:val="center"/>
            <w:tcMar>
              <w:top w:w="100" w:type="dxa"/>
              <w:start w:w="120" w:type="dxa"/>
              <w:bottom w:w="100" w:type="dxa"/>
              <w:end w:w="120" w:type="dxa"/>
            </w:tcMar>
            <w:shd w:fill="EAF1F8"/>
          </w:tcPr>
          <w:p>
            <w:pPr>
              <w:spacing w:after="0"/>
            </w:pPr>
            <w:r>
              <w:rPr>
                <w:sz w:val="18"/>
              </w:rPr>
              <w:t>Financeiro e faturamento</w:t>
            </w:r>
          </w:p>
        </w:tc>
        <w:tc>
          <w:tcPr>
            <w:tcW w:type="dxa" w:w="4032"/>
            <w:vAlign w:val="center"/>
            <w:tcMar>
              <w:top w:w="100" w:type="dxa"/>
              <w:start w:w="120" w:type="dxa"/>
              <w:bottom w:w="100" w:type="dxa"/>
              <w:end w:w="120" w:type="dxa"/>
            </w:tcMar>
            <w:shd w:fill="EAF1F8"/>
          </w:tcPr>
          <w:p>
            <w:pPr>
              <w:spacing w:after="0"/>
            </w:pPr>
            <w:r>
              <w:rPr>
                <w:sz w:val="18"/>
              </w:rPr>
              <w:t>Cobrança tardia ou ausente</w:t>
            </w:r>
          </w:p>
        </w:tc>
      </w:tr>
      <w:tr>
        <w:tc>
          <w:tcPr>
            <w:tcW w:type="dxa" w:w="1152"/>
            <w:vAlign w:val="center"/>
            <w:tcMar>
              <w:top w:w="100" w:type="dxa"/>
              <w:start w:w="120" w:type="dxa"/>
              <w:bottom w:w="100" w:type="dxa"/>
              <w:end w:w="120" w:type="dxa"/>
            </w:tcMar>
          </w:tcPr>
          <w:p>
            <w:pPr>
              <w:spacing w:after="0"/>
            </w:pPr>
            <w:r>
              <w:rPr>
                <w:sz w:val="18"/>
              </w:rPr>
              <w:t>Preparação de retirada</w:t>
            </w:r>
          </w:p>
        </w:tc>
        <w:tc>
          <w:tcPr>
            <w:tcW w:type="dxa" w:w="1800"/>
            <w:vAlign w:val="center"/>
            <w:tcMar>
              <w:top w:w="100" w:type="dxa"/>
              <w:start w:w="120" w:type="dxa"/>
              <w:bottom w:w="100" w:type="dxa"/>
              <w:end w:w="120" w:type="dxa"/>
            </w:tcMar>
          </w:tcPr>
          <w:p>
            <w:pPr>
              <w:spacing w:after="0"/>
            </w:pPr>
            <w:r>
              <w:rPr>
                <w:sz w:val="18"/>
              </w:rPr>
              <w:t>Reservas e contratos</w:t>
            </w:r>
          </w:p>
        </w:tc>
        <w:tc>
          <w:tcPr>
            <w:tcW w:type="dxa" w:w="2376"/>
            <w:vAlign w:val="center"/>
            <w:tcMar>
              <w:top w:w="100" w:type="dxa"/>
              <w:start w:w="120" w:type="dxa"/>
              <w:bottom w:w="100" w:type="dxa"/>
              <w:end w:w="120" w:type="dxa"/>
            </w:tcMar>
          </w:tcPr>
          <w:p>
            <w:pPr>
              <w:spacing w:after="0"/>
            </w:pPr>
            <w:r>
              <w:rPr>
                <w:sz w:val="18"/>
              </w:rPr>
              <w:t>Gestão de processos operacionais</w:t>
            </w:r>
          </w:p>
        </w:tc>
        <w:tc>
          <w:tcPr>
            <w:tcW w:type="dxa" w:w="4032"/>
            <w:vAlign w:val="center"/>
            <w:tcMar>
              <w:top w:w="100" w:type="dxa"/>
              <w:start w:w="120" w:type="dxa"/>
              <w:bottom w:w="100" w:type="dxa"/>
              <w:end w:w="120" w:type="dxa"/>
            </w:tcMar>
          </w:tcPr>
          <w:p>
            <w:pPr>
              <w:spacing w:after="0"/>
            </w:pPr>
            <w:r>
              <w:rPr>
                <w:sz w:val="18"/>
              </w:rPr>
              <w:t>Início sem rastreabilidade</w:t>
            </w:r>
          </w:p>
        </w:tc>
      </w:tr>
      <w:tr>
        <w:tc>
          <w:tcPr>
            <w:tcW w:type="dxa" w:w="1152"/>
            <w:vAlign w:val="center"/>
            <w:tcMar>
              <w:top w:w="100" w:type="dxa"/>
              <w:start w:w="120" w:type="dxa"/>
              <w:bottom w:w="100" w:type="dxa"/>
              <w:end w:w="120" w:type="dxa"/>
            </w:tcMar>
            <w:shd w:fill="EAF1F8"/>
          </w:tcPr>
          <w:p>
            <w:pPr>
              <w:spacing w:after="0"/>
            </w:pPr>
            <w:r>
              <w:rPr>
                <w:sz w:val="18"/>
              </w:rPr>
              <w:t>Suporte</w:t>
            </w:r>
          </w:p>
        </w:tc>
        <w:tc>
          <w:tcPr>
            <w:tcW w:type="dxa" w:w="1800"/>
            <w:vAlign w:val="center"/>
            <w:tcMar>
              <w:top w:w="100" w:type="dxa"/>
              <w:start w:w="120" w:type="dxa"/>
              <w:bottom w:w="100" w:type="dxa"/>
              <w:end w:w="120" w:type="dxa"/>
            </w:tcMar>
            <w:shd w:fill="EAF1F8"/>
          </w:tcPr>
          <w:p>
            <w:pPr>
              <w:spacing w:after="0"/>
            </w:pPr>
            <w:r>
              <w:rPr>
                <w:sz w:val="18"/>
              </w:rPr>
              <w:t>Atendimento e assistência 24h</w:t>
            </w:r>
          </w:p>
        </w:tc>
        <w:tc>
          <w:tcPr>
            <w:tcW w:type="dxa" w:w="2376"/>
            <w:vAlign w:val="center"/>
            <w:tcMar>
              <w:top w:w="100" w:type="dxa"/>
              <w:start w:w="120" w:type="dxa"/>
              <w:bottom w:w="100" w:type="dxa"/>
              <w:end w:w="120" w:type="dxa"/>
            </w:tcMar>
            <w:shd w:fill="EAF1F8"/>
          </w:tcPr>
          <w:p>
            <w:pPr>
              <w:spacing w:after="0"/>
            </w:pPr>
            <w:r>
              <w:rPr>
                <w:sz w:val="18"/>
              </w:rPr>
              <w:t>Reservas e contratos</w:t>
            </w:r>
          </w:p>
        </w:tc>
        <w:tc>
          <w:tcPr>
            <w:tcW w:type="dxa" w:w="4032"/>
            <w:vAlign w:val="center"/>
            <w:tcMar>
              <w:top w:w="100" w:type="dxa"/>
              <w:start w:w="120" w:type="dxa"/>
              <w:bottom w:w="100" w:type="dxa"/>
              <w:end w:w="120" w:type="dxa"/>
            </w:tcMar>
            <w:shd w:fill="EAF1F8"/>
          </w:tcPr>
          <w:p>
            <w:pPr>
              <w:spacing w:after="0"/>
            </w:pPr>
            <w:r>
              <w:rPr>
                <w:sz w:val="18"/>
              </w:rPr>
              <w:t>SLA incorreto ou indisponível</w:t>
            </w:r>
          </w:p>
        </w:tc>
      </w:tr>
      <w:tr>
        <w:tc>
          <w:tcPr>
            <w:tcW w:type="dxa" w:w="1152"/>
            <w:vAlign w:val="center"/>
            <w:tcMar>
              <w:top w:w="100" w:type="dxa"/>
              <w:start w:w="120" w:type="dxa"/>
              <w:bottom w:w="100" w:type="dxa"/>
              <w:end w:w="120" w:type="dxa"/>
            </w:tcMar>
          </w:tcPr>
          <w:p>
            <w:pPr>
              <w:spacing w:after="0"/>
            </w:pPr>
            <w:r>
              <w:rPr>
                <w:sz w:val="18"/>
              </w:rPr>
              <w:t>Resolução</w:t>
            </w:r>
          </w:p>
        </w:tc>
        <w:tc>
          <w:tcPr>
            <w:tcW w:type="dxa" w:w="1800"/>
            <w:vAlign w:val="center"/>
            <w:tcMar>
              <w:top w:w="100" w:type="dxa"/>
              <w:start w:w="120" w:type="dxa"/>
              <w:bottom w:w="100" w:type="dxa"/>
              <w:end w:w="120" w:type="dxa"/>
            </w:tcMar>
          </w:tcPr>
          <w:p>
            <w:pPr>
              <w:spacing w:after="0"/>
            </w:pPr>
            <w:r>
              <w:rPr>
                <w:sz w:val="18"/>
              </w:rPr>
              <w:t>Atendimento e assistência 24h</w:t>
            </w:r>
          </w:p>
        </w:tc>
        <w:tc>
          <w:tcPr>
            <w:tcW w:type="dxa" w:w="2376"/>
            <w:vAlign w:val="center"/>
            <w:tcMar>
              <w:top w:w="100" w:type="dxa"/>
              <w:start w:w="120" w:type="dxa"/>
              <w:bottom w:w="100" w:type="dxa"/>
              <w:end w:w="120" w:type="dxa"/>
            </w:tcMar>
          </w:tcPr>
          <w:p>
            <w:pPr>
              <w:spacing w:after="0"/>
            </w:pPr>
            <w:r>
              <w:rPr>
                <w:sz w:val="18"/>
              </w:rPr>
              <w:t>Gestão de processos operacionais</w:t>
            </w:r>
          </w:p>
        </w:tc>
        <w:tc>
          <w:tcPr>
            <w:tcW w:type="dxa" w:w="4032"/>
            <w:vAlign w:val="center"/>
            <w:tcMar>
              <w:top w:w="100" w:type="dxa"/>
              <w:start w:w="120" w:type="dxa"/>
              <w:bottom w:w="100" w:type="dxa"/>
              <w:end w:w="120" w:type="dxa"/>
            </w:tcMar>
          </w:tcPr>
          <w:p>
            <w:pPr>
              <w:spacing w:after="0"/>
            </w:pPr>
            <w:r>
              <w:rPr>
                <w:sz w:val="18"/>
              </w:rPr>
              <w:t>Processo fragmentado</w:t>
            </w:r>
          </w:p>
        </w:tc>
      </w:tr>
    </w:tbl>
    <w:p>
      <w:pPr>
        <w:spacing w:after="40"/>
      </w:pPr>
    </w:p>
    <w:p>
      <w:pPr>
        <w:pStyle w:val="Heading2"/>
      </w:pPr>
      <w:r>
        <w:t>4.2 Necessidades</w:t>
      </w:r>
    </w:p>
    <w:p>
      <w:pPr>
        <w:spacing w:after="80"/>
        <w:ind w:left="360" w:hanging="259"/>
      </w:pPr>
      <w:r>
        <w:t>•  Uma identidade global que mantenha relações com identificadores legados.</w:t>
      </w:r>
    </w:p>
    <w:p>
      <w:pPr>
        <w:spacing w:after="80"/>
        <w:ind w:left="360" w:hanging="259"/>
      </w:pPr>
      <w:r>
        <w:t>•  Contratos versionados para comandos, consultas e eventos.</w:t>
      </w:r>
    </w:p>
    <w:p>
      <w:pPr>
        <w:spacing w:after="80"/>
        <w:ind w:left="360" w:hanging="259"/>
      </w:pPr>
      <w:r>
        <w:t>•  Entrega confiável com repetição segura e tratamento de falha permanente.</w:t>
      </w:r>
    </w:p>
    <w:p>
      <w:pPr>
        <w:spacing w:after="80"/>
        <w:ind w:left="360" w:hanging="259"/>
      </w:pPr>
      <w:r>
        <w:t>•  Rastreabilidade por correlação, auditoria, métricas e logs estruturados.</w:t>
      </w:r>
    </w:p>
    <w:p>
      <w:pPr>
        <w:spacing w:after="80"/>
        <w:ind w:left="360" w:hanging="259"/>
      </w:pPr>
      <w:r>
        <w:t>•  Fronteiras que preservem a fonte oficial e impeçam acesso cruzado ao banco.</w:t>
      </w:r>
    </w:p>
    <w:p>
      <w:pPr>
        <w:spacing w:after="40"/>
      </w:pPr>
    </w:p>
    <w:p>
      <w:pPr>
        <w:spacing w:after="160" w:line="276" w:lineRule="auto"/>
        <w:jc w:val="both"/>
      </w:pPr>
      <w:r>
        <w:t>A análise AS-IS orienta a solução, mas a arquitetura admite adaptadores diferentes quando a descoberta real identificar APIs, arquivos, webhooks ou bancos legados.</w:t>
      </w:r>
    </w:p>
    <w:p>
      <w:pPr>
        <w:pStyle w:val="Heading1"/>
        <w:pageBreakBefore/>
        <w:spacing w:before="160" w:after="240"/>
      </w:pPr>
      <w:r>
        <w:t>5 Requisitos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1080"/>
            <w:shd w:fill="17365D"/>
            <w:vAlign w:val="center"/>
            <w:tcMar>
              <w:top w:w="100" w:type="dxa"/>
              <w:start w:w="120" w:type="dxa"/>
              <w:bottom w:w="100" w:type="dxa"/>
              <w:end w:w="120" w:type="dxa"/>
            </w:tcMar>
          </w:tcPr>
          <w:p>
            <w:r>
              <w:rPr>
                <w:b/>
                <w:color w:val="FFFFFF"/>
              </w:rPr>
              <w:t>ID</w:t>
            </w:r>
          </w:p>
        </w:tc>
        <w:tc>
          <w:tcPr>
            <w:tcW w:type="dxa" w:w="3384"/>
            <w:shd w:fill="17365D"/>
            <w:vAlign w:val="center"/>
            <w:tcMar>
              <w:top w:w="100" w:type="dxa"/>
              <w:start w:w="120" w:type="dxa"/>
              <w:bottom w:w="100" w:type="dxa"/>
              <w:end w:w="120" w:type="dxa"/>
            </w:tcMar>
          </w:tcPr>
          <w:p>
            <w:r>
              <w:rPr>
                <w:b/>
                <w:color w:val="FFFFFF"/>
              </w:rPr>
              <w:t>Requisito</w:t>
            </w:r>
          </w:p>
        </w:tc>
        <w:tc>
          <w:tcPr>
            <w:tcW w:type="dxa" w:w="5112"/>
            <w:shd w:fill="17365D"/>
            <w:vAlign w:val="center"/>
            <w:tcMar>
              <w:top w:w="100" w:type="dxa"/>
              <w:start w:w="120" w:type="dxa"/>
              <w:bottom w:w="100" w:type="dxa"/>
              <w:end w:w="120" w:type="dxa"/>
            </w:tcMar>
          </w:tcPr>
          <w:p>
            <w:r>
              <w:rPr>
                <w:b/>
                <w:color w:val="FFFFFF"/>
              </w:rPr>
              <w:t>Critério de aceite</w:t>
            </w:r>
          </w:p>
        </w:tc>
      </w:tr>
      <w:tr>
        <w:tc>
          <w:tcPr>
            <w:tcW w:type="dxa" w:w="1080"/>
            <w:vAlign w:val="center"/>
            <w:tcMar>
              <w:top w:w="100" w:type="dxa"/>
              <w:start w:w="120" w:type="dxa"/>
              <w:bottom w:w="100" w:type="dxa"/>
              <w:end w:w="120" w:type="dxa"/>
            </w:tcMar>
          </w:tcPr>
          <w:p>
            <w:pPr>
              <w:spacing w:after="0"/>
            </w:pPr>
            <w:r>
              <w:rPr>
                <w:sz w:val="18"/>
              </w:rPr>
              <w:t>RF-01</w:t>
            </w:r>
          </w:p>
        </w:tc>
        <w:tc>
          <w:tcPr>
            <w:tcW w:type="dxa" w:w="3384"/>
            <w:vAlign w:val="center"/>
            <w:tcMar>
              <w:top w:w="100" w:type="dxa"/>
              <w:start w:w="120" w:type="dxa"/>
              <w:bottom w:w="100" w:type="dxa"/>
              <w:end w:w="120" w:type="dxa"/>
            </w:tcMar>
          </w:tcPr>
          <w:p>
            <w:pPr>
              <w:spacing w:after="0"/>
            </w:pPr>
            <w:r>
              <w:rPr>
                <w:sz w:val="18"/>
              </w:rPr>
              <w:t>Identidade única de cliente</w:t>
            </w:r>
          </w:p>
        </w:tc>
        <w:tc>
          <w:tcPr>
            <w:tcW w:type="dxa" w:w="5112"/>
            <w:vAlign w:val="center"/>
            <w:tcMar>
              <w:top w:w="100" w:type="dxa"/>
              <w:start w:w="120" w:type="dxa"/>
              <w:bottom w:w="100" w:type="dxa"/>
              <w:end w:w="120" w:type="dxa"/>
            </w:tcMar>
          </w:tcPr>
          <w:p>
            <w:pPr>
              <w:spacing w:after="0"/>
            </w:pPr>
            <w:r>
              <w:rPr>
                <w:sz w:val="18"/>
              </w:rPr>
              <w:t>UUID global e IDs legados associados</w:t>
            </w:r>
          </w:p>
        </w:tc>
      </w:tr>
      <w:tr>
        <w:tc>
          <w:tcPr>
            <w:tcW w:type="dxa" w:w="1080"/>
            <w:vAlign w:val="center"/>
            <w:tcMar>
              <w:top w:w="100" w:type="dxa"/>
              <w:start w:w="120" w:type="dxa"/>
              <w:bottom w:w="100" w:type="dxa"/>
              <w:end w:w="120" w:type="dxa"/>
            </w:tcMar>
            <w:shd w:fill="EAF1F8"/>
          </w:tcPr>
          <w:p>
            <w:pPr>
              <w:spacing w:after="0"/>
            </w:pPr>
            <w:r>
              <w:rPr>
                <w:sz w:val="18"/>
              </w:rPr>
              <w:t>RF-02</w:t>
            </w:r>
          </w:p>
        </w:tc>
        <w:tc>
          <w:tcPr>
            <w:tcW w:type="dxa" w:w="3384"/>
            <w:vAlign w:val="center"/>
            <w:tcMar>
              <w:top w:w="100" w:type="dxa"/>
              <w:start w:w="120" w:type="dxa"/>
              <w:bottom w:w="100" w:type="dxa"/>
              <w:end w:w="120" w:type="dxa"/>
            </w:tcMar>
            <w:shd w:fill="EAF1F8"/>
          </w:tcPr>
          <w:p>
            <w:pPr>
              <w:spacing w:after="0"/>
            </w:pPr>
            <w:r>
              <w:rPr>
                <w:sz w:val="18"/>
              </w:rPr>
              <w:t>Criar contrato a partir do CRM</w:t>
            </w:r>
          </w:p>
        </w:tc>
        <w:tc>
          <w:tcPr>
            <w:tcW w:type="dxa" w:w="5112"/>
            <w:vAlign w:val="center"/>
            <w:tcMar>
              <w:top w:w="100" w:type="dxa"/>
              <w:start w:w="120" w:type="dxa"/>
              <w:bottom w:w="100" w:type="dxa"/>
              <w:end w:w="120" w:type="dxa"/>
            </w:tcMar>
            <w:shd w:fill="EAF1F8"/>
          </w:tcPr>
          <w:p>
            <w:pPr>
              <w:spacing w:after="0"/>
            </w:pPr>
            <w:r>
              <w:rPr>
                <w:sz w:val="18"/>
              </w:rPr>
              <w:t>Reserva/contrato sem recadastro</w:t>
            </w:r>
          </w:p>
        </w:tc>
      </w:tr>
      <w:tr>
        <w:tc>
          <w:tcPr>
            <w:tcW w:type="dxa" w:w="1080"/>
            <w:vAlign w:val="center"/>
            <w:tcMar>
              <w:top w:w="100" w:type="dxa"/>
              <w:start w:w="120" w:type="dxa"/>
              <w:bottom w:w="100" w:type="dxa"/>
              <w:end w:w="120" w:type="dxa"/>
            </w:tcMar>
          </w:tcPr>
          <w:p>
            <w:pPr>
              <w:spacing w:after="0"/>
            </w:pPr>
            <w:r>
              <w:rPr>
                <w:sz w:val="18"/>
              </w:rPr>
              <w:t>RF-03</w:t>
            </w:r>
          </w:p>
        </w:tc>
        <w:tc>
          <w:tcPr>
            <w:tcW w:type="dxa" w:w="3384"/>
            <w:vAlign w:val="center"/>
            <w:tcMar>
              <w:top w:w="100" w:type="dxa"/>
              <w:start w:w="120" w:type="dxa"/>
              <w:bottom w:w="100" w:type="dxa"/>
              <w:end w:w="120" w:type="dxa"/>
            </w:tcMar>
          </w:tcPr>
          <w:p>
            <w:pPr>
              <w:spacing w:after="0"/>
            </w:pPr>
            <w:r>
              <w:rPr>
                <w:sz w:val="18"/>
              </w:rPr>
              <w:t>Ativar, faturar e iniciar preparação de retirada</w:t>
            </w:r>
          </w:p>
        </w:tc>
        <w:tc>
          <w:tcPr>
            <w:tcW w:type="dxa" w:w="5112"/>
            <w:vAlign w:val="center"/>
            <w:tcMar>
              <w:top w:w="100" w:type="dxa"/>
              <w:start w:w="120" w:type="dxa"/>
              <w:bottom w:w="100" w:type="dxa"/>
              <w:end w:w="120" w:type="dxa"/>
            </w:tcMar>
          </w:tcPr>
          <w:p>
            <w:pPr>
              <w:spacing w:after="0"/>
            </w:pPr>
            <w:r>
              <w:rPr>
                <w:sz w:val="18"/>
              </w:rPr>
              <w:t>Efeitos únicos após repetição</w:t>
            </w:r>
          </w:p>
        </w:tc>
      </w:tr>
      <w:tr>
        <w:tc>
          <w:tcPr>
            <w:tcW w:type="dxa" w:w="1080"/>
            <w:vAlign w:val="center"/>
            <w:tcMar>
              <w:top w:w="100" w:type="dxa"/>
              <w:start w:w="120" w:type="dxa"/>
              <w:bottom w:w="100" w:type="dxa"/>
              <w:end w:w="120" w:type="dxa"/>
            </w:tcMar>
            <w:shd w:fill="EAF1F8"/>
          </w:tcPr>
          <w:p>
            <w:pPr>
              <w:spacing w:after="0"/>
            </w:pPr>
            <w:r>
              <w:rPr>
                <w:sz w:val="18"/>
              </w:rPr>
              <w:t>RF-04</w:t>
            </w:r>
          </w:p>
        </w:tc>
        <w:tc>
          <w:tcPr>
            <w:tcW w:type="dxa" w:w="3384"/>
            <w:vAlign w:val="center"/>
            <w:tcMar>
              <w:top w:w="100" w:type="dxa"/>
              <w:start w:w="120" w:type="dxa"/>
              <w:bottom w:w="100" w:type="dxa"/>
              <w:end w:w="120" w:type="dxa"/>
            </w:tcMar>
            <w:shd w:fill="EAF1F8"/>
          </w:tcPr>
          <w:p>
            <w:pPr>
              <w:spacing w:after="0"/>
            </w:pPr>
            <w:r>
              <w:rPr>
                <w:sz w:val="18"/>
              </w:rPr>
              <w:t>Abrir chamado com contrato de locação e SLA</w:t>
            </w:r>
          </w:p>
        </w:tc>
        <w:tc>
          <w:tcPr>
            <w:tcW w:type="dxa" w:w="5112"/>
            <w:vAlign w:val="center"/>
            <w:tcMar>
              <w:top w:w="100" w:type="dxa"/>
              <w:start w:w="120" w:type="dxa"/>
              <w:bottom w:w="100" w:type="dxa"/>
              <w:end w:w="120" w:type="dxa"/>
            </w:tcMar>
            <w:shd w:fill="EAF1F8"/>
          </w:tcPr>
          <w:p>
            <w:pPr>
              <w:spacing w:after="0"/>
            </w:pPr>
            <w:r>
              <w:rPr>
                <w:sz w:val="18"/>
              </w:rPr>
              <w:t>Elegibilidade e prazo registrados</w:t>
            </w:r>
          </w:p>
        </w:tc>
      </w:tr>
      <w:tr>
        <w:tc>
          <w:tcPr>
            <w:tcW w:type="dxa" w:w="1080"/>
            <w:vAlign w:val="center"/>
            <w:tcMar>
              <w:top w:w="100" w:type="dxa"/>
              <w:start w:w="120" w:type="dxa"/>
              <w:bottom w:w="100" w:type="dxa"/>
              <w:end w:w="120" w:type="dxa"/>
            </w:tcMar>
          </w:tcPr>
          <w:p>
            <w:pPr>
              <w:spacing w:after="0"/>
            </w:pPr>
            <w:r>
              <w:rPr>
                <w:sz w:val="18"/>
              </w:rPr>
              <w:t>RF-05</w:t>
            </w:r>
          </w:p>
        </w:tc>
        <w:tc>
          <w:tcPr>
            <w:tcW w:type="dxa" w:w="3384"/>
            <w:vAlign w:val="center"/>
            <w:tcMar>
              <w:top w:w="100" w:type="dxa"/>
              <w:start w:w="120" w:type="dxa"/>
              <w:bottom w:w="100" w:type="dxa"/>
              <w:end w:w="120" w:type="dxa"/>
            </w:tcMar>
          </w:tcPr>
          <w:p>
            <w:pPr>
              <w:spacing w:after="0"/>
            </w:pPr>
            <w:r>
              <w:rPr>
                <w:sz w:val="18"/>
              </w:rPr>
              <w:t>Propagar cadastro</w:t>
            </w:r>
          </w:p>
        </w:tc>
        <w:tc>
          <w:tcPr>
            <w:tcW w:type="dxa" w:w="5112"/>
            <w:vAlign w:val="center"/>
            <w:tcMar>
              <w:top w:w="100" w:type="dxa"/>
              <w:start w:w="120" w:type="dxa"/>
              <w:bottom w:w="100" w:type="dxa"/>
              <w:end w:w="120" w:type="dxa"/>
            </w:tcMar>
          </w:tcPr>
          <w:p>
            <w:pPr>
              <w:spacing w:after="0"/>
            </w:pPr>
            <w:r>
              <w:rPr>
                <w:sz w:val="18"/>
              </w:rPr>
              <w:t>Evento consumido e auditado</w:t>
            </w:r>
          </w:p>
        </w:tc>
      </w:tr>
      <w:tr>
        <w:tc>
          <w:tcPr>
            <w:tcW w:type="dxa" w:w="1080"/>
            <w:vAlign w:val="center"/>
            <w:tcMar>
              <w:top w:w="100" w:type="dxa"/>
              <w:start w:w="120" w:type="dxa"/>
              <w:bottom w:w="100" w:type="dxa"/>
              <w:end w:w="120" w:type="dxa"/>
            </w:tcMar>
            <w:shd w:fill="EAF1F8"/>
          </w:tcPr>
          <w:p>
            <w:pPr>
              <w:spacing w:after="0"/>
            </w:pPr>
            <w:r>
              <w:rPr>
                <w:sz w:val="18"/>
              </w:rPr>
              <w:t>RF-06</w:t>
            </w:r>
          </w:p>
        </w:tc>
        <w:tc>
          <w:tcPr>
            <w:tcW w:type="dxa" w:w="3384"/>
            <w:vAlign w:val="center"/>
            <w:tcMar>
              <w:top w:w="100" w:type="dxa"/>
              <w:start w:w="120" w:type="dxa"/>
              <w:bottom w:w="100" w:type="dxa"/>
              <w:end w:w="120" w:type="dxa"/>
            </w:tcMar>
            <w:shd w:fill="EAF1F8"/>
          </w:tcPr>
          <w:p>
            <w:pPr>
              <w:spacing w:after="0"/>
            </w:pPr>
            <w:r>
              <w:rPr>
                <w:sz w:val="18"/>
              </w:rPr>
              <w:t>Consultar operação</w:t>
            </w:r>
          </w:p>
        </w:tc>
        <w:tc>
          <w:tcPr>
            <w:tcW w:type="dxa" w:w="5112"/>
            <w:vAlign w:val="center"/>
            <w:tcMar>
              <w:top w:w="100" w:type="dxa"/>
              <w:start w:w="120" w:type="dxa"/>
              <w:bottom w:w="100" w:type="dxa"/>
              <w:end w:w="120" w:type="dxa"/>
            </w:tcMar>
            <w:shd w:fill="EAF1F8"/>
          </w:tcPr>
          <w:p>
            <w:pPr>
              <w:spacing w:after="0"/>
            </w:pPr>
            <w:r>
              <w:rPr>
                <w:sz w:val="18"/>
              </w:rPr>
              <w:t>Trilha por correlationId</w:t>
            </w:r>
          </w:p>
        </w:tc>
      </w:tr>
      <w:tr>
        <w:tc>
          <w:tcPr>
            <w:tcW w:type="dxa" w:w="1080"/>
            <w:vAlign w:val="center"/>
            <w:tcMar>
              <w:top w:w="100" w:type="dxa"/>
              <w:start w:w="120" w:type="dxa"/>
              <w:bottom w:w="100" w:type="dxa"/>
              <w:end w:w="120" w:type="dxa"/>
            </w:tcMar>
          </w:tcPr>
          <w:p>
            <w:pPr>
              <w:spacing w:after="0"/>
            </w:pPr>
            <w:r>
              <w:rPr>
                <w:sz w:val="18"/>
              </w:rPr>
              <w:t>RF-07</w:t>
            </w:r>
          </w:p>
        </w:tc>
        <w:tc>
          <w:tcPr>
            <w:tcW w:type="dxa" w:w="3384"/>
            <w:vAlign w:val="center"/>
            <w:tcMar>
              <w:top w:w="100" w:type="dxa"/>
              <w:start w:w="120" w:type="dxa"/>
              <w:bottom w:w="100" w:type="dxa"/>
              <w:end w:w="120" w:type="dxa"/>
            </w:tcMar>
          </w:tcPr>
          <w:p>
            <w:pPr>
              <w:spacing w:after="0"/>
            </w:pPr>
            <w:r>
              <w:rPr>
                <w:sz w:val="18"/>
              </w:rPr>
              <w:t>Reprocessar falha</w:t>
            </w:r>
          </w:p>
        </w:tc>
        <w:tc>
          <w:tcPr>
            <w:tcW w:type="dxa" w:w="5112"/>
            <w:vAlign w:val="center"/>
            <w:tcMar>
              <w:top w:w="100" w:type="dxa"/>
              <w:start w:w="120" w:type="dxa"/>
              <w:bottom w:w="100" w:type="dxa"/>
              <w:end w:w="120" w:type="dxa"/>
            </w:tcMar>
          </w:tcPr>
          <w:p>
            <w:pPr>
              <w:spacing w:after="0"/>
            </w:pPr>
            <w:r>
              <w:rPr>
                <w:sz w:val="18"/>
              </w:rPr>
              <w:t>Motivo consultável e repetição segura</w:t>
            </w:r>
          </w:p>
        </w:tc>
      </w:tr>
    </w:tbl>
    <w:p>
      <w:pPr>
        <w:spacing w:after="40"/>
      </w:pPr>
    </w:p>
    <w:p>
      <w:pPr>
        <w:spacing w:after="160" w:line="276" w:lineRule="auto"/>
        <w:jc w:val="both"/>
      </w:pPr>
      <w:r>
        <w:t>Os requisitos não funcionais priorizam interoperabilidade, confiabilidade, segurança, observabilidade e manutenibilidade. Disponibilidade orienta a degradação do atendimento e assistência 24h. A meta de desempenho fixa p95 inferior a 500 ms para consultas locais. Escalabilidade e testabilidade sustentam a evolução.</w:t>
      </w:r>
    </w:p>
    <w:p>
      <w:pPr>
        <w:pStyle w:val="Heading1"/>
        <w:pageBreakBefore/>
        <w:spacing w:before="160" w:after="240"/>
      </w:pPr>
      <w:r>
        <w:t>6 Arquitetura proposta TO BE</w:t>
      </w:r>
    </w:p>
    <w:p>
      <w:pPr>
        <w:spacing w:after="160" w:line="276" w:lineRule="auto"/>
        <w:jc w:val="both"/>
      </w:pPr>
      <w:r>
        <w:t>A decisão adota SOA pragmática em monólito modular. CRM, Contracts, Finance, Support e Workflow contêm regras e dados próprios. Integration mantém identidade legada, correlação, idempotência, outbox, inbox, auditoria e falhas. A aplicação oferece APIs em /api/v1.</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1728"/>
            <w:shd w:fill="17365D"/>
            <w:vAlign w:val="center"/>
            <w:tcMar>
              <w:top w:w="100" w:type="dxa"/>
              <w:start w:w="120" w:type="dxa"/>
              <w:bottom w:w="100" w:type="dxa"/>
              <w:end w:w="120" w:type="dxa"/>
            </w:tcMar>
          </w:tcPr>
          <w:p>
            <w:r>
              <w:rPr>
                <w:b/>
                <w:color w:val="FFFFFF"/>
              </w:rPr>
              <w:t>Contexto</w:t>
            </w:r>
          </w:p>
        </w:tc>
        <w:tc>
          <w:tcPr>
            <w:tcW w:type="dxa" w:w="3672"/>
            <w:shd w:fill="17365D"/>
            <w:vAlign w:val="center"/>
            <w:tcMar>
              <w:top w:w="100" w:type="dxa"/>
              <w:start w:w="120" w:type="dxa"/>
              <w:bottom w:w="100" w:type="dxa"/>
              <w:end w:w="120" w:type="dxa"/>
            </w:tcMar>
          </w:tcPr>
          <w:p>
            <w:r>
              <w:rPr>
                <w:b/>
                <w:color w:val="FFFFFF"/>
              </w:rPr>
              <w:t>Responsabilidade</w:t>
            </w:r>
          </w:p>
        </w:tc>
        <w:tc>
          <w:tcPr>
            <w:tcW w:type="dxa" w:w="4176"/>
            <w:shd w:fill="17365D"/>
            <w:vAlign w:val="center"/>
            <w:tcMar>
              <w:top w:w="100" w:type="dxa"/>
              <w:start w:w="120" w:type="dxa"/>
              <w:bottom w:w="100" w:type="dxa"/>
              <w:end w:w="120" w:type="dxa"/>
            </w:tcMar>
          </w:tcPr>
          <w:p>
            <w:r>
              <w:rPr>
                <w:b/>
                <w:color w:val="FFFFFF"/>
              </w:rPr>
              <w:t>Interface</w:t>
            </w:r>
          </w:p>
        </w:tc>
      </w:tr>
      <w:tr>
        <w:tc>
          <w:tcPr>
            <w:tcW w:type="dxa" w:w="1728"/>
            <w:vAlign w:val="center"/>
            <w:tcMar>
              <w:top w:w="100" w:type="dxa"/>
              <w:start w:w="120" w:type="dxa"/>
              <w:bottom w:w="100" w:type="dxa"/>
              <w:end w:w="120" w:type="dxa"/>
            </w:tcMar>
          </w:tcPr>
          <w:p>
            <w:pPr>
              <w:spacing w:after="0"/>
            </w:pPr>
            <w:r>
              <w:rPr>
                <w:sz w:val="18"/>
              </w:rPr>
              <w:t>CRM</w:t>
            </w:r>
          </w:p>
        </w:tc>
        <w:tc>
          <w:tcPr>
            <w:tcW w:type="dxa" w:w="3672"/>
            <w:vAlign w:val="center"/>
            <w:tcMar>
              <w:top w:w="100" w:type="dxa"/>
              <w:start w:w="120" w:type="dxa"/>
              <w:bottom w:w="100" w:type="dxa"/>
              <w:end w:w="120" w:type="dxa"/>
            </w:tcMar>
          </w:tcPr>
          <w:p>
            <w:pPr>
              <w:spacing w:after="0"/>
            </w:pPr>
            <w:r>
              <w:rPr>
                <w:sz w:val="18"/>
              </w:rPr>
              <w:t>Cadastro e elegibilidade</w:t>
            </w:r>
          </w:p>
        </w:tc>
        <w:tc>
          <w:tcPr>
            <w:tcW w:type="dxa" w:w="4176"/>
            <w:vAlign w:val="center"/>
            <w:tcMar>
              <w:top w:w="100" w:type="dxa"/>
              <w:start w:w="120" w:type="dxa"/>
              <w:bottom w:w="100" w:type="dxa"/>
              <w:end w:w="120" w:type="dxa"/>
            </w:tcMar>
          </w:tcPr>
          <w:p>
            <w:pPr>
              <w:spacing w:after="0"/>
            </w:pPr>
            <w:r>
              <w:rPr>
                <w:sz w:val="18"/>
              </w:rPr>
              <w:t>CustomerReader</w:t>
            </w:r>
          </w:p>
        </w:tc>
      </w:tr>
      <w:tr>
        <w:tc>
          <w:tcPr>
            <w:tcW w:type="dxa" w:w="1728"/>
            <w:vAlign w:val="center"/>
            <w:tcMar>
              <w:top w:w="100" w:type="dxa"/>
              <w:start w:w="120" w:type="dxa"/>
              <w:bottom w:w="100" w:type="dxa"/>
              <w:end w:w="120" w:type="dxa"/>
            </w:tcMar>
            <w:shd w:fill="EAF1F8"/>
          </w:tcPr>
          <w:p>
            <w:pPr>
              <w:spacing w:after="0"/>
            </w:pPr>
            <w:r>
              <w:rPr>
                <w:sz w:val="18"/>
              </w:rPr>
              <w:t>Contracts</w:t>
            </w:r>
          </w:p>
        </w:tc>
        <w:tc>
          <w:tcPr>
            <w:tcW w:type="dxa" w:w="3672"/>
            <w:vAlign w:val="center"/>
            <w:tcMar>
              <w:top w:w="100" w:type="dxa"/>
              <w:start w:w="120" w:type="dxa"/>
              <w:bottom w:w="100" w:type="dxa"/>
              <w:end w:w="120" w:type="dxa"/>
            </w:tcMar>
            <w:shd w:fill="EAF1F8"/>
          </w:tcPr>
          <w:p>
            <w:pPr>
              <w:spacing w:after="0"/>
            </w:pPr>
            <w:r>
              <w:rPr>
                <w:sz w:val="18"/>
              </w:rPr>
              <w:t>Contrato, plano e SLA</w:t>
            </w:r>
          </w:p>
        </w:tc>
        <w:tc>
          <w:tcPr>
            <w:tcW w:type="dxa" w:w="4176"/>
            <w:vAlign w:val="center"/>
            <w:tcMar>
              <w:top w:w="100" w:type="dxa"/>
              <w:start w:w="120" w:type="dxa"/>
              <w:bottom w:w="100" w:type="dxa"/>
              <w:end w:w="120" w:type="dxa"/>
            </w:tcMar>
            <w:shd w:fill="EAF1F8"/>
          </w:tcPr>
          <w:p>
            <w:pPr>
              <w:spacing w:after="0"/>
            </w:pPr>
            <w:r>
              <w:rPr>
                <w:sz w:val="18"/>
              </w:rPr>
              <w:t>ContractEntitlementPort</w:t>
            </w:r>
          </w:p>
        </w:tc>
      </w:tr>
      <w:tr>
        <w:tc>
          <w:tcPr>
            <w:tcW w:type="dxa" w:w="1728"/>
            <w:vAlign w:val="center"/>
            <w:tcMar>
              <w:top w:w="100" w:type="dxa"/>
              <w:start w:w="120" w:type="dxa"/>
              <w:bottom w:w="100" w:type="dxa"/>
              <w:end w:w="120" w:type="dxa"/>
            </w:tcMar>
          </w:tcPr>
          <w:p>
            <w:pPr>
              <w:spacing w:after="0"/>
            </w:pPr>
            <w:r>
              <w:rPr>
                <w:sz w:val="18"/>
              </w:rPr>
              <w:t>Finance</w:t>
            </w:r>
          </w:p>
        </w:tc>
        <w:tc>
          <w:tcPr>
            <w:tcW w:type="dxa" w:w="3672"/>
            <w:vAlign w:val="center"/>
            <w:tcMar>
              <w:top w:w="100" w:type="dxa"/>
              <w:start w:w="120" w:type="dxa"/>
              <w:bottom w:w="100" w:type="dxa"/>
              <w:end w:w="120" w:type="dxa"/>
            </w:tcMar>
          </w:tcPr>
          <w:p>
            <w:pPr>
              <w:spacing w:after="0"/>
            </w:pPr>
            <w:r>
              <w:rPr>
                <w:sz w:val="18"/>
              </w:rPr>
              <w:t>Cobranças</w:t>
            </w:r>
          </w:p>
        </w:tc>
        <w:tc>
          <w:tcPr>
            <w:tcW w:type="dxa" w:w="4176"/>
            <w:vAlign w:val="center"/>
            <w:tcMar>
              <w:top w:w="100" w:type="dxa"/>
              <w:start w:w="120" w:type="dxa"/>
              <w:bottom w:w="100" w:type="dxa"/>
              <w:end w:w="120" w:type="dxa"/>
            </w:tcMar>
          </w:tcPr>
          <w:p>
            <w:pPr>
              <w:spacing w:after="0"/>
            </w:pPr>
            <w:r>
              <w:rPr>
                <w:sz w:val="18"/>
              </w:rPr>
              <w:t>Consumidor de ContractActivated</w:t>
            </w:r>
          </w:p>
        </w:tc>
      </w:tr>
      <w:tr>
        <w:tc>
          <w:tcPr>
            <w:tcW w:type="dxa" w:w="1728"/>
            <w:vAlign w:val="center"/>
            <w:tcMar>
              <w:top w:w="100" w:type="dxa"/>
              <w:start w:w="120" w:type="dxa"/>
              <w:bottom w:w="100" w:type="dxa"/>
              <w:end w:w="120" w:type="dxa"/>
            </w:tcMar>
            <w:shd w:fill="EAF1F8"/>
          </w:tcPr>
          <w:p>
            <w:pPr>
              <w:spacing w:after="0"/>
            </w:pPr>
            <w:r>
              <w:rPr>
                <w:sz w:val="18"/>
              </w:rPr>
              <w:t>Support</w:t>
            </w:r>
          </w:p>
        </w:tc>
        <w:tc>
          <w:tcPr>
            <w:tcW w:type="dxa" w:w="3672"/>
            <w:vAlign w:val="center"/>
            <w:tcMar>
              <w:top w:w="100" w:type="dxa"/>
              <w:start w:w="120" w:type="dxa"/>
              <w:bottom w:w="100" w:type="dxa"/>
              <w:end w:w="120" w:type="dxa"/>
            </w:tcMar>
            <w:shd w:fill="EAF1F8"/>
          </w:tcPr>
          <w:p>
            <w:pPr>
              <w:spacing w:after="0"/>
            </w:pPr>
            <w:r>
              <w:rPr>
                <w:sz w:val="18"/>
              </w:rPr>
              <w:t>Chamados e reconciliação</w:t>
            </w:r>
          </w:p>
        </w:tc>
        <w:tc>
          <w:tcPr>
            <w:tcW w:type="dxa" w:w="4176"/>
            <w:vAlign w:val="center"/>
            <w:tcMar>
              <w:top w:w="100" w:type="dxa"/>
              <w:start w:w="120" w:type="dxa"/>
              <w:bottom w:w="100" w:type="dxa"/>
              <w:end w:w="120" w:type="dxa"/>
            </w:tcMar>
            <w:shd w:fill="EAF1F8"/>
          </w:tcPr>
          <w:p>
            <w:pPr>
              <w:spacing w:after="0"/>
            </w:pPr>
            <w:r>
              <w:rPr>
                <w:sz w:val="18"/>
              </w:rPr>
              <w:t>API de atendimento e assistência 24h</w:t>
            </w:r>
          </w:p>
        </w:tc>
      </w:tr>
      <w:tr>
        <w:tc>
          <w:tcPr>
            <w:tcW w:type="dxa" w:w="1728"/>
            <w:vAlign w:val="center"/>
            <w:tcMar>
              <w:top w:w="100" w:type="dxa"/>
              <w:start w:w="120" w:type="dxa"/>
              <w:bottom w:w="100" w:type="dxa"/>
              <w:end w:w="120" w:type="dxa"/>
            </w:tcMar>
          </w:tcPr>
          <w:p>
            <w:pPr>
              <w:spacing w:after="0"/>
            </w:pPr>
            <w:r>
              <w:rPr>
                <w:sz w:val="18"/>
              </w:rPr>
              <w:t>Workflow</w:t>
            </w:r>
          </w:p>
        </w:tc>
        <w:tc>
          <w:tcPr>
            <w:tcW w:type="dxa" w:w="3672"/>
            <w:vAlign w:val="center"/>
            <w:tcMar>
              <w:top w:w="100" w:type="dxa"/>
              <w:start w:w="120" w:type="dxa"/>
              <w:bottom w:w="100" w:type="dxa"/>
              <w:end w:w="120" w:type="dxa"/>
            </w:tcMar>
          </w:tcPr>
          <w:p>
            <w:pPr>
              <w:spacing w:after="0"/>
            </w:pPr>
            <w:r>
              <w:rPr>
                <w:sz w:val="18"/>
              </w:rPr>
              <w:t>Preparação de retirada e resolução</w:t>
            </w:r>
          </w:p>
        </w:tc>
        <w:tc>
          <w:tcPr>
            <w:tcW w:type="dxa" w:w="4176"/>
            <w:vAlign w:val="center"/>
            <w:tcMar>
              <w:top w:w="100" w:type="dxa"/>
              <w:start w:w="120" w:type="dxa"/>
              <w:bottom w:w="100" w:type="dxa"/>
              <w:end w:w="120" w:type="dxa"/>
            </w:tcMar>
          </w:tcPr>
          <w:p>
            <w:pPr>
              <w:spacing w:after="0"/>
            </w:pPr>
            <w:r>
              <w:rPr>
                <w:sz w:val="18"/>
              </w:rPr>
              <w:t>Consumidores de eventos</w:t>
            </w:r>
          </w:p>
        </w:tc>
      </w:tr>
      <w:tr>
        <w:tc>
          <w:tcPr>
            <w:tcW w:type="dxa" w:w="1728"/>
            <w:vAlign w:val="center"/>
            <w:tcMar>
              <w:top w:w="100" w:type="dxa"/>
              <w:start w:w="120" w:type="dxa"/>
              <w:bottom w:w="100" w:type="dxa"/>
              <w:end w:w="120" w:type="dxa"/>
            </w:tcMar>
            <w:shd w:fill="EAF1F8"/>
          </w:tcPr>
          <w:p>
            <w:pPr>
              <w:spacing w:after="0"/>
            </w:pPr>
            <w:r>
              <w:rPr>
                <w:sz w:val="18"/>
              </w:rPr>
              <w:t>Integration</w:t>
            </w:r>
          </w:p>
        </w:tc>
        <w:tc>
          <w:tcPr>
            <w:tcW w:type="dxa" w:w="3672"/>
            <w:vAlign w:val="center"/>
            <w:tcMar>
              <w:top w:w="100" w:type="dxa"/>
              <w:start w:w="120" w:type="dxa"/>
              <w:bottom w:w="100" w:type="dxa"/>
              <w:end w:w="120" w:type="dxa"/>
            </w:tcMar>
            <w:shd w:fill="EAF1F8"/>
          </w:tcPr>
          <w:p>
            <w:pPr>
              <w:spacing w:after="0"/>
            </w:pPr>
            <w:r>
              <w:rPr>
                <w:sz w:val="18"/>
              </w:rPr>
              <w:t>Entrega e rastreabilidade</w:t>
            </w:r>
          </w:p>
        </w:tc>
        <w:tc>
          <w:tcPr>
            <w:tcW w:type="dxa" w:w="4176"/>
            <w:vAlign w:val="center"/>
            <w:tcMar>
              <w:top w:w="100" w:type="dxa"/>
              <w:start w:w="120" w:type="dxa"/>
              <w:bottom w:w="100" w:type="dxa"/>
              <w:end w:w="120" w:type="dxa"/>
            </w:tcMar>
            <w:shd w:fill="EAF1F8"/>
          </w:tcPr>
          <w:p>
            <w:pPr>
              <w:spacing w:after="0"/>
            </w:pPr>
            <w:r>
              <w:rPr>
                <w:sz w:val="18"/>
              </w:rPr>
              <w:t>API operacional</w:t>
            </w:r>
          </w:p>
        </w:tc>
      </w:tr>
    </w:tbl>
    <w:p>
      <w:pPr>
        <w:spacing w:after="40"/>
      </w:pPr>
    </w:p>
    <w:p>
      <w:pPr>
        <w:spacing w:after="160" w:line="276" w:lineRule="auto"/>
        <w:jc w:val="both"/>
      </w:pPr>
      <w:r>
        <w:t>O banco compartilhado pertence à implantação acadêmica. Prefixos e dependências de código preservam a separação lógica. Um teste de arquitetura rejeita importação direta de modelos internos entre contextos de negócio.</w:t>
      </w:r>
    </w:p>
    <w:p>
      <w:pPr>
        <w:pStyle w:val="Heading1"/>
        <w:pageBreakBefore/>
        <w:spacing w:before="160" w:after="240"/>
      </w:pPr>
      <w:r>
        <w:t>6 Arquitetura proposta TO BE continuação</w:t>
      </w:r>
    </w:p>
    <w:p>
      <w:pPr>
        <w:pStyle w:val="Heading2"/>
      </w:pPr>
      <w:r>
        <w:t>6.1 Componentes e implantação</w:t>
      </w:r>
    </w:p>
    <w:p>
      <w:pPr>
        <w:spacing w:after="160" w:line="276" w:lineRule="auto"/>
        <w:jc w:val="both"/>
      </w:pPr>
      <w:r>
        <w:t>Docker Compose inicia a API, PostgreSQL e RabbitMQ. A API atende canais e documentação. PostgreSQL persiste transações e registros de integração. RabbitMQ recebe cópias duráveis dos eventos para observação e integração externa. Os handlers internos demonstram consumidores substituíveis.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1656"/>
            <w:shd w:fill="17365D"/>
            <w:vAlign w:val="center"/>
            <w:tcMar>
              <w:top w:w="100" w:type="dxa"/>
              <w:start w:w="120" w:type="dxa"/>
              <w:bottom w:w="100" w:type="dxa"/>
              <w:end w:w="120" w:type="dxa"/>
            </w:tcMar>
          </w:tcPr>
          <w:p>
            <w:r>
              <w:rPr>
                <w:b/>
                <w:color w:val="FFFFFF"/>
              </w:rPr>
              <w:t>Camada</w:t>
            </w:r>
          </w:p>
        </w:tc>
        <w:tc>
          <w:tcPr>
            <w:tcW w:type="dxa" w:w="3744"/>
            <w:shd w:fill="17365D"/>
            <w:vAlign w:val="center"/>
            <w:tcMar>
              <w:top w:w="100" w:type="dxa"/>
              <w:start w:w="120" w:type="dxa"/>
              <w:bottom w:w="100" w:type="dxa"/>
              <w:end w:w="120" w:type="dxa"/>
            </w:tcMar>
          </w:tcPr>
          <w:p>
            <w:r>
              <w:rPr>
                <w:b/>
                <w:color w:val="FFFFFF"/>
              </w:rPr>
              <w:t>Elementos</w:t>
            </w:r>
          </w:p>
        </w:tc>
        <w:tc>
          <w:tcPr>
            <w:tcW w:type="dxa" w:w="4176"/>
            <w:shd w:fill="17365D"/>
            <w:vAlign w:val="center"/>
            <w:tcMar>
              <w:top w:w="100" w:type="dxa"/>
              <w:start w:w="120" w:type="dxa"/>
              <w:bottom w:w="100" w:type="dxa"/>
              <w:end w:w="120" w:type="dxa"/>
            </w:tcMar>
          </w:tcPr>
          <w:p>
            <w:r>
              <w:rPr>
                <w:b/>
                <w:color w:val="FFFFFF"/>
              </w:rPr>
              <w:t>Regra de dependência</w:t>
            </w:r>
          </w:p>
        </w:tc>
      </w:tr>
      <w:tr>
        <w:tc>
          <w:tcPr>
            <w:tcW w:type="dxa" w:w="1656"/>
            <w:vAlign w:val="center"/>
            <w:tcMar>
              <w:top w:w="100" w:type="dxa"/>
              <w:start w:w="120" w:type="dxa"/>
              <w:bottom w:w="100" w:type="dxa"/>
              <w:end w:w="120" w:type="dxa"/>
            </w:tcMar>
          </w:tcPr>
          <w:p>
            <w:pPr>
              <w:spacing w:after="0"/>
            </w:pPr>
            <w:r>
              <w:rPr>
                <w:sz w:val="18"/>
              </w:rPr>
              <w:t>Entrada</w:t>
            </w:r>
          </w:p>
        </w:tc>
        <w:tc>
          <w:tcPr>
            <w:tcW w:type="dxa" w:w="3744"/>
            <w:vAlign w:val="center"/>
            <w:tcMar>
              <w:top w:w="100" w:type="dxa"/>
              <w:start w:w="120" w:type="dxa"/>
              <w:bottom w:w="100" w:type="dxa"/>
              <w:end w:w="120" w:type="dxa"/>
            </w:tcMar>
          </w:tcPr>
          <w:p>
            <w:pPr>
              <w:spacing w:after="0"/>
            </w:pPr>
            <w:r>
              <w:rPr>
                <w:sz w:val="18"/>
              </w:rPr>
              <w:t>Rotas REST, autenticação e validação</w:t>
            </w:r>
          </w:p>
        </w:tc>
        <w:tc>
          <w:tcPr>
            <w:tcW w:type="dxa" w:w="4176"/>
            <w:vAlign w:val="center"/>
            <w:tcMar>
              <w:top w:w="100" w:type="dxa"/>
              <w:start w:w="120" w:type="dxa"/>
              <w:bottom w:w="100" w:type="dxa"/>
              <w:end w:w="120" w:type="dxa"/>
            </w:tcMar>
          </w:tcPr>
          <w:p>
            <w:pPr>
              <w:spacing w:after="0"/>
            </w:pPr>
            <w:r>
              <w:rPr>
                <w:sz w:val="18"/>
              </w:rPr>
              <w:t>Converte dados e chama casos de uso</w:t>
            </w:r>
          </w:p>
        </w:tc>
      </w:tr>
      <w:tr>
        <w:tc>
          <w:tcPr>
            <w:tcW w:type="dxa" w:w="1656"/>
            <w:vAlign w:val="center"/>
            <w:tcMar>
              <w:top w:w="100" w:type="dxa"/>
              <w:start w:w="120" w:type="dxa"/>
              <w:bottom w:w="100" w:type="dxa"/>
              <w:end w:w="120" w:type="dxa"/>
            </w:tcMar>
            <w:shd w:fill="EAF1F8"/>
          </w:tcPr>
          <w:p>
            <w:pPr>
              <w:spacing w:after="0"/>
            </w:pPr>
            <w:r>
              <w:rPr>
                <w:sz w:val="18"/>
              </w:rPr>
              <w:t>Aplicação</w:t>
            </w:r>
          </w:p>
        </w:tc>
        <w:tc>
          <w:tcPr>
            <w:tcW w:type="dxa" w:w="3744"/>
            <w:vAlign w:val="center"/>
            <w:tcMar>
              <w:top w:w="100" w:type="dxa"/>
              <w:start w:w="120" w:type="dxa"/>
              <w:bottom w:w="100" w:type="dxa"/>
              <w:end w:w="120" w:type="dxa"/>
            </w:tcMar>
            <w:shd w:fill="EAF1F8"/>
          </w:tcPr>
          <w:p>
            <w:pPr>
              <w:spacing w:after="0"/>
            </w:pPr>
            <w:r>
              <w:rPr>
                <w:sz w:val="18"/>
              </w:rPr>
              <w:t>Serviços de cada contexto</w:t>
            </w:r>
          </w:p>
        </w:tc>
        <w:tc>
          <w:tcPr>
            <w:tcW w:type="dxa" w:w="4176"/>
            <w:vAlign w:val="center"/>
            <w:tcMar>
              <w:top w:w="100" w:type="dxa"/>
              <w:start w:w="120" w:type="dxa"/>
              <w:bottom w:w="100" w:type="dxa"/>
              <w:end w:w="120" w:type="dxa"/>
            </w:tcMar>
            <w:shd w:fill="EAF1F8"/>
          </w:tcPr>
          <w:p>
            <w:pPr>
              <w:spacing w:after="0"/>
            </w:pPr>
            <w:r>
              <w:rPr>
                <w:sz w:val="18"/>
              </w:rPr>
              <w:t>Depende de portas públicas</w:t>
            </w:r>
          </w:p>
        </w:tc>
      </w:tr>
      <w:tr>
        <w:tc>
          <w:tcPr>
            <w:tcW w:type="dxa" w:w="1656"/>
            <w:vAlign w:val="center"/>
            <w:tcMar>
              <w:top w:w="100" w:type="dxa"/>
              <w:start w:w="120" w:type="dxa"/>
              <w:bottom w:w="100" w:type="dxa"/>
              <w:end w:w="120" w:type="dxa"/>
            </w:tcMar>
          </w:tcPr>
          <w:p>
            <w:pPr>
              <w:spacing w:after="0"/>
            </w:pPr>
            <w:r>
              <w:rPr>
                <w:sz w:val="18"/>
              </w:rPr>
              <w:t>Domínio</w:t>
            </w:r>
          </w:p>
        </w:tc>
        <w:tc>
          <w:tcPr>
            <w:tcW w:type="dxa" w:w="3744"/>
            <w:vAlign w:val="center"/>
            <w:tcMar>
              <w:top w:w="100" w:type="dxa"/>
              <w:start w:w="120" w:type="dxa"/>
              <w:bottom w:w="100" w:type="dxa"/>
              <w:end w:w="120" w:type="dxa"/>
            </w:tcMar>
          </w:tcPr>
          <w:p>
            <w:pPr>
              <w:spacing w:after="0"/>
            </w:pPr>
            <w:r>
              <w:rPr>
                <w:sz w:val="18"/>
              </w:rPr>
              <w:t>Estados e regras</w:t>
            </w:r>
          </w:p>
        </w:tc>
        <w:tc>
          <w:tcPr>
            <w:tcW w:type="dxa" w:w="4176"/>
            <w:vAlign w:val="center"/>
            <w:tcMar>
              <w:top w:w="100" w:type="dxa"/>
              <w:start w:w="120" w:type="dxa"/>
              <w:bottom w:w="100" w:type="dxa"/>
              <w:end w:w="120" w:type="dxa"/>
            </w:tcMar>
          </w:tcPr>
          <w:p>
            <w:pPr>
              <w:spacing w:after="0"/>
            </w:pPr>
            <w:r>
              <w:rPr>
                <w:sz w:val="18"/>
              </w:rPr>
              <w:t>Não depende de HTTP ou broker</w:t>
            </w:r>
          </w:p>
        </w:tc>
      </w:tr>
      <w:tr>
        <w:tc>
          <w:tcPr>
            <w:tcW w:type="dxa" w:w="1656"/>
            <w:vAlign w:val="center"/>
            <w:tcMar>
              <w:top w:w="100" w:type="dxa"/>
              <w:start w:w="120" w:type="dxa"/>
              <w:bottom w:w="100" w:type="dxa"/>
              <w:end w:w="120" w:type="dxa"/>
            </w:tcMar>
            <w:shd w:fill="EAF1F8"/>
          </w:tcPr>
          <w:p>
            <w:pPr>
              <w:spacing w:after="0"/>
            </w:pPr>
            <w:r>
              <w:rPr>
                <w:sz w:val="18"/>
              </w:rPr>
              <w:t>Saída</w:t>
            </w:r>
          </w:p>
        </w:tc>
        <w:tc>
          <w:tcPr>
            <w:tcW w:type="dxa" w:w="3744"/>
            <w:vAlign w:val="center"/>
            <w:tcMar>
              <w:top w:w="100" w:type="dxa"/>
              <w:start w:w="120" w:type="dxa"/>
              <w:bottom w:w="100" w:type="dxa"/>
              <w:end w:w="120" w:type="dxa"/>
            </w:tcMar>
            <w:shd w:fill="EAF1F8"/>
          </w:tcPr>
          <w:p>
            <w:pPr>
              <w:spacing w:after="0"/>
            </w:pPr>
            <w:r>
              <w:rPr>
                <w:sz w:val="18"/>
              </w:rPr>
              <w:t>SQLAlchemy, RabbitMQ e logs</w:t>
            </w:r>
          </w:p>
        </w:tc>
        <w:tc>
          <w:tcPr>
            <w:tcW w:type="dxa" w:w="4176"/>
            <w:vAlign w:val="center"/>
            <w:tcMar>
              <w:top w:w="100" w:type="dxa"/>
              <w:start w:w="120" w:type="dxa"/>
              <w:bottom w:w="100" w:type="dxa"/>
              <w:end w:w="120" w:type="dxa"/>
            </w:tcMar>
            <w:shd w:fill="EAF1F8"/>
          </w:tcPr>
          <w:p>
            <w:pPr>
              <w:spacing w:after="0"/>
            </w:pPr>
            <w:r>
              <w:rPr>
                <w:sz w:val="18"/>
              </w:rPr>
              <w:t>Implementa adaptadores substituíveis</w:t>
            </w:r>
          </w:p>
        </w:tc>
      </w:tr>
    </w:tbl>
    <w:p>
      <w:pPr>
        <w:spacing w:after="40"/>
      </w:pPr>
    </w:p>
    <w:p>
      <w:pPr>
        <w:pStyle w:val="Heading2"/>
      </w:pPr>
      <w:r>
        <w:t>6.2 Segurança</w:t>
      </w:r>
    </w:p>
    <w:p>
      <w:pPr>
        <w:spacing w:after="160" w:line="276" w:lineRule="auto"/>
        <w:jc w:val="both"/>
      </w:pPr>
      <w:r>
        <w:t>O protótipo usa tokens locais com papéis; no modo público exige segredo externo compartilhado, sem OIDC ou contas individuais. Validação ocorre na fronteira. Eventos omitem descrição de chamado e dados bancários. Logs e fila de falhas omitem texto livre e traceback de exceções, preservando tipo e correlação. PostgreSQL/RLS e TLS publicados ainda dependem de validação na T20.</w:t>
      </w:r>
    </w:p>
    <w:p>
      <w:pPr>
        <w:pStyle w:val="Heading1"/>
        <w:pageBreakBefore/>
        <w:spacing w:before="160" w:after="240"/>
      </w:pPr>
      <w:r>
        <w:t>7 Integração F1 Cliente para reserva/contrato</w:t>
      </w:r>
    </w:p>
    <w:p>
      <w:pPr>
        <w:spacing w:after="160" w:line="276" w:lineRule="auto"/>
        <w:jc w:val="both"/>
      </w:pPr>
      <w:r>
        <w:t>O comercial e canais digitais cria ou seleciona um cliente no CRM. O endpoint de rascunho recebe o UUID global, serviço, início, cobrança e SLA. Contracts consulta CustomerReader, valida elegibilidade e consentimento e cria o contrato sem copiar manualmente o cadastro.</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1944"/>
            <w:shd w:fill="17365D"/>
            <w:vAlign w:val="center"/>
            <w:tcMar>
              <w:top w:w="100" w:type="dxa"/>
              <w:start w:w="120" w:type="dxa"/>
              <w:bottom w:w="100" w:type="dxa"/>
              <w:end w:w="120" w:type="dxa"/>
            </w:tcMar>
          </w:tcPr>
          <w:p>
            <w:r>
              <w:rPr>
                <w:b/>
                <w:color w:val="FFFFFF"/>
              </w:rPr>
              <w:t>Campo</w:t>
            </w:r>
          </w:p>
        </w:tc>
        <w:tc>
          <w:tcPr>
            <w:tcW w:type="dxa" w:w="2088"/>
            <w:shd w:fill="17365D"/>
            <w:vAlign w:val="center"/>
            <w:tcMar>
              <w:top w:w="100" w:type="dxa"/>
              <w:start w:w="120" w:type="dxa"/>
              <w:bottom w:w="100" w:type="dxa"/>
              <w:end w:w="120" w:type="dxa"/>
            </w:tcMar>
          </w:tcPr>
          <w:p>
            <w:r>
              <w:rPr>
                <w:b/>
                <w:color w:val="FFFFFF"/>
              </w:rPr>
              <w:t>Origem</w:t>
            </w:r>
          </w:p>
        </w:tc>
        <w:tc>
          <w:tcPr>
            <w:tcW w:type="dxa" w:w="2088"/>
            <w:shd w:fill="17365D"/>
            <w:vAlign w:val="center"/>
            <w:tcMar>
              <w:top w:w="100" w:type="dxa"/>
              <w:start w:w="120" w:type="dxa"/>
              <w:bottom w:w="100" w:type="dxa"/>
              <w:end w:w="120" w:type="dxa"/>
            </w:tcMar>
          </w:tcPr>
          <w:p>
            <w:r>
              <w:rPr>
                <w:b/>
                <w:color w:val="FFFFFF"/>
              </w:rPr>
              <w:t>Destino</w:t>
            </w:r>
          </w:p>
        </w:tc>
        <w:tc>
          <w:tcPr>
            <w:tcW w:type="dxa" w:w="3456"/>
            <w:shd w:fill="17365D"/>
            <w:vAlign w:val="center"/>
            <w:tcMar>
              <w:top w:w="100" w:type="dxa"/>
              <w:start w:w="120" w:type="dxa"/>
              <w:bottom w:w="100" w:type="dxa"/>
              <w:end w:w="120" w:type="dxa"/>
            </w:tcMar>
          </w:tcPr>
          <w:p>
            <w:r>
              <w:rPr>
                <w:b/>
                <w:color w:val="FFFFFF"/>
              </w:rPr>
              <w:t>Regra</w:t>
            </w:r>
          </w:p>
        </w:tc>
      </w:tr>
      <w:tr>
        <w:tc>
          <w:tcPr>
            <w:tcW w:type="dxa" w:w="1944"/>
            <w:vAlign w:val="center"/>
            <w:tcMar>
              <w:top w:w="100" w:type="dxa"/>
              <w:start w:w="120" w:type="dxa"/>
              <w:bottom w:w="100" w:type="dxa"/>
              <w:end w:w="120" w:type="dxa"/>
            </w:tcMar>
          </w:tcPr>
          <w:p>
            <w:pPr>
              <w:spacing w:after="0"/>
            </w:pPr>
            <w:r>
              <w:rPr>
                <w:sz w:val="18"/>
              </w:rPr>
              <w:t>customerId</w:t>
            </w:r>
          </w:p>
        </w:tc>
        <w:tc>
          <w:tcPr>
            <w:tcW w:type="dxa" w:w="2088"/>
            <w:vAlign w:val="center"/>
            <w:tcMar>
              <w:top w:w="100" w:type="dxa"/>
              <w:start w:w="120" w:type="dxa"/>
              <w:bottom w:w="100" w:type="dxa"/>
              <w:end w:w="120" w:type="dxa"/>
            </w:tcMar>
          </w:tcPr>
          <w:p>
            <w:pPr>
              <w:spacing w:after="0"/>
            </w:pPr>
            <w:r>
              <w:rPr>
                <w:sz w:val="18"/>
              </w:rPr>
              <w:t>CRM</w:t>
            </w:r>
          </w:p>
        </w:tc>
        <w:tc>
          <w:tcPr>
            <w:tcW w:type="dxa" w:w="2088"/>
            <w:vAlign w:val="center"/>
            <w:tcMar>
              <w:top w:w="100" w:type="dxa"/>
              <w:start w:w="120" w:type="dxa"/>
              <w:bottom w:w="100" w:type="dxa"/>
              <w:end w:w="120" w:type="dxa"/>
            </w:tcMar>
          </w:tcPr>
          <w:p>
            <w:pPr>
              <w:spacing w:after="0"/>
            </w:pPr>
            <w:r>
              <w:rPr>
                <w:sz w:val="18"/>
              </w:rPr>
              <w:t>Contracts</w:t>
            </w:r>
          </w:p>
        </w:tc>
        <w:tc>
          <w:tcPr>
            <w:tcW w:type="dxa" w:w="3456"/>
            <w:vAlign w:val="center"/>
            <w:tcMar>
              <w:top w:w="100" w:type="dxa"/>
              <w:start w:w="120" w:type="dxa"/>
              <w:bottom w:w="100" w:type="dxa"/>
              <w:end w:w="120" w:type="dxa"/>
            </w:tcMar>
          </w:tcPr>
          <w:p>
            <w:pPr>
              <w:spacing w:after="0"/>
            </w:pPr>
            <w:r>
              <w:rPr>
                <w:sz w:val="18"/>
              </w:rPr>
              <w:t>UUID global obrigatório</w:t>
            </w:r>
          </w:p>
        </w:tc>
      </w:tr>
      <w:tr>
        <w:tc>
          <w:tcPr>
            <w:tcW w:type="dxa" w:w="1944"/>
            <w:vAlign w:val="center"/>
            <w:tcMar>
              <w:top w:w="100" w:type="dxa"/>
              <w:start w:w="120" w:type="dxa"/>
              <w:bottom w:w="100" w:type="dxa"/>
              <w:end w:w="120" w:type="dxa"/>
            </w:tcMar>
            <w:shd w:fill="EAF1F8"/>
          </w:tcPr>
          <w:p>
            <w:pPr>
              <w:spacing w:after="0"/>
            </w:pPr>
            <w:r>
              <w:rPr>
                <w:sz w:val="18"/>
              </w:rPr>
              <w:t>serviceCode</w:t>
            </w:r>
          </w:p>
        </w:tc>
        <w:tc>
          <w:tcPr>
            <w:tcW w:type="dxa" w:w="2088"/>
            <w:vAlign w:val="center"/>
            <w:tcMar>
              <w:top w:w="100" w:type="dxa"/>
              <w:start w:w="120" w:type="dxa"/>
              <w:bottom w:w="100" w:type="dxa"/>
              <w:end w:w="120" w:type="dxa"/>
            </w:tcMar>
            <w:shd w:fill="EAF1F8"/>
          </w:tcPr>
          <w:p>
            <w:pPr>
              <w:spacing w:after="0"/>
            </w:pPr>
            <w:r>
              <w:rPr>
                <w:sz w:val="18"/>
              </w:rPr>
              <w:t>Oportunidade</w:t>
            </w:r>
          </w:p>
        </w:tc>
        <w:tc>
          <w:tcPr>
            <w:tcW w:type="dxa" w:w="2088"/>
            <w:vAlign w:val="center"/>
            <w:tcMar>
              <w:top w:w="100" w:type="dxa"/>
              <w:start w:w="120" w:type="dxa"/>
              <w:bottom w:w="100" w:type="dxa"/>
              <w:end w:w="120" w:type="dxa"/>
            </w:tcMar>
            <w:shd w:fill="EAF1F8"/>
          </w:tcPr>
          <w:p>
            <w:pPr>
              <w:spacing w:after="0"/>
            </w:pPr>
            <w:r>
              <w:rPr>
                <w:sz w:val="18"/>
              </w:rPr>
              <w:t>Contrato</w:t>
            </w:r>
          </w:p>
        </w:tc>
        <w:tc>
          <w:tcPr>
            <w:tcW w:type="dxa" w:w="3456"/>
            <w:vAlign w:val="center"/>
            <w:tcMar>
              <w:top w:w="100" w:type="dxa"/>
              <w:start w:w="120" w:type="dxa"/>
              <w:bottom w:w="100" w:type="dxa"/>
              <w:end w:w="120" w:type="dxa"/>
            </w:tcMar>
            <w:shd w:fill="EAF1F8"/>
          </w:tcPr>
          <w:p>
            <w:pPr>
              <w:spacing w:after="0"/>
            </w:pPr>
            <w:r>
              <w:rPr>
                <w:sz w:val="18"/>
              </w:rPr>
              <w:t>Código não vazio</w:t>
            </w:r>
          </w:p>
        </w:tc>
      </w:tr>
      <w:tr>
        <w:tc>
          <w:tcPr>
            <w:tcW w:type="dxa" w:w="1944"/>
            <w:vAlign w:val="center"/>
            <w:tcMar>
              <w:top w:w="100" w:type="dxa"/>
              <w:start w:w="120" w:type="dxa"/>
              <w:bottom w:w="100" w:type="dxa"/>
              <w:end w:w="120" w:type="dxa"/>
            </w:tcMar>
          </w:tcPr>
          <w:p>
            <w:pPr>
              <w:spacing w:after="0"/>
            </w:pPr>
            <w:r>
              <w:rPr>
                <w:sz w:val="18"/>
              </w:rPr>
              <w:t>startsOn</w:t>
            </w:r>
          </w:p>
        </w:tc>
        <w:tc>
          <w:tcPr>
            <w:tcW w:type="dxa" w:w="2088"/>
            <w:vAlign w:val="center"/>
            <w:tcMar>
              <w:top w:w="100" w:type="dxa"/>
              <w:start w:w="120" w:type="dxa"/>
              <w:bottom w:w="100" w:type="dxa"/>
              <w:end w:w="120" w:type="dxa"/>
            </w:tcMar>
          </w:tcPr>
          <w:p>
            <w:pPr>
              <w:spacing w:after="0"/>
            </w:pPr>
            <w:r>
              <w:rPr>
                <w:sz w:val="18"/>
              </w:rPr>
              <w:t>Venda</w:t>
            </w:r>
          </w:p>
        </w:tc>
        <w:tc>
          <w:tcPr>
            <w:tcW w:type="dxa" w:w="2088"/>
            <w:vAlign w:val="center"/>
            <w:tcMar>
              <w:top w:w="100" w:type="dxa"/>
              <w:start w:w="120" w:type="dxa"/>
              <w:bottom w:w="100" w:type="dxa"/>
              <w:end w:w="120" w:type="dxa"/>
            </w:tcMar>
          </w:tcPr>
          <w:p>
            <w:pPr>
              <w:spacing w:after="0"/>
            </w:pPr>
            <w:r>
              <w:rPr>
                <w:sz w:val="18"/>
              </w:rPr>
              <w:t>Contrato</w:t>
            </w:r>
          </w:p>
        </w:tc>
        <w:tc>
          <w:tcPr>
            <w:tcW w:type="dxa" w:w="3456"/>
            <w:vAlign w:val="center"/>
            <w:tcMar>
              <w:top w:w="100" w:type="dxa"/>
              <w:start w:w="120" w:type="dxa"/>
              <w:bottom w:w="100" w:type="dxa"/>
              <w:end w:w="120" w:type="dxa"/>
            </w:tcMar>
          </w:tcPr>
          <w:p>
            <w:pPr>
              <w:spacing w:after="0"/>
            </w:pPr>
            <w:r>
              <w:rPr>
                <w:sz w:val="18"/>
              </w:rPr>
              <w:t>Data ISO 8601</w:t>
            </w:r>
          </w:p>
        </w:tc>
      </w:tr>
      <w:tr>
        <w:tc>
          <w:tcPr>
            <w:tcW w:type="dxa" w:w="1944"/>
            <w:vAlign w:val="center"/>
            <w:tcMar>
              <w:top w:w="100" w:type="dxa"/>
              <w:start w:w="120" w:type="dxa"/>
              <w:bottom w:w="100" w:type="dxa"/>
              <w:end w:w="120" w:type="dxa"/>
            </w:tcMar>
            <w:shd w:fill="EAF1F8"/>
          </w:tcPr>
          <w:p>
            <w:pPr>
              <w:spacing w:after="0"/>
            </w:pPr>
            <w:r>
              <w:rPr>
                <w:sz w:val="18"/>
              </w:rPr>
              <w:t>amount</w:t>
            </w:r>
          </w:p>
        </w:tc>
        <w:tc>
          <w:tcPr>
            <w:tcW w:type="dxa" w:w="2088"/>
            <w:vAlign w:val="center"/>
            <w:tcMar>
              <w:top w:w="100" w:type="dxa"/>
              <w:start w:w="120" w:type="dxa"/>
              <w:bottom w:w="100" w:type="dxa"/>
              <w:end w:w="120" w:type="dxa"/>
            </w:tcMar>
            <w:shd w:fill="EAF1F8"/>
          </w:tcPr>
          <w:p>
            <w:pPr>
              <w:spacing w:after="0"/>
            </w:pPr>
            <w:r>
              <w:rPr>
                <w:sz w:val="18"/>
              </w:rPr>
              <w:t>Venda</w:t>
            </w:r>
          </w:p>
        </w:tc>
        <w:tc>
          <w:tcPr>
            <w:tcW w:type="dxa" w:w="2088"/>
            <w:vAlign w:val="center"/>
            <w:tcMar>
              <w:top w:w="100" w:type="dxa"/>
              <w:start w:w="120" w:type="dxa"/>
              <w:bottom w:w="100" w:type="dxa"/>
              <w:end w:w="120" w:type="dxa"/>
            </w:tcMar>
            <w:shd w:fill="EAF1F8"/>
          </w:tcPr>
          <w:p>
            <w:pPr>
              <w:spacing w:after="0"/>
            </w:pPr>
            <w:r>
              <w:rPr>
                <w:sz w:val="18"/>
              </w:rPr>
              <w:t>Contrato</w:t>
            </w:r>
          </w:p>
        </w:tc>
        <w:tc>
          <w:tcPr>
            <w:tcW w:type="dxa" w:w="3456"/>
            <w:vAlign w:val="center"/>
            <w:tcMar>
              <w:top w:w="100" w:type="dxa"/>
              <w:start w:w="120" w:type="dxa"/>
              <w:bottom w:w="100" w:type="dxa"/>
              <w:end w:w="120" w:type="dxa"/>
            </w:tcMar>
            <w:shd w:fill="EAF1F8"/>
          </w:tcPr>
          <w:p>
            <w:pPr>
              <w:spacing w:after="0"/>
            </w:pPr>
            <w:r>
              <w:rPr>
                <w:sz w:val="18"/>
              </w:rPr>
              <w:t>Decimal positivo</w:t>
            </w:r>
          </w:p>
        </w:tc>
      </w:tr>
      <w:tr>
        <w:tc>
          <w:tcPr>
            <w:tcW w:type="dxa" w:w="1944"/>
            <w:vAlign w:val="center"/>
            <w:tcMar>
              <w:top w:w="100" w:type="dxa"/>
              <w:start w:w="120" w:type="dxa"/>
              <w:bottom w:w="100" w:type="dxa"/>
              <w:end w:w="120" w:type="dxa"/>
            </w:tcMar>
          </w:tcPr>
          <w:p>
            <w:pPr>
              <w:spacing w:after="0"/>
            </w:pPr>
            <w:r>
              <w:rPr>
                <w:sz w:val="18"/>
              </w:rPr>
              <w:t>currency</w:t>
            </w:r>
          </w:p>
        </w:tc>
        <w:tc>
          <w:tcPr>
            <w:tcW w:type="dxa" w:w="2088"/>
            <w:vAlign w:val="center"/>
            <w:tcMar>
              <w:top w:w="100" w:type="dxa"/>
              <w:start w:w="120" w:type="dxa"/>
              <w:bottom w:w="100" w:type="dxa"/>
              <w:end w:w="120" w:type="dxa"/>
            </w:tcMar>
          </w:tcPr>
          <w:p>
            <w:pPr>
              <w:spacing w:after="0"/>
            </w:pPr>
            <w:r>
              <w:rPr>
                <w:sz w:val="18"/>
              </w:rPr>
              <w:t>Venda</w:t>
            </w:r>
          </w:p>
        </w:tc>
        <w:tc>
          <w:tcPr>
            <w:tcW w:type="dxa" w:w="2088"/>
            <w:vAlign w:val="center"/>
            <w:tcMar>
              <w:top w:w="100" w:type="dxa"/>
              <w:start w:w="120" w:type="dxa"/>
              <w:bottom w:w="100" w:type="dxa"/>
              <w:end w:w="120" w:type="dxa"/>
            </w:tcMar>
          </w:tcPr>
          <w:p>
            <w:pPr>
              <w:spacing w:after="0"/>
            </w:pPr>
            <w:r>
              <w:rPr>
                <w:sz w:val="18"/>
              </w:rPr>
              <w:t>Contrato</w:t>
            </w:r>
          </w:p>
        </w:tc>
        <w:tc>
          <w:tcPr>
            <w:tcW w:type="dxa" w:w="3456"/>
            <w:vAlign w:val="center"/>
            <w:tcMar>
              <w:top w:w="100" w:type="dxa"/>
              <w:start w:w="120" w:type="dxa"/>
              <w:bottom w:w="100" w:type="dxa"/>
              <w:end w:w="120" w:type="dxa"/>
            </w:tcMar>
          </w:tcPr>
          <w:p>
            <w:pPr>
              <w:spacing w:after="0"/>
            </w:pPr>
            <w:r>
              <w:rPr>
                <w:sz w:val="18"/>
              </w:rPr>
              <w:t>Três letras maiúsculas</w:t>
            </w:r>
          </w:p>
        </w:tc>
      </w:tr>
      <w:tr>
        <w:tc>
          <w:tcPr>
            <w:tcW w:type="dxa" w:w="1944"/>
            <w:vAlign w:val="center"/>
            <w:tcMar>
              <w:top w:w="100" w:type="dxa"/>
              <w:start w:w="120" w:type="dxa"/>
              <w:bottom w:w="100" w:type="dxa"/>
              <w:end w:w="120" w:type="dxa"/>
            </w:tcMar>
            <w:shd w:fill="EAF1F8"/>
          </w:tcPr>
          <w:p>
            <w:pPr>
              <w:spacing w:after="0"/>
            </w:pPr>
            <w:r>
              <w:rPr>
                <w:sz w:val="18"/>
              </w:rPr>
              <w:t>Idempotency-Key</w:t>
            </w:r>
          </w:p>
        </w:tc>
        <w:tc>
          <w:tcPr>
            <w:tcW w:type="dxa" w:w="2088"/>
            <w:vAlign w:val="center"/>
            <w:tcMar>
              <w:top w:w="100" w:type="dxa"/>
              <w:start w:w="120" w:type="dxa"/>
              <w:bottom w:w="100" w:type="dxa"/>
              <w:end w:w="120" w:type="dxa"/>
            </w:tcMar>
            <w:shd w:fill="EAF1F8"/>
          </w:tcPr>
          <w:p>
            <w:pPr>
              <w:spacing w:after="0"/>
            </w:pPr>
            <w:r>
              <w:rPr>
                <w:sz w:val="18"/>
              </w:rPr>
              <w:t>Cliente HTTP</w:t>
            </w:r>
          </w:p>
        </w:tc>
        <w:tc>
          <w:tcPr>
            <w:tcW w:type="dxa" w:w="2088"/>
            <w:vAlign w:val="center"/>
            <w:tcMar>
              <w:top w:w="100" w:type="dxa"/>
              <w:start w:w="120" w:type="dxa"/>
              <w:bottom w:w="100" w:type="dxa"/>
              <w:end w:w="120" w:type="dxa"/>
            </w:tcMar>
            <w:shd w:fill="EAF1F8"/>
          </w:tcPr>
          <w:p>
            <w:pPr>
              <w:spacing w:after="0"/>
            </w:pPr>
            <w:r>
              <w:rPr>
                <w:sz w:val="18"/>
              </w:rPr>
              <w:t>Integration</w:t>
            </w:r>
          </w:p>
        </w:tc>
        <w:tc>
          <w:tcPr>
            <w:tcW w:type="dxa" w:w="3456"/>
            <w:vAlign w:val="center"/>
            <w:tcMar>
              <w:top w:w="100" w:type="dxa"/>
              <w:start w:w="120" w:type="dxa"/>
              <w:bottom w:w="100" w:type="dxa"/>
              <w:end w:w="120" w:type="dxa"/>
            </w:tcMar>
            <w:shd w:fill="EAF1F8"/>
          </w:tcPr>
          <w:p>
            <w:pPr>
              <w:spacing w:after="0"/>
            </w:pPr>
            <w:r>
              <w:rPr>
                <w:sz w:val="18"/>
              </w:rPr>
              <w:t>Resposta original por operação</w:t>
            </w:r>
          </w:p>
        </w:tc>
      </w:tr>
    </w:tbl>
    <w:p>
      <w:pPr>
        <w:spacing w:after="40"/>
      </w:pPr>
    </w:p>
    <w:p>
      <w:pPr>
        <w:spacing w:after="160" w:line="276" w:lineRule="auto"/>
        <w:jc w:val="both"/>
      </w:pPr>
      <w:r>
        <w:t>Uma repetição com a mesma chave devolve o mesmo contractId. A auditoria registra operação, resultado e correlação. O teste F1 comprovou o comportamento.</w:t>
      </w:r>
    </w:p>
    <w:p>
      <w:pPr>
        <w:pStyle w:val="Heading1"/>
        <w:pageBreakBefore/>
        <w:spacing w:before="160" w:after="240"/>
      </w:pPr>
      <w:r>
        <w:t>8 Integração F2 Ativação e preparação de retirada</w:t>
      </w:r>
    </w:p>
    <w:p>
      <w:pPr>
        <w:spacing w:after="160" w:line="276" w:lineRule="auto"/>
        <w:jc w:val="both"/>
      </w:pPr>
      <w:r>
        <w:t>Contracts grava a ativação e ContractActivated.v1 na mesma transação. O dispatcher lê a outbox, entrega o evento a Finance e Workflow e registra uma inbox por consumidor. Depois publica o envelope no RabbitMQ quando configurado.</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2088"/>
            <w:shd w:fill="17365D"/>
            <w:vAlign w:val="center"/>
            <w:tcMar>
              <w:top w:w="100" w:type="dxa"/>
              <w:start w:w="120" w:type="dxa"/>
              <w:bottom w:w="100" w:type="dxa"/>
              <w:end w:w="120" w:type="dxa"/>
            </w:tcMar>
          </w:tcPr>
          <w:p>
            <w:r>
              <w:rPr>
                <w:b/>
                <w:color w:val="FFFFFF"/>
              </w:rPr>
              <w:t>Consumidor</w:t>
            </w:r>
          </w:p>
        </w:tc>
        <w:tc>
          <w:tcPr>
            <w:tcW w:type="dxa" w:w="3096"/>
            <w:shd w:fill="17365D"/>
            <w:vAlign w:val="center"/>
            <w:tcMar>
              <w:top w:w="100" w:type="dxa"/>
              <w:start w:w="120" w:type="dxa"/>
              <w:bottom w:w="100" w:type="dxa"/>
              <w:end w:w="120" w:type="dxa"/>
            </w:tcMar>
          </w:tcPr>
          <w:p>
            <w:r>
              <w:rPr>
                <w:b/>
                <w:color w:val="FFFFFF"/>
              </w:rPr>
              <w:t>Efeito</w:t>
            </w:r>
          </w:p>
        </w:tc>
        <w:tc>
          <w:tcPr>
            <w:tcW w:type="dxa" w:w="4392"/>
            <w:shd w:fill="17365D"/>
            <w:vAlign w:val="center"/>
            <w:tcMar>
              <w:top w:w="100" w:type="dxa"/>
              <w:start w:w="120" w:type="dxa"/>
              <w:bottom w:w="100" w:type="dxa"/>
              <w:end w:w="120" w:type="dxa"/>
            </w:tcMar>
          </w:tcPr>
          <w:p>
            <w:r>
              <w:rPr>
                <w:b/>
                <w:color w:val="FFFFFF"/>
              </w:rPr>
              <w:t>Proteção contra duplicidade</w:t>
            </w:r>
          </w:p>
        </w:tc>
      </w:tr>
      <w:tr>
        <w:tc>
          <w:tcPr>
            <w:tcW w:type="dxa" w:w="2088"/>
            <w:vAlign w:val="center"/>
            <w:tcMar>
              <w:top w:w="100" w:type="dxa"/>
              <w:start w:w="120" w:type="dxa"/>
              <w:bottom w:w="100" w:type="dxa"/>
              <w:end w:w="120" w:type="dxa"/>
            </w:tcMar>
          </w:tcPr>
          <w:p>
            <w:pPr>
              <w:spacing w:after="0"/>
            </w:pPr>
            <w:r>
              <w:rPr>
                <w:sz w:val="18"/>
              </w:rPr>
              <w:t>Finance</w:t>
            </w:r>
          </w:p>
        </w:tc>
        <w:tc>
          <w:tcPr>
            <w:tcW w:type="dxa" w:w="3096"/>
            <w:vAlign w:val="center"/>
            <w:tcMar>
              <w:top w:w="100" w:type="dxa"/>
              <w:start w:w="120" w:type="dxa"/>
              <w:bottom w:w="100" w:type="dxa"/>
              <w:end w:w="120" w:type="dxa"/>
            </w:tcMar>
          </w:tcPr>
          <w:p>
            <w:pPr>
              <w:spacing w:after="0"/>
            </w:pPr>
            <w:r>
              <w:rPr>
                <w:sz w:val="18"/>
              </w:rPr>
              <w:t>Primeira cobrança</w:t>
            </w:r>
          </w:p>
        </w:tc>
        <w:tc>
          <w:tcPr>
            <w:tcW w:type="dxa" w:w="4392"/>
            <w:vAlign w:val="center"/>
            <w:tcMar>
              <w:top w:w="100" w:type="dxa"/>
              <w:start w:w="120" w:type="dxa"/>
              <w:bottom w:w="100" w:type="dxa"/>
              <w:end w:w="120" w:type="dxa"/>
            </w:tcMar>
          </w:tcPr>
          <w:p>
            <w:pPr>
              <w:spacing w:after="0"/>
            </w:pPr>
            <w:r>
              <w:rPr>
                <w:sz w:val="18"/>
              </w:rPr>
              <w:t>Contrato único na tabela financeira</w:t>
            </w:r>
          </w:p>
        </w:tc>
      </w:tr>
      <w:tr>
        <w:tc>
          <w:tcPr>
            <w:tcW w:type="dxa" w:w="2088"/>
            <w:vAlign w:val="center"/>
            <w:tcMar>
              <w:top w:w="100" w:type="dxa"/>
              <w:start w:w="120" w:type="dxa"/>
              <w:bottom w:w="100" w:type="dxa"/>
              <w:end w:w="120" w:type="dxa"/>
            </w:tcMar>
            <w:shd w:fill="EAF1F8"/>
          </w:tcPr>
          <w:p>
            <w:pPr>
              <w:spacing w:after="0"/>
            </w:pPr>
            <w:r>
              <w:rPr>
                <w:sz w:val="18"/>
              </w:rPr>
              <w:t>Workflow</w:t>
            </w:r>
          </w:p>
        </w:tc>
        <w:tc>
          <w:tcPr>
            <w:tcW w:type="dxa" w:w="3096"/>
            <w:vAlign w:val="center"/>
            <w:tcMar>
              <w:top w:w="100" w:type="dxa"/>
              <w:start w:w="120" w:type="dxa"/>
              <w:bottom w:w="100" w:type="dxa"/>
              <w:end w:w="120" w:type="dxa"/>
            </w:tcMar>
            <w:shd w:fill="EAF1F8"/>
          </w:tcPr>
          <w:p>
            <w:pPr>
              <w:spacing w:after="0"/>
            </w:pPr>
            <w:r>
              <w:rPr>
                <w:sz w:val="18"/>
              </w:rPr>
              <w:t>Processo de preparação de retirada</w:t>
            </w:r>
          </w:p>
        </w:tc>
        <w:tc>
          <w:tcPr>
            <w:tcW w:type="dxa" w:w="4392"/>
            <w:vAlign w:val="center"/>
            <w:tcMar>
              <w:top w:w="100" w:type="dxa"/>
              <w:start w:w="120" w:type="dxa"/>
              <w:bottom w:w="100" w:type="dxa"/>
              <w:end w:w="120" w:type="dxa"/>
            </w:tcMar>
            <w:shd w:fill="EAF1F8"/>
          </w:tcPr>
          <w:p>
            <w:pPr>
              <w:spacing w:after="0"/>
            </w:pPr>
            <w:r>
              <w:rPr>
                <w:sz w:val="18"/>
              </w:rPr>
              <w:t>Tipo e referência únicos</w:t>
            </w:r>
          </w:p>
        </w:tc>
      </w:tr>
      <w:tr>
        <w:tc>
          <w:tcPr>
            <w:tcW w:type="dxa" w:w="2088"/>
            <w:vAlign w:val="center"/>
            <w:tcMar>
              <w:top w:w="100" w:type="dxa"/>
              <w:start w:w="120" w:type="dxa"/>
              <w:bottom w:w="100" w:type="dxa"/>
              <w:end w:w="120" w:type="dxa"/>
            </w:tcMar>
          </w:tcPr>
          <w:p>
            <w:pPr>
              <w:spacing w:after="0"/>
            </w:pPr>
            <w:r>
              <w:rPr>
                <w:sz w:val="18"/>
              </w:rPr>
              <w:t>Integration</w:t>
            </w:r>
          </w:p>
        </w:tc>
        <w:tc>
          <w:tcPr>
            <w:tcW w:type="dxa" w:w="3096"/>
            <w:vAlign w:val="center"/>
            <w:tcMar>
              <w:top w:w="100" w:type="dxa"/>
              <w:start w:w="120" w:type="dxa"/>
              <w:bottom w:w="100" w:type="dxa"/>
              <w:end w:w="120" w:type="dxa"/>
            </w:tcMar>
          </w:tcPr>
          <w:p>
            <w:pPr>
              <w:spacing w:after="0"/>
            </w:pPr>
            <w:r>
              <w:rPr>
                <w:sz w:val="18"/>
              </w:rPr>
              <w:t>Publicação e auditoria</w:t>
            </w:r>
          </w:p>
        </w:tc>
        <w:tc>
          <w:tcPr>
            <w:tcW w:type="dxa" w:w="4392"/>
            <w:vAlign w:val="center"/>
            <w:tcMar>
              <w:top w:w="100" w:type="dxa"/>
              <w:start w:w="120" w:type="dxa"/>
              <w:bottom w:w="100" w:type="dxa"/>
              <w:end w:w="120" w:type="dxa"/>
            </w:tcMar>
          </w:tcPr>
          <w:p>
            <w:pPr>
              <w:spacing w:after="0"/>
            </w:pPr>
            <w:r>
              <w:rPr>
                <w:sz w:val="18"/>
              </w:rPr>
              <w:t>eventId por consumidor na inbox</w:t>
            </w:r>
          </w:p>
        </w:tc>
      </w:tr>
    </w:tbl>
    <w:p>
      <w:pPr>
        <w:spacing w:after="40"/>
      </w:pPr>
    </w:p>
    <w:p>
      <w:pPr>
        <w:spacing w:after="160" w:line="276" w:lineRule="auto"/>
        <w:jc w:val="both"/>
      </w:pPr>
      <w:r>
        <w:t>Uma falha desfaz efeitos locais e inbox do despacho por savepoint, inclusive em erro SQL. Depois incrementa attempts e registra tipo do erro e correlação, sem texto da exceção. Após três tentativas o evento fica FAILED. O reprocessamento explícito é auditado e zera attempts, abrindo nova janela de tentativas; não existe agendador ou atraso automático. Publicação no broker não participa de transação distribuída.</w:t>
      </w:r>
    </w:p>
    <w:p>
      <w:pPr>
        <w:spacing w:after="160" w:line="276" w:lineRule="auto"/>
        <w:jc w:val="both"/>
      </w:pPr>
      <w:r>
        <w:t>O teste F2 reentregou o mesmo eventId e outro evento de ativação para o mesmo contrato, mantendo uma fatura e um processo. Finance também valida pagamentos parciais/totais, moeda, saldo, precisão de centavos, auditoria e inadimplência por vencimento. Recorrência, multas e acerto final não são implementados.</w:t>
      </w:r>
    </w:p>
    <w:p>
      <w:pPr>
        <w:pStyle w:val="Heading1"/>
        <w:pageBreakBefore/>
        <w:spacing w:before="160" w:after="240"/>
      </w:pPr>
      <w:r>
        <w:t>9 Integração F3 Chamado com SLA</w:t>
      </w:r>
    </w:p>
    <w:p>
      <w:pPr>
        <w:spacing w:after="160" w:line="276" w:lineRule="auto"/>
        <w:jc w:val="both"/>
      </w:pPr>
      <w:r>
        <w:t>Support consulta ContractEntitlementPort com cliente, contrato e serviço. Quando o contrato está ativo, o módulo registra o SLA, calcula o prazo e define prioridade alta para indisponibilidade ou segurança. TicketOpened.v1 inicia a resolução em Workflow.</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3024"/>
            <w:shd w:fill="17365D"/>
            <w:vAlign w:val="center"/>
            <w:tcMar>
              <w:top w:w="100" w:type="dxa"/>
              <w:start w:w="120" w:type="dxa"/>
              <w:bottom w:w="100" w:type="dxa"/>
              <w:end w:w="120" w:type="dxa"/>
            </w:tcMar>
          </w:tcPr>
          <w:p>
            <w:r>
              <w:rPr>
                <w:b/>
                <w:color w:val="FFFFFF"/>
              </w:rPr>
              <w:t>Condição</w:t>
            </w:r>
          </w:p>
        </w:tc>
        <w:tc>
          <w:tcPr>
            <w:tcW w:type="dxa" w:w="2880"/>
            <w:shd w:fill="17365D"/>
            <w:vAlign w:val="center"/>
            <w:tcMar>
              <w:top w:w="100" w:type="dxa"/>
              <w:start w:w="120" w:type="dxa"/>
              <w:bottom w:w="100" w:type="dxa"/>
              <w:end w:w="120" w:type="dxa"/>
            </w:tcMar>
          </w:tcPr>
          <w:p>
            <w:r>
              <w:rPr>
                <w:b/>
                <w:color w:val="FFFFFF"/>
              </w:rPr>
              <w:t>Estado do chamado</w:t>
            </w:r>
          </w:p>
        </w:tc>
        <w:tc>
          <w:tcPr>
            <w:tcW w:type="dxa" w:w="3672"/>
            <w:shd w:fill="17365D"/>
            <w:vAlign w:val="center"/>
            <w:tcMar>
              <w:top w:w="100" w:type="dxa"/>
              <w:start w:w="120" w:type="dxa"/>
              <w:bottom w:w="100" w:type="dxa"/>
              <w:end w:w="120" w:type="dxa"/>
            </w:tcMar>
          </w:tcPr>
          <w:p>
            <w:r>
              <w:rPr>
                <w:b/>
                <w:color w:val="FFFFFF"/>
              </w:rPr>
              <w:t>Ação</w:t>
            </w:r>
          </w:p>
        </w:tc>
      </w:tr>
      <w:tr>
        <w:tc>
          <w:tcPr>
            <w:tcW w:type="dxa" w:w="3024"/>
            <w:vAlign w:val="center"/>
            <w:tcMar>
              <w:top w:w="100" w:type="dxa"/>
              <w:start w:w="120" w:type="dxa"/>
              <w:bottom w:w="100" w:type="dxa"/>
              <w:end w:w="120" w:type="dxa"/>
            </w:tcMar>
          </w:tcPr>
          <w:p>
            <w:pPr>
              <w:spacing w:after="0"/>
            </w:pPr>
            <w:r>
              <w:rPr>
                <w:sz w:val="18"/>
              </w:rPr>
              <w:t>Contrato e serviço válidos</w:t>
            </w:r>
          </w:p>
        </w:tc>
        <w:tc>
          <w:tcPr>
            <w:tcW w:type="dxa" w:w="2880"/>
            <w:vAlign w:val="center"/>
            <w:tcMar>
              <w:top w:w="100" w:type="dxa"/>
              <w:start w:w="120" w:type="dxa"/>
              <w:bottom w:w="100" w:type="dxa"/>
              <w:end w:w="120" w:type="dxa"/>
            </w:tcMar>
          </w:tcPr>
          <w:p>
            <w:pPr>
              <w:spacing w:after="0"/>
            </w:pPr>
            <w:r>
              <w:rPr>
                <w:sz w:val="18"/>
              </w:rPr>
              <w:t>OPEN</w:t>
            </w:r>
          </w:p>
        </w:tc>
        <w:tc>
          <w:tcPr>
            <w:tcW w:type="dxa" w:w="3672"/>
            <w:vAlign w:val="center"/>
            <w:tcMar>
              <w:top w:w="100" w:type="dxa"/>
              <w:start w:w="120" w:type="dxa"/>
              <w:bottom w:w="100" w:type="dxa"/>
              <w:end w:w="120" w:type="dxa"/>
            </w:tcMar>
          </w:tcPr>
          <w:p>
            <w:pPr>
              <w:spacing w:after="0"/>
            </w:pPr>
            <w:r>
              <w:rPr>
                <w:sz w:val="18"/>
              </w:rPr>
              <w:t>Registra SLA e publica evento</w:t>
            </w:r>
          </w:p>
        </w:tc>
      </w:tr>
      <w:tr>
        <w:tc>
          <w:tcPr>
            <w:tcW w:type="dxa" w:w="3024"/>
            <w:vAlign w:val="center"/>
            <w:tcMar>
              <w:top w:w="100" w:type="dxa"/>
              <w:start w:w="120" w:type="dxa"/>
              <w:bottom w:w="100" w:type="dxa"/>
              <w:end w:w="120" w:type="dxa"/>
            </w:tcMar>
            <w:shd w:fill="EAF1F8"/>
          </w:tcPr>
          <w:p>
            <w:pPr>
              <w:spacing w:after="0"/>
            </w:pPr>
            <w:r>
              <w:rPr>
                <w:sz w:val="18"/>
              </w:rPr>
              <w:t>Contrato inválido</w:t>
            </w:r>
          </w:p>
        </w:tc>
        <w:tc>
          <w:tcPr>
            <w:tcW w:type="dxa" w:w="2880"/>
            <w:vAlign w:val="center"/>
            <w:tcMar>
              <w:top w:w="100" w:type="dxa"/>
              <w:start w:w="120" w:type="dxa"/>
              <w:bottom w:w="100" w:type="dxa"/>
              <w:end w:w="120" w:type="dxa"/>
            </w:tcMar>
            <w:shd w:fill="EAF1F8"/>
          </w:tcPr>
          <w:p>
            <w:pPr>
              <w:spacing w:after="0"/>
            </w:pPr>
            <w:r>
              <w:rPr>
                <w:sz w:val="18"/>
              </w:rPr>
              <w:t>Sem criação</w:t>
            </w:r>
          </w:p>
        </w:tc>
        <w:tc>
          <w:tcPr>
            <w:tcW w:type="dxa" w:w="3672"/>
            <w:vAlign w:val="center"/>
            <w:tcMar>
              <w:top w:w="100" w:type="dxa"/>
              <w:start w:w="120" w:type="dxa"/>
              <w:bottom w:w="100" w:type="dxa"/>
              <w:end w:w="120" w:type="dxa"/>
            </w:tcMar>
            <w:shd w:fill="EAF1F8"/>
          </w:tcPr>
          <w:p>
            <w:pPr>
              <w:spacing w:after="0"/>
            </w:pPr>
            <w:r>
              <w:rPr>
                <w:sz w:val="18"/>
              </w:rPr>
              <w:t>Retorna erro de negócio 422</w:t>
            </w:r>
          </w:p>
        </w:tc>
      </w:tr>
      <w:tr>
        <w:tc>
          <w:tcPr>
            <w:tcW w:type="dxa" w:w="3024"/>
            <w:vAlign w:val="center"/>
            <w:tcMar>
              <w:top w:w="100" w:type="dxa"/>
              <w:start w:w="120" w:type="dxa"/>
              <w:bottom w:w="100" w:type="dxa"/>
              <w:end w:w="120" w:type="dxa"/>
            </w:tcMar>
          </w:tcPr>
          <w:p>
            <w:pPr>
              <w:spacing w:after="0"/>
            </w:pPr>
            <w:r>
              <w:rPr>
                <w:sz w:val="18"/>
              </w:rPr>
              <w:t>Consulta indisponível</w:t>
            </w:r>
          </w:p>
        </w:tc>
        <w:tc>
          <w:tcPr>
            <w:tcW w:type="dxa" w:w="2880"/>
            <w:vAlign w:val="center"/>
            <w:tcMar>
              <w:top w:w="100" w:type="dxa"/>
              <w:start w:w="120" w:type="dxa"/>
              <w:bottom w:w="100" w:type="dxa"/>
              <w:end w:w="120" w:type="dxa"/>
            </w:tcMar>
          </w:tcPr>
          <w:p>
            <w:pPr>
              <w:spacing w:after="0"/>
            </w:pPr>
            <w:r>
              <w:rPr>
                <w:sz w:val="18"/>
              </w:rPr>
              <w:t>PENDING_ENTITLEMENT</w:t>
            </w:r>
          </w:p>
        </w:tc>
        <w:tc>
          <w:tcPr>
            <w:tcW w:type="dxa" w:w="3672"/>
            <w:vAlign w:val="center"/>
            <w:tcMar>
              <w:top w:w="100" w:type="dxa"/>
              <w:start w:w="120" w:type="dxa"/>
              <w:bottom w:w="100" w:type="dxa"/>
              <w:end w:w="120" w:type="dxa"/>
            </w:tcMar>
          </w:tcPr>
          <w:p>
            <w:pPr>
              <w:spacing w:after="0"/>
            </w:pPr>
            <w:r>
              <w:rPr>
                <w:sz w:val="18"/>
              </w:rPr>
              <w:t>Preserva solicitação</w:t>
            </w:r>
          </w:p>
        </w:tc>
      </w:tr>
      <w:tr>
        <w:tc>
          <w:tcPr>
            <w:tcW w:type="dxa" w:w="3024"/>
            <w:vAlign w:val="center"/>
            <w:tcMar>
              <w:top w:w="100" w:type="dxa"/>
              <w:start w:w="120" w:type="dxa"/>
              <w:bottom w:w="100" w:type="dxa"/>
              <w:end w:w="120" w:type="dxa"/>
            </w:tcMar>
            <w:shd w:fill="EAF1F8"/>
          </w:tcPr>
          <w:p>
            <w:pPr>
              <w:spacing w:after="0"/>
            </w:pPr>
            <w:r>
              <w:rPr>
                <w:sz w:val="18"/>
              </w:rPr>
              <w:t>Consulta restaurada</w:t>
            </w:r>
          </w:p>
        </w:tc>
        <w:tc>
          <w:tcPr>
            <w:tcW w:type="dxa" w:w="2880"/>
            <w:vAlign w:val="center"/>
            <w:tcMar>
              <w:top w:w="100" w:type="dxa"/>
              <w:start w:w="120" w:type="dxa"/>
              <w:bottom w:w="100" w:type="dxa"/>
              <w:end w:w="120" w:type="dxa"/>
            </w:tcMar>
            <w:shd w:fill="EAF1F8"/>
          </w:tcPr>
          <w:p>
            <w:pPr>
              <w:spacing w:after="0"/>
            </w:pPr>
            <w:r>
              <w:rPr>
                <w:sz w:val="18"/>
              </w:rPr>
              <w:t>OPEN ou REJECTED_ENTITLEMENT</w:t>
            </w:r>
          </w:p>
        </w:tc>
        <w:tc>
          <w:tcPr>
            <w:tcW w:type="dxa" w:w="3672"/>
            <w:vAlign w:val="center"/>
            <w:tcMar>
              <w:top w:w="100" w:type="dxa"/>
              <w:start w:w="120" w:type="dxa"/>
              <w:bottom w:w="100" w:type="dxa"/>
              <w:end w:w="120" w:type="dxa"/>
            </w:tcMar>
            <w:shd w:fill="EAF1F8"/>
          </w:tcPr>
          <w:p>
            <w:pPr>
              <w:spacing w:after="0"/>
            </w:pPr>
            <w:r>
              <w:rPr>
                <w:sz w:val="18"/>
              </w:rPr>
              <w:t>Reconcilia com auditoria</w:t>
            </w:r>
          </w:p>
        </w:tc>
      </w:tr>
    </w:tbl>
    <w:p>
      <w:pPr>
        <w:spacing w:after="40"/>
      </w:pPr>
    </w:p>
    <w:p>
      <w:pPr>
        <w:spacing w:after="160" w:line="276" w:lineRule="auto"/>
        <w:jc w:val="both"/>
      </w:pPr>
      <w:r>
        <w:t>O evento omite a descrição do chamado. A reconciliação atualiza o prazo do Workflow; a resolução conclui suas tarefas. Tarefas manuais herdam prazo, aceitam responsável e são auditadas. Tarefas finais não reabrem; repetir estado e responsável não duplica efeitos. Todas DONE concluem o processo; todas finais com algum cancelamento o cancelam. Indisponibilidade preserva o chamado para reconciliação.</w:t>
      </w:r>
    </w:p>
    <w:p>
      <w:pPr>
        <w:pStyle w:val="Heading1"/>
        <w:pageBreakBefore/>
        <w:spacing w:before="160" w:after="240"/>
      </w:pPr>
      <w:r>
        <w:t>10 Qualidade arquitetural</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1944"/>
            <w:shd w:fill="17365D"/>
            <w:vAlign w:val="center"/>
            <w:tcMar>
              <w:top w:w="100" w:type="dxa"/>
              <w:start w:w="120" w:type="dxa"/>
              <w:bottom w:w="100" w:type="dxa"/>
              <w:end w:w="120" w:type="dxa"/>
            </w:tcMar>
          </w:tcPr>
          <w:p>
            <w:r>
              <w:rPr>
                <w:b/>
                <w:color w:val="FFFFFF"/>
              </w:rPr>
              <w:t>Atributo</w:t>
            </w:r>
          </w:p>
        </w:tc>
        <w:tc>
          <w:tcPr>
            <w:tcW w:type="dxa" w:w="3888"/>
            <w:shd w:fill="17365D"/>
            <w:vAlign w:val="center"/>
            <w:tcMar>
              <w:top w:w="100" w:type="dxa"/>
              <w:start w:w="120" w:type="dxa"/>
              <w:bottom w:w="100" w:type="dxa"/>
              <w:end w:w="120" w:type="dxa"/>
            </w:tcMar>
          </w:tcPr>
          <w:p>
            <w:r>
              <w:rPr>
                <w:b/>
                <w:color w:val="FFFFFF"/>
              </w:rPr>
              <w:t>Estratégia</w:t>
            </w:r>
          </w:p>
        </w:tc>
        <w:tc>
          <w:tcPr>
            <w:tcW w:type="dxa" w:w="3744"/>
            <w:shd w:fill="17365D"/>
            <w:vAlign w:val="center"/>
            <w:tcMar>
              <w:top w:w="100" w:type="dxa"/>
              <w:start w:w="120" w:type="dxa"/>
              <w:bottom w:w="100" w:type="dxa"/>
              <w:end w:w="120" w:type="dxa"/>
            </w:tcMar>
          </w:tcPr>
          <w:p>
            <w:r>
              <w:rPr>
                <w:b/>
                <w:color w:val="FFFFFF"/>
              </w:rPr>
              <w:t>Evidência</w:t>
            </w:r>
          </w:p>
        </w:tc>
      </w:tr>
      <w:tr>
        <w:tc>
          <w:tcPr>
            <w:tcW w:type="dxa" w:w="1944"/>
            <w:vAlign w:val="center"/>
            <w:tcMar>
              <w:top w:w="100" w:type="dxa"/>
              <w:start w:w="120" w:type="dxa"/>
              <w:bottom w:w="100" w:type="dxa"/>
              <w:end w:w="120" w:type="dxa"/>
            </w:tcMar>
          </w:tcPr>
          <w:p>
            <w:pPr>
              <w:spacing w:after="0"/>
            </w:pPr>
            <w:r>
              <w:rPr>
                <w:sz w:val="18"/>
              </w:rPr>
              <w:t>Interoperabilidade</w:t>
            </w:r>
          </w:p>
        </w:tc>
        <w:tc>
          <w:tcPr>
            <w:tcW w:type="dxa" w:w="3888"/>
            <w:vAlign w:val="center"/>
            <w:tcMar>
              <w:top w:w="100" w:type="dxa"/>
              <w:start w:w="120" w:type="dxa"/>
              <w:bottom w:w="100" w:type="dxa"/>
              <w:end w:w="120" w:type="dxa"/>
            </w:tcMar>
          </w:tcPr>
          <w:p>
            <w:pPr>
              <w:spacing w:after="0"/>
            </w:pPr>
            <w:r>
              <w:rPr>
                <w:sz w:val="18"/>
              </w:rPr>
              <w:t>UUID, formatos e contratos técnicos</w:t>
            </w:r>
          </w:p>
        </w:tc>
        <w:tc>
          <w:tcPr>
            <w:tcW w:type="dxa" w:w="3744"/>
            <w:vAlign w:val="center"/>
            <w:tcMar>
              <w:top w:w="100" w:type="dxa"/>
              <w:start w:w="120" w:type="dxa"/>
              <w:bottom w:w="100" w:type="dxa"/>
              <w:end w:w="120" w:type="dxa"/>
            </w:tcMar>
          </w:tcPr>
          <w:p>
            <w:pPr>
              <w:spacing w:after="0"/>
            </w:pPr>
            <w:r>
              <w:rPr>
                <w:sz w:val="18"/>
              </w:rPr>
              <w:t>OpenAPI e AsyncAPI</w:t>
            </w:r>
          </w:p>
        </w:tc>
      </w:tr>
      <w:tr>
        <w:tc>
          <w:tcPr>
            <w:tcW w:type="dxa" w:w="1944"/>
            <w:vAlign w:val="center"/>
            <w:tcMar>
              <w:top w:w="100" w:type="dxa"/>
              <w:start w:w="120" w:type="dxa"/>
              <w:bottom w:w="100" w:type="dxa"/>
              <w:end w:w="120" w:type="dxa"/>
            </w:tcMar>
            <w:shd w:fill="EAF1F8"/>
          </w:tcPr>
          <w:p>
            <w:pPr>
              <w:spacing w:after="0"/>
            </w:pPr>
            <w:r>
              <w:rPr>
                <w:sz w:val="18"/>
              </w:rPr>
              <w:t>Confiabilidade</w:t>
            </w:r>
          </w:p>
        </w:tc>
        <w:tc>
          <w:tcPr>
            <w:tcW w:type="dxa" w:w="3888"/>
            <w:vAlign w:val="center"/>
            <w:tcMar>
              <w:top w:w="100" w:type="dxa"/>
              <w:start w:w="120" w:type="dxa"/>
              <w:bottom w:w="100" w:type="dxa"/>
              <w:end w:w="120" w:type="dxa"/>
            </w:tcMar>
            <w:shd w:fill="EAF1F8"/>
          </w:tcPr>
          <w:p>
            <w:pPr>
              <w:spacing w:after="0"/>
            </w:pPr>
            <w:r>
              <w:rPr>
                <w:sz w:val="18"/>
              </w:rPr>
              <w:t>Outbox, inbox e idempotência</w:t>
            </w:r>
          </w:p>
        </w:tc>
        <w:tc>
          <w:tcPr>
            <w:tcW w:type="dxa" w:w="3744"/>
            <w:vAlign w:val="center"/>
            <w:tcMar>
              <w:top w:w="100" w:type="dxa"/>
              <w:start w:w="120" w:type="dxa"/>
              <w:bottom w:w="100" w:type="dxa"/>
              <w:end w:w="120" w:type="dxa"/>
            </w:tcMar>
            <w:shd w:fill="EAF1F8"/>
          </w:tcPr>
          <w:p>
            <w:pPr>
              <w:spacing w:after="0"/>
            </w:pPr>
            <w:r>
              <w:rPr>
                <w:sz w:val="18"/>
              </w:rPr>
              <w:t>F2 sem duplicidade</w:t>
            </w:r>
          </w:p>
        </w:tc>
      </w:tr>
      <w:tr>
        <w:tc>
          <w:tcPr>
            <w:tcW w:type="dxa" w:w="1944"/>
            <w:vAlign w:val="center"/>
            <w:tcMar>
              <w:top w:w="100" w:type="dxa"/>
              <w:start w:w="120" w:type="dxa"/>
              <w:bottom w:w="100" w:type="dxa"/>
              <w:end w:w="120" w:type="dxa"/>
            </w:tcMar>
          </w:tcPr>
          <w:p>
            <w:pPr>
              <w:spacing w:after="0"/>
            </w:pPr>
            <w:r>
              <w:rPr>
                <w:sz w:val="18"/>
              </w:rPr>
              <w:t>Segurança</w:t>
            </w:r>
          </w:p>
        </w:tc>
        <w:tc>
          <w:tcPr>
            <w:tcW w:type="dxa" w:w="3888"/>
            <w:vAlign w:val="center"/>
            <w:tcMar>
              <w:top w:w="100" w:type="dxa"/>
              <w:start w:w="120" w:type="dxa"/>
              <w:bottom w:w="100" w:type="dxa"/>
              <w:end w:w="120" w:type="dxa"/>
            </w:tcMar>
          </w:tcPr>
          <w:p>
            <w:pPr>
              <w:spacing w:after="0"/>
            </w:pPr>
            <w:r>
              <w:rPr>
                <w:sz w:val="18"/>
              </w:rPr>
              <w:t>RBAC, validação e minimização</w:t>
            </w:r>
          </w:p>
        </w:tc>
        <w:tc>
          <w:tcPr>
            <w:tcW w:type="dxa" w:w="3744"/>
            <w:vAlign w:val="center"/>
            <w:tcMar>
              <w:top w:w="100" w:type="dxa"/>
              <w:start w:w="120" w:type="dxa"/>
              <w:bottom w:w="100" w:type="dxa"/>
              <w:end w:w="120" w:type="dxa"/>
            </w:tcMar>
          </w:tcPr>
          <w:p>
            <w:pPr>
              <w:spacing w:after="0"/>
            </w:pPr>
            <w:r>
              <w:rPr>
                <w:sz w:val="18"/>
              </w:rPr>
              <w:t>401/403 e privacidade de falha</w:t>
            </w:r>
          </w:p>
        </w:tc>
      </w:tr>
      <w:tr>
        <w:tc>
          <w:tcPr>
            <w:tcW w:type="dxa" w:w="1944"/>
            <w:vAlign w:val="center"/>
            <w:tcMar>
              <w:top w:w="100" w:type="dxa"/>
              <w:start w:w="120" w:type="dxa"/>
              <w:bottom w:w="100" w:type="dxa"/>
              <w:end w:w="120" w:type="dxa"/>
            </w:tcMar>
            <w:shd w:fill="EAF1F8"/>
          </w:tcPr>
          <w:p>
            <w:pPr>
              <w:spacing w:after="0"/>
            </w:pPr>
            <w:r>
              <w:rPr>
                <w:sz w:val="18"/>
              </w:rPr>
              <w:t>Observabilidade</w:t>
            </w:r>
          </w:p>
        </w:tc>
        <w:tc>
          <w:tcPr>
            <w:tcW w:type="dxa" w:w="3888"/>
            <w:vAlign w:val="center"/>
            <w:tcMar>
              <w:top w:w="100" w:type="dxa"/>
              <w:start w:w="120" w:type="dxa"/>
              <w:bottom w:w="100" w:type="dxa"/>
              <w:end w:w="120" w:type="dxa"/>
            </w:tcMar>
            <w:shd w:fill="EAF1F8"/>
          </w:tcPr>
          <w:p>
            <w:pPr>
              <w:spacing w:after="0"/>
            </w:pPr>
            <w:r>
              <w:rPr>
                <w:sz w:val="18"/>
              </w:rPr>
              <w:t>Correlação, logs, métricas e auditoria</w:t>
            </w:r>
          </w:p>
        </w:tc>
        <w:tc>
          <w:tcPr>
            <w:tcW w:type="dxa" w:w="3744"/>
            <w:vAlign w:val="center"/>
            <w:tcMar>
              <w:top w:w="100" w:type="dxa"/>
              <w:start w:w="120" w:type="dxa"/>
              <w:bottom w:w="100" w:type="dxa"/>
              <w:end w:w="120" w:type="dxa"/>
            </w:tcMar>
            <w:shd w:fill="EAF1F8"/>
          </w:tcPr>
          <w:p>
            <w:pPr>
              <w:spacing w:after="0"/>
            </w:pPr>
            <w:r>
              <w:rPr>
                <w:sz w:val="18"/>
              </w:rPr>
              <w:t>Consulta da operação</w:t>
            </w:r>
          </w:p>
        </w:tc>
      </w:tr>
      <w:tr>
        <w:tc>
          <w:tcPr>
            <w:tcW w:type="dxa" w:w="1944"/>
            <w:vAlign w:val="center"/>
            <w:tcMar>
              <w:top w:w="100" w:type="dxa"/>
              <w:start w:w="120" w:type="dxa"/>
              <w:bottom w:w="100" w:type="dxa"/>
              <w:end w:w="120" w:type="dxa"/>
            </w:tcMar>
          </w:tcPr>
          <w:p>
            <w:pPr>
              <w:spacing w:after="0"/>
            </w:pPr>
            <w:r>
              <w:rPr>
                <w:sz w:val="18"/>
              </w:rPr>
              <w:t>Manutenibilidade</w:t>
            </w:r>
          </w:p>
        </w:tc>
        <w:tc>
          <w:tcPr>
            <w:tcW w:type="dxa" w:w="3888"/>
            <w:vAlign w:val="center"/>
            <w:tcMar>
              <w:top w:w="100" w:type="dxa"/>
              <w:start w:w="120" w:type="dxa"/>
              <w:bottom w:w="100" w:type="dxa"/>
              <w:end w:w="120" w:type="dxa"/>
            </w:tcMar>
          </w:tcPr>
          <w:p>
            <w:pPr>
              <w:spacing w:after="0"/>
            </w:pPr>
            <w:r>
              <w:rPr>
                <w:sz w:val="18"/>
              </w:rPr>
              <w:t>Portas e teste de fronteira</w:t>
            </w:r>
          </w:p>
        </w:tc>
        <w:tc>
          <w:tcPr>
            <w:tcW w:type="dxa" w:w="3744"/>
            <w:vAlign w:val="center"/>
            <w:tcMar>
              <w:top w:w="100" w:type="dxa"/>
              <w:start w:w="120" w:type="dxa"/>
              <w:bottom w:w="100" w:type="dxa"/>
              <w:end w:w="120" w:type="dxa"/>
            </w:tcMar>
          </w:tcPr>
          <w:p>
            <w:pPr>
              <w:spacing w:after="0"/>
            </w:pPr>
            <w:r>
              <w:rPr>
                <w:sz w:val="18"/>
              </w:rPr>
              <w:t>Zero importação cruzada</w:t>
            </w:r>
          </w:p>
        </w:tc>
      </w:tr>
      <w:tr>
        <w:tc>
          <w:tcPr>
            <w:tcW w:type="dxa" w:w="1944"/>
            <w:vAlign w:val="center"/>
            <w:tcMar>
              <w:top w:w="100" w:type="dxa"/>
              <w:start w:w="120" w:type="dxa"/>
              <w:bottom w:w="100" w:type="dxa"/>
              <w:end w:w="120" w:type="dxa"/>
            </w:tcMar>
            <w:shd w:fill="EAF1F8"/>
          </w:tcPr>
          <w:p>
            <w:pPr>
              <w:spacing w:after="0"/>
            </w:pPr>
            <w:r>
              <w:rPr>
                <w:sz w:val="18"/>
              </w:rPr>
              <w:t>Disponibilidade</w:t>
            </w:r>
          </w:p>
        </w:tc>
        <w:tc>
          <w:tcPr>
            <w:tcW w:type="dxa" w:w="3888"/>
            <w:vAlign w:val="center"/>
            <w:tcMar>
              <w:top w:w="100" w:type="dxa"/>
              <w:start w:w="120" w:type="dxa"/>
              <w:bottom w:w="100" w:type="dxa"/>
              <w:end w:w="120" w:type="dxa"/>
            </w:tcMar>
            <w:shd w:fill="EAF1F8"/>
          </w:tcPr>
          <w:p>
            <w:pPr>
              <w:spacing w:after="0"/>
            </w:pPr>
            <w:r>
              <w:rPr>
                <w:sz w:val="18"/>
              </w:rPr>
              <w:t>Estado pendente e reconciliação</w:t>
            </w:r>
          </w:p>
        </w:tc>
        <w:tc>
          <w:tcPr>
            <w:tcW w:type="dxa" w:w="3744"/>
            <w:vAlign w:val="center"/>
            <w:tcMar>
              <w:top w:w="100" w:type="dxa"/>
              <w:start w:w="120" w:type="dxa"/>
              <w:bottom w:w="100" w:type="dxa"/>
              <w:end w:w="120" w:type="dxa"/>
            </w:tcMar>
            <w:shd w:fill="EAF1F8"/>
          </w:tcPr>
          <w:p>
            <w:pPr>
              <w:spacing w:after="0"/>
            </w:pPr>
            <w:r>
              <w:rPr>
                <w:sz w:val="18"/>
              </w:rPr>
              <w:t>Teste de indisponibilidade</w:t>
            </w:r>
          </w:p>
        </w:tc>
      </w:tr>
      <w:tr>
        <w:tc>
          <w:tcPr>
            <w:tcW w:type="dxa" w:w="1944"/>
            <w:vAlign w:val="center"/>
            <w:tcMar>
              <w:top w:w="100" w:type="dxa"/>
              <w:start w:w="120" w:type="dxa"/>
              <w:bottom w:w="100" w:type="dxa"/>
              <w:end w:w="120" w:type="dxa"/>
            </w:tcMar>
          </w:tcPr>
          <w:p>
            <w:pPr>
              <w:spacing w:after="0"/>
            </w:pPr>
            <w:r>
              <w:rPr>
                <w:sz w:val="18"/>
              </w:rPr>
              <w:t>Desempenho</w:t>
            </w:r>
          </w:p>
        </w:tc>
        <w:tc>
          <w:tcPr>
            <w:tcW w:type="dxa" w:w="3888"/>
            <w:vAlign w:val="center"/>
            <w:tcMar>
              <w:top w:w="100" w:type="dxa"/>
              <w:start w:w="120" w:type="dxa"/>
              <w:bottom w:w="100" w:type="dxa"/>
              <w:end w:w="120" w:type="dxa"/>
            </w:tcMar>
          </w:tcPr>
          <w:p>
            <w:pPr>
              <w:spacing w:after="0"/>
            </w:pPr>
            <w:r>
              <w:rPr>
                <w:sz w:val="18"/>
              </w:rPr>
              <w:t>API sem estado e índices</w:t>
            </w:r>
          </w:p>
        </w:tc>
        <w:tc>
          <w:tcPr>
            <w:tcW w:type="dxa" w:w="3744"/>
            <w:vAlign w:val="center"/>
            <w:tcMar>
              <w:top w:w="100" w:type="dxa"/>
              <w:start w:w="120" w:type="dxa"/>
              <w:bottom w:w="100" w:type="dxa"/>
              <w:end w:w="120" w:type="dxa"/>
            </w:tcMar>
          </w:tcPr>
          <w:p>
            <w:pPr>
              <w:spacing w:after="0"/>
            </w:pPr>
            <w:r>
              <w:rPr>
                <w:sz w:val="18"/>
              </w:rPr>
              <w:t>p95 local de 3,68 ms</w:t>
            </w:r>
          </w:p>
        </w:tc>
      </w:tr>
      <w:tr>
        <w:tc>
          <w:tcPr>
            <w:tcW w:type="dxa" w:w="1944"/>
            <w:vAlign w:val="center"/>
            <w:tcMar>
              <w:top w:w="100" w:type="dxa"/>
              <w:start w:w="120" w:type="dxa"/>
              <w:bottom w:w="100" w:type="dxa"/>
              <w:end w:w="120" w:type="dxa"/>
            </w:tcMar>
            <w:shd w:fill="EAF1F8"/>
          </w:tcPr>
          <w:p>
            <w:pPr>
              <w:spacing w:after="0"/>
            </w:pPr>
            <w:r>
              <w:rPr>
                <w:sz w:val="18"/>
              </w:rPr>
              <w:t>Escalabilidade</w:t>
            </w:r>
          </w:p>
        </w:tc>
        <w:tc>
          <w:tcPr>
            <w:tcW w:type="dxa" w:w="3888"/>
            <w:vAlign w:val="center"/>
            <w:tcMar>
              <w:top w:w="100" w:type="dxa"/>
              <w:start w:w="120" w:type="dxa"/>
              <w:bottom w:w="100" w:type="dxa"/>
              <w:end w:w="120" w:type="dxa"/>
            </w:tcMar>
            <w:shd w:fill="EAF1F8"/>
          </w:tcPr>
          <w:p>
            <w:pPr>
              <w:spacing w:after="0"/>
            </w:pPr>
            <w:r>
              <w:rPr>
                <w:sz w:val="18"/>
              </w:rPr>
              <w:t>Consumidores idempotentes</w:t>
            </w:r>
          </w:p>
        </w:tc>
        <w:tc>
          <w:tcPr>
            <w:tcW w:type="dxa" w:w="3744"/>
            <w:vAlign w:val="center"/>
            <w:tcMar>
              <w:top w:w="100" w:type="dxa"/>
              <w:start w:w="120" w:type="dxa"/>
              <w:bottom w:w="100" w:type="dxa"/>
              <w:end w:w="120" w:type="dxa"/>
            </w:tcMar>
            <w:shd w:fill="EAF1F8"/>
          </w:tcPr>
          <w:p>
            <w:pPr>
              <w:spacing w:after="0"/>
            </w:pPr>
            <w:r>
              <w:rPr>
                <w:sz w:val="18"/>
              </w:rPr>
              <w:t>Evolução futura; sem medição de escala</w:t>
            </w:r>
          </w:p>
        </w:tc>
      </w:tr>
      <w:tr>
        <w:tc>
          <w:tcPr>
            <w:tcW w:type="dxa" w:w="1944"/>
            <w:vAlign w:val="center"/>
            <w:tcMar>
              <w:top w:w="100" w:type="dxa"/>
              <w:start w:w="120" w:type="dxa"/>
              <w:bottom w:w="100" w:type="dxa"/>
              <w:end w:w="120" w:type="dxa"/>
            </w:tcMar>
          </w:tcPr>
          <w:p>
            <w:pPr>
              <w:spacing w:after="0"/>
            </w:pPr>
            <w:r>
              <w:rPr>
                <w:sz w:val="18"/>
              </w:rPr>
              <w:t>Testabilidade</w:t>
            </w:r>
          </w:p>
        </w:tc>
        <w:tc>
          <w:tcPr>
            <w:tcW w:type="dxa" w:w="3888"/>
            <w:vAlign w:val="center"/>
            <w:tcMar>
              <w:top w:w="100" w:type="dxa"/>
              <w:start w:w="120" w:type="dxa"/>
              <w:bottom w:w="100" w:type="dxa"/>
              <w:end w:w="120" w:type="dxa"/>
            </w:tcMar>
          </w:tcPr>
          <w:p>
            <w:pPr>
              <w:spacing w:after="0"/>
            </w:pPr>
            <w:r>
              <w:rPr>
                <w:sz w:val="18"/>
              </w:rPr>
              <w:t>Suíte e adaptadores</w:t>
            </w:r>
          </w:p>
        </w:tc>
        <w:tc>
          <w:tcPr>
            <w:tcW w:type="dxa" w:w="3744"/>
            <w:vAlign w:val="center"/>
            <w:tcMar>
              <w:top w:w="100" w:type="dxa"/>
              <w:start w:w="120" w:type="dxa"/>
              <w:bottom w:w="100" w:type="dxa"/>
              <w:end w:w="120" w:type="dxa"/>
            </w:tcMar>
          </w:tcPr>
          <w:p>
            <w:pPr>
              <w:spacing w:after="0"/>
            </w:pPr>
            <w:r>
              <w:rPr>
                <w:sz w:val="18"/>
              </w:rPr>
              <w:t>84 testes Python; 11 de navegador</w:t>
            </w:r>
          </w:p>
        </w:tc>
      </w:tr>
    </w:tbl>
    <w:p>
      <w:pPr>
        <w:spacing w:after="40"/>
      </w:pPr>
    </w:p>
    <w:p>
      <w:pPr>
        <w:spacing w:after="160" w:line="276" w:lineRule="auto"/>
        <w:jc w:val="both"/>
      </w:pPr>
      <w:r>
        <w:t>As medições representam o ambiente local e não substituem capacidade planejada com volumes reais. A equipe deve registrar hardware e amostra quando repetir o teste na apresentação.</w:t>
      </w:r>
    </w:p>
    <w:p>
      <w:pPr>
        <w:pStyle w:val="Heading1"/>
        <w:pageBreakBefore/>
        <w:spacing w:before="160" w:after="240"/>
      </w:pPr>
      <w:r>
        <w:t>11 Evolução manutenção e viabilidade</w:t>
      </w:r>
    </w:p>
    <w:p>
      <w:pPr>
        <w:pStyle w:val="Heading2"/>
      </w:pPr>
      <w:r>
        <w:t>11.1 Evolução</w:t>
      </w:r>
    </w:p>
    <w:p>
      <w:pPr>
        <w:spacing w:after="160" w:line="276" w:lineRule="auto"/>
        <w:jc w:val="both"/>
      </w:pPr>
      <w:r>
        <w:t>Novos módulos entram por portas e adaptadores. Mudanças compatíveis adicionam campos opcionais. Mudanças incompatíveis criam uma nova versão. Uma migração gradual adiciona estrutura antes do código consumidor, acompanha métricas e remove o formato antigo em outra versão.</w:t>
      </w:r>
    </w:p>
    <w:p>
      <w:pPr>
        <w:pStyle w:val="Heading2"/>
      </w:pPr>
      <w:r>
        <w:t>11.2 Escalabilidade</w:t>
      </w:r>
    </w:p>
    <w:p>
      <w:pPr>
        <w:spacing w:after="160" w:line="276" w:lineRule="auto"/>
        <w:jc w:val="both"/>
      </w:pPr>
      <w:r>
        <w:t>A API sem estado pode receber réplicas. Consumidores idempotentes podem aumentar por fila. Particionamento ou extração de serviços exige métricas de volume, latência, disponibilidade ou cadência de implantação e um novo ADR.</w:t>
      </w:r>
    </w:p>
    <w:p>
      <w:pPr>
        <w:pStyle w:val="Heading2"/>
      </w:pPr>
      <w:r>
        <w:t>11.3 Valor e viabilidade</w:t>
      </w:r>
    </w:p>
    <w:p>
      <w:pPr>
        <w:spacing w:after="160" w:line="276" w:lineRule="auto"/>
        <w:jc w:val="both"/>
      </w:pPr>
      <w:r>
        <w:t>A proposta reduz recadastro e conecta venda, ativação, cobrança, preparação de retirada e atendimento e assistência 24h. O monólito modular limita unidades de implantação, e os simuladores evitam licenças e ambientes legados na demonstração. A adoção organizacional ainda exige descoberta dos produtos, tratamento da qualidade dos dados, identidade corporativa, TLS, operação e capacidade.</w:t>
      </w:r>
    </w:p>
    <w:p>
      <w:pPr>
        <w:spacing w:after="80"/>
        <w:ind w:left="360" w:hanging="259"/>
      </w:pPr>
      <w:r>
        <w:t>•  Tempo entre ativação e cobrança</w:t>
      </w:r>
    </w:p>
    <w:p>
      <w:pPr>
        <w:spacing w:after="80"/>
        <w:ind w:left="360" w:hanging="259"/>
      </w:pPr>
      <w:r>
        <w:t>•  Reservas e contratos com recadastro</w:t>
      </w:r>
    </w:p>
    <w:p>
      <w:pPr>
        <w:spacing w:after="80"/>
        <w:ind w:left="360" w:hanging="259"/>
      </w:pPr>
      <w:r>
        <w:t>•  Chamados com SLA incorreto</w:t>
      </w:r>
    </w:p>
    <w:p>
      <w:pPr>
        <w:spacing w:after="80"/>
        <w:ind w:left="360" w:hanging="259"/>
      </w:pPr>
      <w:r>
        <w:t>•  Falhas e tempo de diagnóstico</w:t>
      </w:r>
    </w:p>
    <w:p>
      <w:pPr>
        <w:spacing w:after="40"/>
      </w:pPr>
    </w:p>
    <w:p>
      <w:pPr>
        <w:spacing w:after="160" w:line="276" w:lineRule="auto"/>
        <w:jc w:val="both"/>
      </w:pPr>
      <w:r>
        <w:t>Custos, equipe, prazo e infraestrutura de produção não foram informados no enunciado. A viabilidade organizacional depende de levantar essa linha de base e comparar os indicadores antes e depois de uma prova com sistemas reais.</w:t>
      </w:r>
    </w:p>
    <w:p>
      <w:pPr>
        <w:pStyle w:val="Heading1"/>
        <w:pageBreakBefore/>
        <w:spacing w:before="160" w:after="240"/>
      </w:pPr>
      <w:r>
        <w:t>12 Resultados e considerações finais</w:t>
      </w:r>
    </w:p>
    <w:p>
      <w:pPr>
        <w:pStyle w:val="Heading2"/>
      </w:pPr>
      <w:r>
        <w:t>12.1 Resultados</w:t>
      </w:r>
    </w:p>
    <w:p>
      <w:pPr>
        <w:spacing w:after="160" w:line="276" w:lineRule="auto"/>
        <w:jc w:val="both"/>
      </w:pPr>
      <w:r>
        <w:t>A entrega local implementou os cinco contextos com interface web, API e persistência. Os três fluxos integrados funcionaram em testes; repetição não duplicou cobrança ou processo; falha de dependência preservou o chamado; e reprocessamento manteve rastreabilidade. OpenAPI e AsyncAPI documentam os contratos. A publicação HTTPS no Render/Supabase permanece dependente de acesso às contas e teste de persistência. Os nomes e as contribuições dos integrantes devem ser registrados antes da submissão.</w:t>
      </w:r>
    </w:p>
    <w:p>
      <w:pPr>
        <w:spacing w:after="160" w:line="276" w:lineRule="auto"/>
        <w:jc w:val="both"/>
      </w:pPr>
      <w:r>
        <w:t>Os componentes permanecem organizados por responsabilidade. REST atende decisões imediatas e eventos desacoplam os efeitos posteriores. O ADR registra por que a equipe evitou microsserviços completos e um ESB com regras centrais. A arquitetura permite evolução porque as portas e contratos técnicos continuam válidos quando um adaptador ou módulo muda.</w:t>
      </w:r>
    </w:p>
    <w:p>
      <w:pPr>
        <w:pStyle w:val="Heading2"/>
      </w:pPr>
      <w:r>
        <w:t>12.2 Desafios e aprendizados</w:t>
      </w:r>
    </w:p>
    <w:p>
      <w:pPr>
        <w:spacing w:after="160" w:line="276" w:lineRule="auto"/>
        <w:jc w:val="both"/>
      </w:pPr>
      <w:r>
        <w:t>Os principais desafios foram preservar fronteiras mesmo com um banco e um processo compartilhados, coordenar efeitos assíncronos sem duplicidade e manter a mesma correlação em HTTP, auditoria e eventos. A implementação mostrou que contratos versionados não bastam sozinhos: outbox, inbox, idempotência, estados de recuperação e evidências precisam ser projetados junto com o fluxo.</w:t>
      </w:r>
    </w:p>
    <w:p>
      <w:pPr>
        <w:pStyle w:val="Heading2"/>
      </w:pPr>
      <w:r>
        <w:t>12.3 Limitações, riscos e evolução</w:t>
      </w:r>
    </w:p>
    <w:p>
      <w:pPr>
        <w:spacing w:after="160" w:line="276" w:lineRule="auto"/>
        <w:jc w:val="both"/>
      </w:pPr>
      <w:r>
        <w:t>O principal limite decorre dos dados organizacionais ausentes. Produtos, volumes e interfaces reais podem alterar adaptadores, timeout e capacidade. O protótipo não agenda retentativas com atraso, não oferece OIDC ou tracing distribuído e não usa RabbitMQ como transporte de entrada dos consumidores. No modo público, usa uma credencial compartilhada definida no servidor. Após reconciliação, o prazo do processo é atualizado e o reprocessamento reinicia o contador de tentativas.</w:t>
      </w:r>
    </w:p>
    <w:p>
      <w:pPr>
        <w:spacing w:after="160" w:line="276" w:lineRule="auto"/>
        <w:jc w:val="both"/>
      </w:pPr>
      <w:r>
        <w:t>Os próximos passos são validar o AS-IS com a disciplina, publicar e testar o ambiente gratuito, conectar identidade e sistemas reais apenas com autorização e automatizar retentativas transitórias. Métricas de escala, disponibilidade ou cadência devem orientar extrações futuras. Decisões estruturais adicionais exigem novo ADR.</w:t>
      </w:r>
    </w:p>
    <w:p>
      <w:pPr>
        <w:pStyle w:val="Heading1"/>
        <w:pageBreakBefore/>
        <w:spacing w:before="160" w:after="240"/>
      </w:pPr>
      <w:r>
        <w:t>Referências</w:t>
      </w:r>
    </w:p>
    <w:p>
      <w:pPr>
        <w:spacing w:after="180"/>
        <w:ind w:left="360" w:hanging="360"/>
      </w:pPr>
      <w:r>
        <w:t>[1] GUIA do Projeto Aplicado. Guia.pdf, material acadêmico disponível no repositório, 2026. Escopo do cenário: PLANO_IMPLEMENTACAO_CENARIO_4.md. Enunciado específico Localiza não localizado no checkout.</w:t>
      </w:r>
    </w:p>
    <w:p>
      <w:pPr>
        <w:spacing w:after="180"/>
        <w:ind w:left="360" w:hanging="360"/>
      </w:pPr>
      <w:r>
        <w:t>[2] BASS, Len; CLEMENTS, Paul; KAZMAN, Rick. Software Architecture in Practice. 4. ed. Boston: Addison-Wesley, 2021.</w:t>
      </w:r>
    </w:p>
    <w:p>
      <w:pPr>
        <w:spacing w:after="180"/>
        <w:ind w:left="360" w:hanging="360"/>
      </w:pPr>
      <w:r>
        <w:t>[3] HOHPE, Gregor; WOOLF, Bobby. Enterprise Integration Patterns. Boston: Addison-Wesley, 2003.</w:t>
      </w:r>
    </w:p>
    <w:p>
      <w:pPr>
        <w:spacing w:after="180"/>
        <w:ind w:left="360" w:hanging="360"/>
      </w:pPr>
      <w:r>
        <w:t>[4] NEWMAN, Sam. Building Microservices. 2. ed. Sebastopol: O'Reilly Media, 2021.</w:t>
      </w:r>
    </w:p>
    <w:p>
      <w:pPr>
        <w:spacing w:after="180"/>
        <w:ind w:left="360" w:hanging="360"/>
      </w:pPr>
      <w:r>
        <w:t>[5] IETF. RFC 9110 HTTP Semantics. Internet Engineering Task Force, 2022.</w:t>
      </w:r>
    </w:p>
    <w:p>
      <w:pPr>
        <w:spacing w:after="180"/>
        <w:ind w:left="360" w:hanging="360"/>
      </w:pPr>
      <w:r>
        <w:t>[6] OPENAPI INITIATIVE. OpenAPI Specification version 3.1.1. 2024.</w:t>
      </w:r>
    </w:p>
    <w:p>
      <w:pPr>
        <w:spacing w:after="180"/>
        <w:ind w:left="360" w:hanging="360"/>
      </w:pPr>
      <w:r>
        <w:t>[7] ASYNCAPI INITIATIVE. AsyncAPI Specification version 3.0.0. 2024.</w:t>
      </w:r>
    </w:p>
    <w:p>
      <w:pPr>
        <w:spacing w:after="180"/>
        <w:ind w:left="360" w:hanging="360"/>
      </w:pPr>
      <w:r>
        <w:t>[8] NYGARD, Michael T. Release It. 2. ed. Raleigh: Pragmatic Bookshelf, 2018.</w:t>
      </w:r>
    </w:p>
    <w:p>
      <w:pPr>
        <w:spacing w:after="160" w:line="276" w:lineRule="auto"/>
        <w:jc w:val="both"/>
      </w:pPr>
      <w:r>
        <w:t>Documentos complementares do repositório: ADR-001; requisitos; plano de implementação; matriz de rastreabilidade; arquitetura AS-IS, TO-BE e fluxos de integração; exemplos de API; contratos OpenAPI e AsyncAPI; roteiro de demonstração; evidências de validação.</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Arquitetura de Integração no Cenário Localiza</dc:title>
  <dc:subject>Projeto Aplicado Cenário 4</dc:subject>
  <dc:creator>Equipe do Projeto Aplicado</dc:creator>
  <cp:keywords/>
  <dc:description>generated by python-docx</dc:description>
  <cp:lastModifiedBy/>
  <cp:revision>1</cp:revision>
  <dcterms:created xsi:type="dcterms:W3CDTF">2013-12-23T23:15:00Z</dcterms:created>
  <dcterms:modified xsi:type="dcterms:W3CDTF">2013-12-23T23:15:00Z</dcterms:modified>
  <cp:category/>
</cp:coreProperties>
</file>