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Cenário 4</w:t>
      </w:r>
    </w:p>
    <w:p>
      <w:pPr>
        <w:spacing w:before="3000"/>
        <w:jc w:val="center"/>
      </w:pPr>
      <w:r>
        <w:t>Equipe do Projeto Aplicado</w:t>
        <w:br/>
        <w:t>12 de setembro de 2026</w:t>
        <w:br/>
        <w:t>Relatório técnico</w:t>
      </w:r>
    </w:p>
    <w:p>
      <w:pPr>
        <w:pStyle w:val="Heading1"/>
        <w:pageBreakBefore/>
        <w:spacing w:before="160" w:after="240"/>
      </w:pPr>
      <w:r>
        <w:t>Resumo</w:t>
      </w:r>
    </w:p>
    <w:p>
      <w:pPr>
        <w:spacing w:after="160" w:line="276" w:lineRule="auto"/>
        <w:jc w:val="both"/>
      </w:pPr>
      <w:r>
        <w:t>A organização do Cenário 4 utiliza CRM, sistema de contratos, sistema financeiro, sistema de atendimento e gestão de processos. O enunciado associa o crescimento da organização a duplicidade de dados, lançamentos manuais, integrações frágeis e processos fragmentados. Este trabalho propõe e implementa uma arquitetura orientada a serviços entregue como monólito modular, com APIs REST para interações imediatas e eventos para efeitos desacoplados.</w:t>
      </w:r>
    </w:p>
    <w:p>
      <w:pPr>
        <w:spacing w:after="160" w:line="276" w:lineRule="auto"/>
        <w:jc w:val="both"/>
      </w:pPr>
      <w:r>
        <w:t>O método combinou análise do enunciado, levantamento de requisitos, modelagem AS-IS e TO-BE, registro de decisão arquitetural, implementação incremental e verificação automatizada. O protótipo separa os contextos CRM, Contracts, Finance, Support, Workflow e Integration. As fronteiras usam portas públicas; cada contexto controla seus dados e regras. A entrega confiável emprega outbox, inbox, idempotência, correlação e reprocessamento auditado.</w:t>
      </w:r>
    </w:p>
    <w:p>
      <w:pPr>
        <w:spacing w:after="160" w:line="276" w:lineRule="auto"/>
        <w:jc w:val="both"/>
      </w:pPr>
      <w:r>
        <w:t>A avaliação executou onze testes automatizados. Os três fluxos obrigatórios funcionaram do início ao fim: cliente do CRM para rascunho de contrato; ativação para cobrança e onboarding; e chamado com consulta de contrato e SLA. A repetição não duplicou efeitos, a indisponibilidade gerou um estado pendente reconciliável e o controle de papéis bloqueou uma operação indevida. Em 200 consultas locais de prontidão, o p95 foi 4,75 ms, abaixo da meta de 500 ms.</w:t>
      </w:r>
    </w:p>
    <w:p>
      <w:pPr>
        <w:spacing w:after="160" w:line="276" w:lineRule="auto"/>
        <w:jc w:val="both"/>
      </w:pPr>
      <w:r>
        <w:t>Palavras-chave: arquitetura de sistemas corporativos; SOA; monólito modular; integração; REST; eventos; interoperabilidade.</w:t>
      </w:r>
    </w:p>
    <w:p>
      <w:pPr>
        <w:pStyle w:val="Heading1"/>
        <w:pageBreakBefore/>
        <w:spacing w:before="160" w:after="240"/>
      </w:pPr>
      <w:r>
        <w:t>1 Introdução</w:t>
      </w:r>
    </w:p>
    <w:p>
      <w:pPr>
        <w:pStyle w:val="Heading2"/>
      </w:pPr>
      <w:r>
        <w:t>1.1 Contexto e problema</w:t>
      </w:r>
    </w:p>
    <w:p>
      <w:pPr>
        <w:spacing w:after="160" w:line="276" w:lineRule="auto"/>
        <w:jc w:val="both"/>
      </w:pPr>
      <w:r>
        <w:t>A ArchCorp recebeu a tarefa de modernizar uma organização que acumulou aplicações distintas ao crescer. Para o Cenário 4, o documento define cinco sistemas: CRM, contratos, financeiro, atendimento e gestão de processos [1]. A falta de comunicação adequada cria duplicidade, recadastro, dificuldade de manutenção e baixa capacidade de evolução.</w:t>
      </w:r>
    </w:p>
    <w:p>
      <w:pPr>
        <w:spacing w:after="160" w:line="276" w:lineRule="auto"/>
        <w:jc w:val="both"/>
      </w:pPr>
      <w:r>
        <w:t>O problema arquitetural envolve propriedade de dados e coordenação entre sistemas. Uma chamada bem-sucedida não basta quando uma ativação precisa produzir cobrança e onboarding, pois uma falha intermediária pode perder o fato ou repetir efeitos. A solução precisa definir contratos, responsabilidades, consistência e recuperação.</w:t>
      </w:r>
    </w:p>
    <w:p>
      <w:pPr>
        <w:pStyle w:val="Heading2"/>
      </w:pPr>
      <w:r>
        <w:t>1.2 Objetivos</w:t>
      </w:r>
    </w:p>
    <w:p>
      <w:pPr>
        <w:spacing w:after="160" w:line="276" w:lineRule="auto"/>
        <w:jc w:val="both"/>
      </w:pPr>
      <w:r>
        <w:t>O objetivo geral consiste em demonstrar uma arquitetura executável que integre os cinco sistemas sem substituir suas capacidades completas. Os objetivos específicos abrangem identidade global de cliente, três fluxos integrados, contratos versionados, entrega idempotente, observabilidade, segurança, avaliação de qualidade e uma estratégia de evolução.</w:t>
      </w:r>
    </w:p>
    <w:p>
      <w:pPr>
        <w:pStyle w:val="Heading2"/>
      </w:pPr>
      <w:r>
        <w:t>1.3 Organização do relatório</w:t>
      </w:r>
    </w:p>
    <w:p>
      <w:pPr>
        <w:spacing w:after="160" w:line="276" w:lineRule="auto"/>
        <w:jc w:val="both"/>
      </w:pPr>
      <w:r>
        <w:t>As seções seguintes apresentam fundamentação, método, análise AS-IS, requisitos, arquitetura TO-BE, integrações, qualidade, evolução, viabilidade, resultados e conclusões. Os anexos do repositório contêm OpenAPI, AsyncAPI, testes e roteiro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Arquitetura de software organiza estruturas, responsabilidades e relações que condicionam atributos de qualidade. Bass, Clements e Kazman tratam decisões arquiteturais como instrumentos para responder a requisitos de qualidade e riscos [2]. Por isso, a solução não se limita a um diagrama: ela relaciona escolhas a cenários verificáveis.</w:t>
      </w:r>
    </w:p>
    <w:p>
      <w:pPr>
        <w:pStyle w:val="Heading2"/>
      </w:pPr>
      <w:r>
        <w:t>2.2 SOA e serviços</w:t>
      </w:r>
    </w:p>
    <w:p>
      <w:pPr>
        <w:spacing w:after="160" w:line="276" w:lineRule="auto"/>
        <w:jc w:val="both"/>
      </w:pPr>
      <w:r>
        <w:t>A arquitetura orientada a serviços expõe capacidades por contratos estáveis. No projeto, serviço significa uma fronteira de negócio com interface pública e propriedade de dados. A implantação inicial pode reunir essas fronteiras em um processo sem eliminar sua separação lógica.</w:t>
      </w:r>
    </w:p>
    <w:p>
      <w:pPr>
        <w:pStyle w:val="Heading2"/>
      </w:pPr>
      <w:r>
        <w:t>2.3 Arquitetura hexagonal</w:t>
      </w:r>
    </w:p>
    <w:p>
      <w:pPr>
        <w:spacing w:after="160" w:line="276" w:lineRule="auto"/>
        <w:jc w:val="both"/>
      </w:pPr>
      <w:r>
        <w:t>Portas definem o que a aplicação precisa ou oferece. Adaptadores conectam HTTP, banco, broker e sistemas externos. Essa direção mantém regras de domínio independentes de detalhes de infraestrutura e permite substituir simuladores por conectores reais.</w:t>
      </w:r>
    </w:p>
    <w:p>
      <w:pPr>
        <w:pStyle w:val="Heading2"/>
      </w:pPr>
      <w:r>
        <w:t>2.4 Monólito modular</w:t>
      </w:r>
    </w:p>
    <w:p>
      <w:pPr>
        <w:spacing w:after="160" w:line="276" w:lineRule="auto"/>
        <w:jc w:val="both"/>
      </w:pPr>
      <w:r>
        <w:t>O monólito modular reduz a operação inicial e preserva limites internos que podem orientar uma extração futura. Newman recomenda justificar limites e distribuição pelas necessidades do sistema, pois a distribuição adiciona custo de comunicação, dados e operação [4].</w:t>
      </w:r>
    </w:p>
    <w:p>
      <w:pPr>
        <w:pStyle w:val="Heading1"/>
        <w:pageBreakBefore/>
        <w:spacing w:before="160" w:after="240"/>
      </w:pPr>
      <w:r>
        <w:t>2 Fundamentação teórica continuação</w:t>
      </w:r>
    </w:p>
    <w:p>
      <w:pPr>
        <w:pStyle w:val="Heading2"/>
      </w:pPr>
      <w:r>
        <w:t>2.5 APIs e eventos</w:t>
      </w:r>
    </w:p>
    <w:p>
      <w:pPr>
        <w:spacing w:after="160" w:line="276" w:lineRule="auto"/>
        <w:jc w:val="both"/>
      </w:pPr>
      <w:r>
        <w:t>HTTP define semântica para requisições e respostas [5]. O projeto usa REST quando o solicitante precisa conhecer o resultado imediato. Eventos representam fatos confirmados e permitem vários consumidores. A OpenAPI descreve as rotas e a AsyncAPI descreve canais, mensagens e payloads [6][7].</w:t>
      </w:r>
    </w:p>
    <w:p>
      <w:pPr>
        <w:pStyle w:val="Heading2"/>
      </w:pPr>
      <w:r>
        <w:t>2.6 Padrões de integração</w:t>
      </w:r>
    </w:p>
    <w:p>
      <w:pPr>
        <w:spacing w:after="160" w:line="276" w:lineRule="auto"/>
        <w:jc w:val="both"/>
      </w:pPr>
      <w:r>
        <w:t>Hohpe e Woolf organizam mensageria por canais, mensagens, roteamento e transformação [3]. Outbox resolve a lacuna entre a transação de negócio e a publicação. Inbox registra o evento recebido por consumidor. A combinação oferece entrega ao menos uma vez sem repetir o efeito de negócio.</w:t>
      </w:r>
    </w:p>
    <w:p>
      <w:pPr>
        <w:pStyle w:val="Heading2"/>
      </w:pPr>
      <w:r>
        <w:t>2.7 Interoperabilidade</w:t>
      </w:r>
    </w:p>
    <w:p>
      <w:pPr>
        <w:spacing w:after="160" w:line="276" w:lineRule="auto"/>
        <w:jc w:val="both"/>
      </w:pPr>
      <w:r>
        <w:t>Interoperabilidade exige mais que conectividade. Sistemas precisam concordar sobre identidade, significado, formato, versão, erro e fonte oficial. O modelo canônico deve conter somente os campos compartilhados pelo fluxo para não virar um modelo central rígido.</w:t>
      </w:r>
    </w:p>
    <w:p>
      <w:pPr>
        <w:pStyle w:val="Heading2"/>
      </w:pPr>
      <w:r>
        <w:t>2.8 Qualidade arquitetural</w:t>
      </w:r>
    </w:p>
    <w:p>
      <w:pPr>
        <w:spacing w:after="160" w:line="276" w:lineRule="auto"/>
        <w:jc w:val="both"/>
      </w:pPr>
      <w:r>
        <w:t>Cenários de qualidade ligam estímulo, ambiente, resposta e medida. Este trabalho avalia interoperabilidade, confiabilidade, segurança, observabilidade, manutenibilidade, disponibilidade, desempenho, escalabilidade e testabilidade.</w:t>
      </w:r>
    </w:p>
    <w:p>
      <w:pPr>
        <w:pStyle w:val="Heading1"/>
        <w:pageBreakBefore/>
        <w:spacing w:before="160" w:after="240"/>
      </w:pPr>
      <w:r>
        <w:t>3 Metodologia</w:t>
      </w:r>
    </w:p>
    <w:p>
      <w:pPr>
        <w:pStyle w:val="Heading2"/>
      </w:pPr>
      <w:r>
        <w:t>3.1 Participantes e contribuições</w:t>
      </w:r>
    </w:p>
    <w:p>
      <w:pPr>
        <w:spacing w:after="160" w:line="276" w:lineRule="auto"/>
        <w:jc w:val="both"/>
      </w:pPr>
      <w:r>
        <w:t>A Equipe do Projeto Aplicado conduziu análise, modelagem, implementação, testes e documentação. A divisão de trabalho do repositório organiza essas atividades em tasks e subtasks e permite registrar a contribuição individual na versão de submissão.</w:t>
      </w:r>
    </w:p>
    <w:p>
      <w:pPr>
        <w:pStyle w:val="Heading2"/>
      </w:pPr>
      <w:r>
        <w:t>3.2 Recursos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tblHeader/>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e SQLAlchemy</w:t>
            </w:r>
          </w:p>
        </w:tc>
      </w:tr>
      <w:tr>
        <w:tc>
          <w:tcPr>
            <w:tcW w:type="dxa" w:w="2880"/>
            <w:vAlign w:val="center"/>
            <w:tcMar>
              <w:top w:w="100" w:type="dxa"/>
              <w:start w:w="120" w:type="dxa"/>
              <w:bottom w:w="100" w:type="dxa"/>
              <w:end w:w="120" w:type="dxa"/>
            </w:tcMar>
            <w:shd w:fill="EAF1F8"/>
          </w:tcPr>
          <w:p>
            <w:pPr>
              <w:spacing w:after="0"/>
            </w:pPr>
            <w:r>
              <w:rPr>
                <w:sz w:val="18"/>
              </w:rPr>
              <w:t>Persistência</w:t>
            </w:r>
          </w:p>
        </w:tc>
        <w:tc>
          <w:tcPr>
            <w:tcW w:type="dxa" w:w="6768"/>
            <w:vAlign w:val="center"/>
            <w:tcMar>
              <w:top w:w="100" w:type="dxa"/>
              <w:start w:w="120" w:type="dxa"/>
              <w:bottom w:w="100" w:type="dxa"/>
              <w:end w:w="120" w:type="dxa"/>
            </w:tcMar>
            <w:shd w:fill="EAF1F8"/>
          </w:tcPr>
          <w:p>
            <w:pPr>
              <w:spacing w:after="0"/>
            </w:pPr>
            <w:r>
              <w:rPr>
                <w:sz w:val="18"/>
              </w:rPr>
              <w:t>PostgreSQL na demonstração e SQLite nos testes</w:t>
            </w:r>
          </w:p>
        </w:tc>
      </w:tr>
      <w:tr>
        <w:tc>
          <w:tcPr>
            <w:tcW w:type="dxa" w:w="2880"/>
            <w:vAlign w:val="center"/>
            <w:tcMar>
              <w:top w:w="100" w:type="dxa"/>
              <w:start w:w="120" w:type="dxa"/>
              <w:bottom w:w="100" w:type="dxa"/>
              <w:end w:w="120" w:type="dxa"/>
            </w:tcMar>
          </w:tcPr>
          <w:p>
            <w:pPr>
              <w:spacing w:after="0"/>
            </w:pPr>
            <w:r>
              <w:rPr>
                <w:sz w:val="18"/>
              </w:rPr>
              <w:t>Mensageria</w:t>
            </w:r>
          </w:p>
        </w:tc>
        <w:tc>
          <w:tcPr>
            <w:tcW w:type="dxa" w:w="6768"/>
            <w:vAlign w:val="center"/>
            <w:tcMar>
              <w:top w:w="100" w:type="dxa"/>
              <w:start w:w="120" w:type="dxa"/>
              <w:bottom w:w="100" w:type="dxa"/>
              <w:end w:w="120" w:type="dxa"/>
            </w:tcMar>
          </w:tcPr>
          <w:p>
            <w:pPr>
              <w:spacing w:after="0"/>
            </w:pPr>
            <w:r>
              <w:rPr>
                <w:sz w:val="18"/>
              </w:rPr>
              <w:t>RabbitMQ e outbox persistida</w:t>
            </w:r>
          </w:p>
        </w:tc>
      </w:tr>
      <w:tr>
        <w:tc>
          <w:tcPr>
            <w:tcW w:type="dxa" w:w="2880"/>
            <w:vAlign w:val="center"/>
            <w:tcMar>
              <w:top w:w="100" w:type="dxa"/>
              <w:start w:w="120" w:type="dxa"/>
              <w:bottom w:w="100" w:type="dxa"/>
              <w:end w:w="120" w:type="dxa"/>
            </w:tcMar>
            <w:shd w:fill="EAF1F8"/>
          </w:tcPr>
          <w:p>
            <w:pPr>
              <w:spacing w:after="0"/>
            </w:pPr>
            <w:r>
              <w:rPr>
                <w:sz w:val="18"/>
              </w:rPr>
              <w:t>Contratos</w:t>
            </w:r>
          </w:p>
        </w:tc>
        <w:tc>
          <w:tcPr>
            <w:tcW w:type="dxa" w:w="6768"/>
            <w:vAlign w:val="center"/>
            <w:tcMar>
              <w:top w:w="100" w:type="dxa"/>
              <w:start w:w="120" w:type="dxa"/>
              <w:bottom w:w="100" w:type="dxa"/>
              <w:end w:w="120" w:type="dxa"/>
            </w:tcMar>
            <w:shd w:fill="EAF1F8"/>
          </w:tcPr>
          <w:p>
            <w:pPr>
              <w:spacing w:after="0"/>
            </w:pPr>
            <w:r>
              <w:rPr>
                <w:sz w:val="18"/>
              </w:rPr>
              <w:t>OpenAPI 3.1 e AsyncAPI 3.0</w:t>
            </w:r>
          </w:p>
        </w:tc>
      </w:tr>
      <w:tr>
        <w:tc>
          <w:tcPr>
            <w:tcW w:type="dxa" w:w="2880"/>
            <w:vAlign w:val="center"/>
            <w:tcMar>
              <w:top w:w="100" w:type="dxa"/>
              <w:start w:w="120" w:type="dxa"/>
              <w:bottom w:w="100" w:type="dxa"/>
              <w:end w:w="120" w:type="dxa"/>
            </w:tcMar>
          </w:tcPr>
          <w:p>
            <w:pPr>
              <w:spacing w:after="0"/>
            </w:pPr>
            <w:r>
              <w:rPr>
                <w:sz w:val="18"/>
              </w:rPr>
              <w:t>Execução</w:t>
            </w:r>
          </w:p>
        </w:tc>
        <w:tc>
          <w:tcPr>
            <w:tcW w:type="dxa" w:w="6768"/>
            <w:vAlign w:val="center"/>
            <w:tcMar>
              <w:top w:w="100" w:type="dxa"/>
              <w:start w:w="120" w:type="dxa"/>
              <w:bottom w:w="100" w:type="dxa"/>
              <w:end w:w="120" w:type="dxa"/>
            </w:tcMar>
          </w:tcPr>
          <w:p>
            <w:pPr>
              <w:spacing w:after="0"/>
            </w:pPr>
            <w:r>
              <w:rPr>
                <w:sz w:val="18"/>
              </w:rPr>
              <w:t>Docker Compose e PowerShell</w:t>
            </w:r>
          </w:p>
        </w:tc>
      </w:tr>
      <w:tr>
        <w:tc>
          <w:tcPr>
            <w:tcW w:type="dxa" w:w="2880"/>
            <w:vAlign w:val="center"/>
            <w:tcMar>
              <w:top w:w="100" w:type="dxa"/>
              <w:start w:w="120" w:type="dxa"/>
              <w:bottom w:w="100" w:type="dxa"/>
              <w:end w:w="120" w:type="dxa"/>
            </w:tcMar>
            <w:shd w:fill="EAF1F8"/>
          </w:tcPr>
          <w:p>
            <w:pPr>
              <w:spacing w:after="0"/>
            </w:pPr>
            <w:r>
              <w:rPr>
                <w:sz w:val="18"/>
              </w:rPr>
              <w:t>Verificação</w:t>
            </w:r>
          </w:p>
        </w:tc>
        <w:tc>
          <w:tcPr>
            <w:tcW w:type="dxa" w:w="6768"/>
            <w:vAlign w:val="center"/>
            <w:tcMar>
              <w:top w:w="100" w:type="dxa"/>
              <w:start w:w="120" w:type="dxa"/>
              <w:bottom w:w="100" w:type="dxa"/>
              <w:end w:w="120" w:type="dxa"/>
            </w:tcMar>
            <w:shd w:fill="EAF1F8"/>
          </w:tcPr>
          <w:p>
            <w:pPr>
              <w:spacing w:after="0"/>
            </w:pPr>
            <w:r>
              <w:rPr>
                <w:sz w:val="18"/>
              </w:rPr>
              <w:t>Pytest, testes de arquitetura e medição local</w:t>
            </w:r>
          </w:p>
        </w:tc>
      </w:tr>
    </w:tbl>
    <w:p>
      <w:pPr>
        <w:spacing w:after="40"/>
      </w:pPr>
    </w:p>
    <w:p>
      <w:pPr>
        <w:pStyle w:val="Heading2"/>
      </w:pPr>
      <w:r>
        <w:t>3.3 Procedimento</w:t>
      </w:r>
    </w:p>
    <w:p>
      <w:pPr>
        <w:spacing w:after="160" w:line="276" w:lineRule="auto"/>
        <w:jc w:val="both"/>
      </w:pPr>
      <w:r>
        <w:t>O trabalho seguiu seis ciclos: descoberta; contratos e fundação; adaptadores; fluxos; qualidade; e entrega. Cada mudança relacionou requisito, decisão, implementação e evidência. A equipe tratou detalhes organizacionais ausentes como premissas e preservou o enunciado como fonte prioritária.</w:t>
      </w:r>
    </w:p>
    <w:p>
      <w:pPr>
        <w:pStyle w:val="Heading1"/>
        <w:pageBreakBefore/>
        <w:spacing w:before="160" w:after="240"/>
      </w:pPr>
      <w:r>
        <w:t>4 Cenário atual AS IS</w:t>
      </w:r>
    </w:p>
    <w:p>
      <w:pPr>
        <w:spacing w:after="160" w:line="276" w:lineRule="auto"/>
        <w:jc w:val="both"/>
      </w:pPr>
      <w:r>
        <w:t>O enunciado confirma os cinco sistemas, mas não identifica produtos, interfaces ou tecnologia. A análise separa essa evidência das premissas usadas para construir a demonstração. Essa distinção evita apresentar como observação uma troca manual que ainda precisa de entrevista.</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Sistema</w:t>
            </w:r>
          </w:p>
        </w:tc>
        <w:tc>
          <w:tcPr>
            <w:tcW w:type="dxa" w:w="2376"/>
            <w:shd w:fill="17365D"/>
            <w:vAlign w:val="center"/>
            <w:tcMar>
              <w:top w:w="100" w:type="dxa"/>
              <w:start w:w="120" w:type="dxa"/>
              <w:bottom w:w="100" w:type="dxa"/>
              <w:end w:w="120" w:type="dxa"/>
            </w:tcMar>
          </w:tcPr>
          <w:p>
            <w:r>
              <w:rPr>
                <w:b/>
                <w:color w:val="FFFFFF"/>
              </w:rPr>
              <w:t>Usuários</w:t>
            </w:r>
          </w:p>
        </w:tc>
        <w:tc>
          <w:tcPr>
            <w:tcW w:type="dxa" w:w="5112"/>
            <w:shd w:fill="17365D"/>
            <w:vAlign w:val="center"/>
            <w:tcMar>
              <w:top w:w="100" w:type="dxa"/>
              <w:start w:w="120" w:type="dxa"/>
              <w:bottom w:w="100" w:type="dxa"/>
              <w:end w:w="120" w:type="dxa"/>
            </w:tcMar>
          </w:tcPr>
          <w:p>
            <w:r>
              <w:rPr>
                <w:b/>
                <w:color w:val="FFFFFF"/>
              </w:rPr>
              <w:t>Dados oficiais</w:t>
            </w:r>
          </w:p>
        </w:tc>
      </w:tr>
      <w:tr>
        <w:tc>
          <w:tcPr>
            <w:tcW w:type="dxa" w:w="2088"/>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Comercial</w:t>
            </w:r>
          </w:p>
        </w:tc>
        <w:tc>
          <w:tcPr>
            <w:tcW w:type="dxa" w:w="5112"/>
            <w:vAlign w:val="center"/>
            <w:tcMar>
              <w:top w:w="100" w:type="dxa"/>
              <w:start w:w="120" w:type="dxa"/>
              <w:bottom w:w="100" w:type="dxa"/>
              <w:end w:w="120" w:type="dxa"/>
            </w:tcMar>
          </w:tcPr>
          <w:p>
            <w:pPr>
              <w:spacing w:after="0"/>
            </w:pPr>
            <w:r>
              <w:rPr>
                <w:sz w:val="18"/>
              </w:rPr>
              <w:t>Cliente, contatos, consentimentos e oportunidade</w:t>
            </w:r>
          </w:p>
        </w:tc>
      </w:tr>
      <w:tr>
        <w:tc>
          <w:tcPr>
            <w:tcW w:type="dxa" w:w="2088"/>
            <w:vAlign w:val="center"/>
            <w:tcMar>
              <w:top w:w="100" w:type="dxa"/>
              <w:start w:w="120" w:type="dxa"/>
              <w:bottom w:w="100" w:type="dxa"/>
              <w:end w:w="120" w:type="dxa"/>
            </w:tcMar>
            <w:shd w:fill="EAF1F8"/>
          </w:tcPr>
          <w:p>
            <w:pPr>
              <w:spacing w:after="0"/>
            </w:pPr>
            <w:r>
              <w:rPr>
                <w:sz w:val="18"/>
              </w:rPr>
              <w:t>Contratos</w:t>
            </w:r>
          </w:p>
        </w:tc>
        <w:tc>
          <w:tcPr>
            <w:tcW w:type="dxa" w:w="2376"/>
            <w:vAlign w:val="center"/>
            <w:tcMar>
              <w:top w:w="100" w:type="dxa"/>
              <w:start w:w="120" w:type="dxa"/>
              <w:bottom w:w="100" w:type="dxa"/>
              <w:end w:w="120" w:type="dxa"/>
            </w:tcMar>
            <w:shd w:fill="EAF1F8"/>
          </w:tcPr>
          <w:p>
            <w:pPr>
              <w:spacing w:after="0"/>
            </w:pPr>
            <w:r>
              <w:rPr>
                <w:sz w:val="18"/>
              </w:rPr>
              <w:t>Jurídico e contratos</w:t>
            </w:r>
          </w:p>
        </w:tc>
        <w:tc>
          <w:tcPr>
            <w:tcW w:type="dxa" w:w="5112"/>
            <w:vAlign w:val="center"/>
            <w:tcMar>
              <w:top w:w="100" w:type="dxa"/>
              <w:start w:w="120" w:type="dxa"/>
              <w:bottom w:w="100" w:type="dxa"/>
              <w:end w:w="120" w:type="dxa"/>
            </w:tcMar>
            <w:shd w:fill="EAF1F8"/>
          </w:tcPr>
          <w:p>
            <w:pPr>
              <w:spacing w:after="0"/>
            </w:pPr>
            <w:r>
              <w:rPr>
                <w:sz w:val="18"/>
              </w:rPr>
              <w:t>Contrato, itens, vigência, plano e SLA</w:t>
            </w:r>
          </w:p>
        </w:tc>
      </w:tr>
      <w:tr>
        <w:tc>
          <w:tcPr>
            <w:tcW w:type="dxa" w:w="2088"/>
            <w:vAlign w:val="center"/>
            <w:tcMar>
              <w:top w:w="100" w:type="dxa"/>
              <w:start w:w="120" w:type="dxa"/>
              <w:bottom w:w="100" w:type="dxa"/>
              <w:end w:w="120" w:type="dxa"/>
            </w:tcMar>
          </w:tcPr>
          <w:p>
            <w:pPr>
              <w:spacing w:after="0"/>
            </w:pPr>
            <w:r>
              <w:rPr>
                <w:sz w:val="18"/>
              </w:rPr>
              <w:t>Financeiro</w:t>
            </w:r>
          </w:p>
        </w:tc>
        <w:tc>
          <w:tcPr>
            <w:tcW w:type="dxa" w:w="2376"/>
            <w:vAlign w:val="center"/>
            <w:tcMar>
              <w:top w:w="100" w:type="dxa"/>
              <w:start w:w="120" w:type="dxa"/>
              <w:bottom w:w="100" w:type="dxa"/>
              <w:end w:w="120" w:type="dxa"/>
            </w:tcMar>
          </w:tcPr>
          <w:p>
            <w:pPr>
              <w:spacing w:after="0"/>
            </w:pPr>
            <w:r>
              <w:rPr>
                <w:sz w:val="18"/>
              </w:rPr>
              <w:t>Financeiro</w:t>
            </w:r>
          </w:p>
        </w:tc>
        <w:tc>
          <w:tcPr>
            <w:tcW w:type="dxa" w:w="5112"/>
            <w:vAlign w:val="center"/>
            <w:tcMar>
              <w:top w:w="100" w:type="dxa"/>
              <w:start w:w="120" w:type="dxa"/>
              <w:bottom w:w="100" w:type="dxa"/>
              <w:end w:w="120" w:type="dxa"/>
            </w:tcMar>
          </w:tcPr>
          <w:p>
            <w:pPr>
              <w:spacing w:after="0"/>
            </w:pPr>
            <w:r>
              <w:rPr>
                <w:sz w:val="18"/>
              </w:rPr>
              <w:t>Cobrança, vencimento, pagamento e inadimplência</w:t>
            </w:r>
          </w:p>
        </w:tc>
      </w:tr>
      <w:tr>
        <w:tc>
          <w:tcPr>
            <w:tcW w:type="dxa" w:w="2088"/>
            <w:vAlign w:val="center"/>
            <w:tcMar>
              <w:top w:w="100" w:type="dxa"/>
              <w:start w:w="120" w:type="dxa"/>
              <w:bottom w:w="100" w:type="dxa"/>
              <w:end w:w="120" w:type="dxa"/>
            </w:tcMar>
            <w:shd w:fill="EAF1F8"/>
          </w:tcPr>
          <w:p>
            <w:pPr>
              <w:spacing w:after="0"/>
            </w:pPr>
            <w:r>
              <w:rPr>
                <w:sz w:val="18"/>
              </w:rPr>
              <w:t>Atendimento</w:t>
            </w:r>
          </w:p>
        </w:tc>
        <w:tc>
          <w:tcPr>
            <w:tcW w:type="dxa" w:w="2376"/>
            <w:vAlign w:val="center"/>
            <w:tcMar>
              <w:top w:w="100" w:type="dxa"/>
              <w:start w:w="120" w:type="dxa"/>
              <w:bottom w:w="100" w:type="dxa"/>
              <w:end w:w="120" w:type="dxa"/>
            </w:tcMar>
            <w:shd w:fill="EAF1F8"/>
          </w:tcPr>
          <w:p>
            <w:pPr>
              <w:spacing w:after="0"/>
            </w:pPr>
            <w:r>
              <w:rPr>
                <w:sz w:val="18"/>
              </w:rPr>
              <w:t>Agentes</w:t>
            </w:r>
          </w:p>
        </w:tc>
        <w:tc>
          <w:tcPr>
            <w:tcW w:type="dxa" w:w="5112"/>
            <w:vAlign w:val="center"/>
            <w:tcMar>
              <w:top w:w="100" w:type="dxa"/>
              <w:start w:w="120" w:type="dxa"/>
              <w:bottom w:w="100" w:type="dxa"/>
              <w:end w:w="120" w:type="dxa"/>
            </w:tcMar>
            <w:shd w:fill="EAF1F8"/>
          </w:tcPr>
          <w:p>
            <w:pPr>
              <w:spacing w:after="0"/>
            </w:pPr>
            <w:r>
              <w:rPr>
                <w:sz w:val="18"/>
              </w:rPr>
              <w:t>Chamado, prioridade, histórico e resolução</w:t>
            </w:r>
          </w:p>
        </w:tc>
      </w:tr>
      <w:tr>
        <w:tc>
          <w:tcPr>
            <w:tcW w:type="dxa" w:w="2088"/>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Operações e gestão</w:t>
            </w:r>
          </w:p>
        </w:tc>
        <w:tc>
          <w:tcPr>
            <w:tcW w:type="dxa" w:w="5112"/>
            <w:vAlign w:val="center"/>
            <w:tcMar>
              <w:top w:w="100" w:type="dxa"/>
              <w:start w:w="120" w:type="dxa"/>
              <w:bottom w:w="100" w:type="dxa"/>
              <w:end w:w="120" w:type="dxa"/>
            </w:tcMar>
          </w:tcPr>
          <w:p>
            <w:pPr>
              <w:spacing w:after="0"/>
            </w:pPr>
            <w:r>
              <w:rPr>
                <w:sz w:val="18"/>
              </w:rPr>
              <w:t>Instância, tarefa, responsável, prazo e estado</w:t>
            </w:r>
          </w:p>
        </w:tc>
      </w:tr>
    </w:tbl>
    <w:p>
      <w:pPr>
        <w:spacing w:after="40"/>
      </w:pPr>
    </w:p>
    <w:p>
      <w:pPr>
        <w:spacing w:after="160" w:line="276" w:lineRule="auto"/>
        <w:jc w:val="both"/>
      </w:pPr>
      <w:r>
        <w:t>A primeira hipótese de trabalho considera recadastro entre CRM e contratos. A segunda considera acionamento manual do financeiro e do onboarding após a ativação. A terceira considera que o atendimento consulta contrato e SLA por processo informal. O professor ou representante da organização deve validar essas hipóteses.</w:t>
      </w:r>
    </w:p>
    <w:p>
      <w:pPr>
        <w:pStyle w:val="Heading1"/>
        <w:pageBreakBefore/>
        <w:spacing w:before="160" w:after="240"/>
      </w:pPr>
      <w:r>
        <w:t>4 Cenário atual AS IS continuação</w:t>
      </w:r>
    </w:p>
    <w:p>
      <w:pPr>
        <w:pStyle w:val="Heading2"/>
      </w:pPr>
      <w:r>
        <w:t>4.1 Fluxo e dependências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152"/>
            <w:shd w:fill="17365D"/>
            <w:vAlign w:val="center"/>
            <w:tcMar>
              <w:top w:w="100" w:type="dxa"/>
              <w:start w:w="120" w:type="dxa"/>
              <w:bottom w:w="100" w:type="dxa"/>
              <w:end w:w="120" w:type="dxa"/>
            </w:tcMar>
          </w:tcPr>
          <w:p>
            <w:r>
              <w:rPr>
                <w:b/>
                <w:color w:val="FFFFFF"/>
              </w:rPr>
              <w:t>Etapa</w:t>
            </w:r>
          </w:p>
        </w:tc>
        <w:tc>
          <w:tcPr>
            <w:tcW w:type="dxa" w:w="1800"/>
            <w:shd w:fill="17365D"/>
            <w:vAlign w:val="center"/>
            <w:tcMar>
              <w:top w:w="100" w:type="dxa"/>
              <w:start w:w="120" w:type="dxa"/>
              <w:bottom w:w="100" w:type="dxa"/>
              <w:end w:w="120" w:type="dxa"/>
            </w:tcMar>
          </w:tcPr>
          <w:p>
            <w:r>
              <w:rPr>
                <w:b/>
                <w:color w:val="FFFFFF"/>
              </w:rPr>
              <w:t>Origem</w:t>
            </w:r>
          </w:p>
        </w:tc>
        <w:tc>
          <w:tcPr>
            <w:tcW w:type="dxa" w:w="2376"/>
            <w:shd w:fill="17365D"/>
            <w:vAlign w:val="center"/>
            <w:tcMar>
              <w:top w:w="100" w:type="dxa"/>
              <w:start w:w="120" w:type="dxa"/>
              <w:bottom w:w="100" w:type="dxa"/>
              <w:end w:w="120" w:type="dxa"/>
            </w:tcMar>
          </w:tcPr>
          <w:p>
            <w:r>
              <w:rPr>
                <w:b/>
                <w:color w:val="FFFFFF"/>
              </w:rPr>
              <w:t>Destino</w:t>
            </w:r>
          </w:p>
        </w:tc>
        <w:tc>
          <w:tcPr>
            <w:tcW w:type="dxa" w:w="4032"/>
            <w:shd w:fill="17365D"/>
            <w:vAlign w:val="center"/>
            <w:tcMar>
              <w:top w:w="100" w:type="dxa"/>
              <w:start w:w="120" w:type="dxa"/>
              <w:bottom w:w="100" w:type="dxa"/>
              <w:end w:w="120" w:type="dxa"/>
            </w:tcMar>
          </w:tcPr>
          <w:p>
            <w:r>
              <w:rPr>
                <w:b/>
                <w:color w:val="FFFFFF"/>
              </w:rPr>
              <w:t>Risco atual</w:t>
            </w:r>
          </w:p>
        </w:tc>
      </w:tr>
      <w:tr>
        <w:tc>
          <w:tcPr>
            <w:tcW w:type="dxa" w:w="1152"/>
            <w:vAlign w:val="center"/>
            <w:tcMar>
              <w:top w:w="100" w:type="dxa"/>
              <w:start w:w="120" w:type="dxa"/>
              <w:bottom w:w="100" w:type="dxa"/>
              <w:end w:w="120" w:type="dxa"/>
            </w:tcMar>
          </w:tcPr>
          <w:p>
            <w:pPr>
              <w:spacing w:after="0"/>
            </w:pPr>
            <w:r>
              <w:rPr>
                <w:sz w:val="18"/>
              </w:rPr>
              <w:t>Venda</w:t>
            </w:r>
          </w:p>
        </w:tc>
        <w:tc>
          <w:tcPr>
            <w:tcW w:type="dxa" w:w="1800"/>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Contratos</w:t>
            </w:r>
          </w:p>
        </w:tc>
        <w:tc>
          <w:tcPr>
            <w:tcW w:type="dxa" w:w="4032"/>
            <w:vAlign w:val="center"/>
            <w:tcMar>
              <w:top w:w="100" w:type="dxa"/>
              <w:start w:w="120" w:type="dxa"/>
              <w:bottom w:w="100" w:type="dxa"/>
              <w:end w:w="120" w:type="dxa"/>
            </w:tcMar>
          </w:tcPr>
          <w:p>
            <w:pPr>
              <w:spacing w:after="0"/>
            </w:pPr>
            <w:r>
              <w:rPr>
                <w:sz w:val="18"/>
              </w:rPr>
              <w:t>Recadastro e identificador divergente</w:t>
            </w:r>
          </w:p>
        </w:tc>
      </w:tr>
      <w:tr>
        <w:tc>
          <w:tcPr>
            <w:tcW w:type="dxa" w:w="1152"/>
            <w:vAlign w:val="center"/>
            <w:tcMar>
              <w:top w:w="100" w:type="dxa"/>
              <w:start w:w="120" w:type="dxa"/>
              <w:bottom w:w="100" w:type="dxa"/>
              <w:end w:w="120" w:type="dxa"/>
            </w:tcMar>
            <w:shd w:fill="EAF1F8"/>
          </w:tcPr>
          <w:p>
            <w:pPr>
              <w:spacing w:after="0"/>
            </w:pPr>
            <w:r>
              <w:rPr>
                <w:sz w:val="18"/>
              </w:rPr>
              <w:t>Ativação</w:t>
            </w:r>
          </w:p>
        </w:tc>
        <w:tc>
          <w:tcPr>
            <w:tcW w:type="dxa" w:w="1800"/>
            <w:vAlign w:val="center"/>
            <w:tcMar>
              <w:top w:w="100" w:type="dxa"/>
              <w:start w:w="120" w:type="dxa"/>
              <w:bottom w:w="100" w:type="dxa"/>
              <w:end w:w="120" w:type="dxa"/>
            </w:tcMar>
            <w:shd w:fill="EAF1F8"/>
          </w:tcPr>
          <w:p>
            <w:pPr>
              <w:spacing w:after="0"/>
            </w:pPr>
            <w:r>
              <w:rPr>
                <w:sz w:val="18"/>
              </w:rPr>
              <w:t>Contratos</w:t>
            </w:r>
          </w:p>
        </w:tc>
        <w:tc>
          <w:tcPr>
            <w:tcW w:type="dxa" w:w="2376"/>
            <w:vAlign w:val="center"/>
            <w:tcMar>
              <w:top w:w="100" w:type="dxa"/>
              <w:start w:w="120" w:type="dxa"/>
              <w:bottom w:w="100" w:type="dxa"/>
              <w:end w:w="120" w:type="dxa"/>
            </w:tcMar>
            <w:shd w:fill="EAF1F8"/>
          </w:tcPr>
          <w:p>
            <w:pPr>
              <w:spacing w:after="0"/>
            </w:pPr>
            <w:r>
              <w:rPr>
                <w:sz w:val="18"/>
              </w:rPr>
              <w:t>Financeiro</w:t>
            </w:r>
          </w:p>
        </w:tc>
        <w:tc>
          <w:tcPr>
            <w:tcW w:type="dxa" w:w="4032"/>
            <w:vAlign w:val="center"/>
            <w:tcMar>
              <w:top w:w="100" w:type="dxa"/>
              <w:start w:w="120" w:type="dxa"/>
              <w:bottom w:w="100" w:type="dxa"/>
              <w:end w:w="120" w:type="dxa"/>
            </w:tcMar>
            <w:shd w:fill="EAF1F8"/>
          </w:tcPr>
          <w:p>
            <w:pPr>
              <w:spacing w:after="0"/>
            </w:pPr>
            <w:r>
              <w:rPr>
                <w:sz w:val="18"/>
              </w:rPr>
              <w:t>Cobrança tardia ou ausente</w:t>
            </w:r>
          </w:p>
        </w:tc>
      </w:tr>
      <w:tr>
        <w:tc>
          <w:tcPr>
            <w:tcW w:type="dxa" w:w="1152"/>
            <w:vAlign w:val="center"/>
            <w:tcMar>
              <w:top w:w="100" w:type="dxa"/>
              <w:start w:w="120" w:type="dxa"/>
              <w:bottom w:w="100" w:type="dxa"/>
              <w:end w:w="120" w:type="dxa"/>
            </w:tcMar>
          </w:tcPr>
          <w:p>
            <w:pPr>
              <w:spacing w:after="0"/>
            </w:pPr>
            <w:r>
              <w:rPr>
                <w:sz w:val="18"/>
              </w:rPr>
              <w:t>Onboarding</w:t>
            </w:r>
          </w:p>
        </w:tc>
        <w:tc>
          <w:tcPr>
            <w:tcW w:type="dxa" w:w="1800"/>
            <w:vAlign w:val="center"/>
            <w:tcMar>
              <w:top w:w="100" w:type="dxa"/>
              <w:start w:w="120" w:type="dxa"/>
              <w:bottom w:w="100" w:type="dxa"/>
              <w:end w:w="120" w:type="dxa"/>
            </w:tcMar>
          </w:tcPr>
          <w:p>
            <w:pPr>
              <w:spacing w:after="0"/>
            </w:pPr>
            <w:r>
              <w:rPr>
                <w:sz w:val="18"/>
              </w:rPr>
              <w:t>Contratos</w:t>
            </w:r>
          </w:p>
        </w:tc>
        <w:tc>
          <w:tcPr>
            <w:tcW w:type="dxa" w:w="2376"/>
            <w:vAlign w:val="center"/>
            <w:tcMar>
              <w:top w:w="100" w:type="dxa"/>
              <w:start w:w="120" w:type="dxa"/>
              <w:bottom w:w="100" w:type="dxa"/>
              <w:end w:w="120" w:type="dxa"/>
            </w:tcMar>
          </w:tcPr>
          <w:p>
            <w:pPr>
              <w:spacing w:after="0"/>
            </w:pPr>
            <w:r>
              <w:rPr>
                <w:sz w:val="18"/>
              </w:rPr>
              <w:t>Gestão de processos</w:t>
            </w:r>
          </w:p>
        </w:tc>
        <w:tc>
          <w:tcPr>
            <w:tcW w:type="dxa" w:w="4032"/>
            <w:vAlign w:val="center"/>
            <w:tcMar>
              <w:top w:w="100" w:type="dxa"/>
              <w:start w:w="120" w:type="dxa"/>
              <w:bottom w:w="100" w:type="dxa"/>
              <w:end w:w="120" w:type="dxa"/>
            </w:tcMar>
          </w:tcPr>
          <w:p>
            <w:pPr>
              <w:spacing w:after="0"/>
            </w:pPr>
            <w:r>
              <w:rPr>
                <w:sz w:val="18"/>
              </w:rPr>
              <w:t>Início sem rastreabilidade</w:t>
            </w:r>
          </w:p>
        </w:tc>
      </w:tr>
      <w:tr>
        <w:tc>
          <w:tcPr>
            <w:tcW w:type="dxa" w:w="1152"/>
            <w:vAlign w:val="center"/>
            <w:tcMar>
              <w:top w:w="100" w:type="dxa"/>
              <w:start w:w="120" w:type="dxa"/>
              <w:bottom w:w="100" w:type="dxa"/>
              <w:end w:w="120" w:type="dxa"/>
            </w:tcMar>
            <w:shd w:fill="EAF1F8"/>
          </w:tcPr>
          <w:p>
            <w:pPr>
              <w:spacing w:after="0"/>
            </w:pPr>
            <w:r>
              <w:rPr>
                <w:sz w:val="18"/>
              </w:rPr>
              <w:t>Suporte</w:t>
            </w:r>
          </w:p>
        </w:tc>
        <w:tc>
          <w:tcPr>
            <w:tcW w:type="dxa" w:w="1800"/>
            <w:vAlign w:val="center"/>
            <w:tcMar>
              <w:top w:w="100" w:type="dxa"/>
              <w:start w:w="120" w:type="dxa"/>
              <w:bottom w:w="100" w:type="dxa"/>
              <w:end w:w="120" w:type="dxa"/>
            </w:tcMar>
            <w:shd w:fill="EAF1F8"/>
          </w:tcPr>
          <w:p>
            <w:pPr>
              <w:spacing w:after="0"/>
            </w:pPr>
            <w:r>
              <w:rPr>
                <w:sz w:val="18"/>
              </w:rPr>
              <w:t>Atendimento</w:t>
            </w:r>
          </w:p>
        </w:tc>
        <w:tc>
          <w:tcPr>
            <w:tcW w:type="dxa" w:w="2376"/>
            <w:vAlign w:val="center"/>
            <w:tcMar>
              <w:top w:w="100" w:type="dxa"/>
              <w:start w:w="120" w:type="dxa"/>
              <w:bottom w:w="100" w:type="dxa"/>
              <w:end w:w="120" w:type="dxa"/>
            </w:tcMar>
            <w:shd w:fill="EAF1F8"/>
          </w:tcPr>
          <w:p>
            <w:pPr>
              <w:spacing w:after="0"/>
            </w:pPr>
            <w:r>
              <w:rPr>
                <w:sz w:val="18"/>
              </w:rPr>
              <w:t>Contratos</w:t>
            </w:r>
          </w:p>
        </w:tc>
        <w:tc>
          <w:tcPr>
            <w:tcW w:type="dxa" w:w="4032"/>
            <w:vAlign w:val="center"/>
            <w:tcMar>
              <w:top w:w="100" w:type="dxa"/>
              <w:start w:w="120" w:type="dxa"/>
              <w:bottom w:w="100" w:type="dxa"/>
              <w:end w:w="120" w:type="dxa"/>
            </w:tcMar>
            <w:shd w:fill="EAF1F8"/>
          </w:tcPr>
          <w:p>
            <w:pPr>
              <w:spacing w:after="0"/>
            </w:pPr>
            <w:r>
              <w:rPr>
                <w:sz w:val="18"/>
              </w:rPr>
              <w:t>SLA incorreto ou indisponível</w:t>
            </w:r>
          </w:p>
        </w:tc>
      </w:tr>
      <w:tr>
        <w:tc>
          <w:tcPr>
            <w:tcW w:type="dxa" w:w="1152"/>
            <w:vAlign w:val="center"/>
            <w:tcMar>
              <w:top w:w="100" w:type="dxa"/>
              <w:start w:w="120" w:type="dxa"/>
              <w:bottom w:w="100" w:type="dxa"/>
              <w:end w:w="120" w:type="dxa"/>
            </w:tcMar>
          </w:tcPr>
          <w:p>
            <w:pPr>
              <w:spacing w:after="0"/>
            </w:pPr>
            <w:r>
              <w:rPr>
                <w:sz w:val="18"/>
              </w:rPr>
              <w:t>Resolução</w:t>
            </w:r>
          </w:p>
        </w:tc>
        <w:tc>
          <w:tcPr>
            <w:tcW w:type="dxa" w:w="1800"/>
            <w:vAlign w:val="center"/>
            <w:tcMar>
              <w:top w:w="100" w:type="dxa"/>
              <w:start w:w="120" w:type="dxa"/>
              <w:bottom w:w="100" w:type="dxa"/>
              <w:end w:w="120" w:type="dxa"/>
            </w:tcMar>
          </w:tcPr>
          <w:p>
            <w:pPr>
              <w:spacing w:after="0"/>
            </w:pPr>
            <w:r>
              <w:rPr>
                <w:sz w:val="18"/>
              </w:rPr>
              <w:t>Atendimento</w:t>
            </w:r>
          </w:p>
        </w:tc>
        <w:tc>
          <w:tcPr>
            <w:tcW w:type="dxa" w:w="2376"/>
            <w:vAlign w:val="center"/>
            <w:tcMar>
              <w:top w:w="100" w:type="dxa"/>
              <w:start w:w="120" w:type="dxa"/>
              <w:bottom w:w="100" w:type="dxa"/>
              <w:end w:w="120" w:type="dxa"/>
            </w:tcMar>
          </w:tcPr>
          <w:p>
            <w:pPr>
              <w:spacing w:after="0"/>
            </w:pPr>
            <w:r>
              <w:rPr>
                <w:sz w:val="18"/>
              </w:rPr>
              <w:t>Gestão de processos</w:t>
            </w:r>
          </w:p>
        </w:tc>
        <w:tc>
          <w:tcPr>
            <w:tcW w:type="dxa" w:w="4032"/>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2"/>
      </w:pPr>
      <w:r>
        <w:t>4.2 Necessidades</w:t>
      </w:r>
    </w:p>
    <w:p>
      <w:pPr>
        <w:pStyle w:val="ListBullet"/>
        <w:spacing w:after="80"/>
      </w:pPr>
      <w:r>
        <w:t>Uma identidade global que mantenha relações com identificadores legados.</w:t>
      </w:r>
    </w:p>
    <w:p>
      <w:pPr>
        <w:pStyle w:val="ListBullet"/>
        <w:spacing w:after="80"/>
      </w:pPr>
      <w:r>
        <w:t>Contratos versionados para comandos, consultas e eventos.</w:t>
      </w:r>
    </w:p>
    <w:p>
      <w:pPr>
        <w:pStyle w:val="ListBullet"/>
        <w:spacing w:after="80"/>
      </w:pPr>
      <w:r>
        <w:t>Entrega confiável com repetição segura e tratamento de falha permanente.</w:t>
      </w:r>
    </w:p>
    <w:p>
      <w:pPr>
        <w:pStyle w:val="ListBullet"/>
        <w:spacing w:after="80"/>
      </w:pPr>
      <w:r>
        <w:t>Rastreabilidade por correlação, auditoria, métricas e logs estruturados.</w:t>
      </w:r>
    </w:p>
    <w:p>
      <w:pPr>
        <w:pStyle w:val="ListBullet"/>
        <w:spacing w:after="80"/>
      </w:pPr>
      <w:r>
        <w:t>Fronteiras que preservem a fonte oficial e impeçam acesso cruzado ao banco.</w:t>
      </w:r>
    </w:p>
    <w:p>
      <w:pPr>
        <w:spacing w:after="160" w:line="276" w:lineRule="auto"/>
        <w:jc w:val="both"/>
      </w:pPr>
      <w:r>
        <w:t>A análise AS-IS orienta a solução, mas a arquitetura admite adaptadores diferentes quando a descoberta real identificar APIs, arquivos, webhooks ou bancos legados.</w:t>
      </w:r>
    </w:p>
    <w:p>
      <w:pPr>
        <w:pStyle w:val="Heading1"/>
        <w:pageBreakBefore/>
        <w:spacing w:before="160" w:after="240"/>
      </w:pPr>
      <w:r>
        <w:t>5 Requisitos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080"/>
            <w:shd w:fill="17365D"/>
            <w:vAlign w:val="center"/>
            <w:tcMar>
              <w:top w:w="100" w:type="dxa"/>
              <w:start w:w="120" w:type="dxa"/>
              <w:bottom w:w="100" w:type="dxa"/>
              <w:end w:w="120" w:type="dxa"/>
            </w:tcMar>
          </w:tcPr>
          <w:p>
            <w:r>
              <w:rPr>
                <w:b/>
                <w:color w:val="FFFFFF"/>
              </w:rPr>
              <w:t>ID</w:t>
            </w:r>
          </w:p>
        </w:tc>
        <w:tc>
          <w:tcPr>
            <w:tcW w:type="dxa" w:w="3384"/>
            <w:shd w:fill="17365D"/>
            <w:vAlign w:val="center"/>
            <w:tcMar>
              <w:top w:w="100" w:type="dxa"/>
              <w:start w:w="120" w:type="dxa"/>
              <w:bottom w:w="100" w:type="dxa"/>
              <w:end w:w="120" w:type="dxa"/>
            </w:tcMar>
          </w:tcPr>
          <w:p>
            <w:r>
              <w:rPr>
                <w:b/>
                <w:color w:val="FFFFFF"/>
              </w:rPr>
              <w:t>Requisito</w:t>
            </w:r>
          </w:p>
        </w:tc>
        <w:tc>
          <w:tcPr>
            <w:tcW w:type="dxa" w:w="5112"/>
            <w:shd w:fill="17365D"/>
            <w:vAlign w:val="center"/>
            <w:tcMar>
              <w:top w:w="100" w:type="dxa"/>
              <w:start w:w="120" w:type="dxa"/>
              <w:bottom w:w="100" w:type="dxa"/>
              <w:end w:w="120" w:type="dxa"/>
            </w:tcMar>
          </w:tcPr>
          <w:p>
            <w:r>
              <w:rPr>
                <w:b/>
                <w:color w:val="FFFFFF"/>
              </w:rPr>
              <w:t>Critério de aceite</w:t>
            </w:r>
          </w:p>
        </w:tc>
      </w:tr>
      <w:tr>
        <w:tc>
          <w:tcPr>
            <w:tcW w:type="dxa" w:w="1080"/>
            <w:vAlign w:val="center"/>
            <w:tcMar>
              <w:top w:w="100" w:type="dxa"/>
              <w:start w:w="120" w:type="dxa"/>
              <w:bottom w:w="100" w:type="dxa"/>
              <w:end w:w="120" w:type="dxa"/>
            </w:tcMar>
          </w:tcPr>
          <w:p>
            <w:pPr>
              <w:spacing w:after="0"/>
            </w:pPr>
            <w:r>
              <w:rPr>
                <w:sz w:val="18"/>
              </w:rPr>
              <w:t>RF-01</w:t>
            </w:r>
          </w:p>
        </w:tc>
        <w:tc>
          <w:tcPr>
            <w:tcW w:type="dxa" w:w="3384"/>
            <w:vAlign w:val="center"/>
            <w:tcMar>
              <w:top w:w="100" w:type="dxa"/>
              <w:start w:w="120" w:type="dxa"/>
              <w:bottom w:w="100" w:type="dxa"/>
              <w:end w:w="120" w:type="dxa"/>
            </w:tcMar>
          </w:tcPr>
          <w:p>
            <w:pPr>
              <w:spacing w:after="0"/>
            </w:pPr>
            <w:r>
              <w:rPr>
                <w:sz w:val="18"/>
              </w:rPr>
              <w:t>Identidade única de cliente</w:t>
            </w:r>
          </w:p>
        </w:tc>
        <w:tc>
          <w:tcPr>
            <w:tcW w:type="dxa" w:w="5112"/>
            <w:vAlign w:val="center"/>
            <w:tcMar>
              <w:top w:w="100" w:type="dxa"/>
              <w:start w:w="120" w:type="dxa"/>
              <w:bottom w:w="100" w:type="dxa"/>
              <w:end w:w="120" w:type="dxa"/>
            </w:tcMar>
          </w:tcPr>
          <w:p>
            <w:pPr>
              <w:spacing w:after="0"/>
            </w:pPr>
            <w:r>
              <w:rPr>
                <w:sz w:val="18"/>
              </w:rPr>
              <w:t>UUID global e IDs legados associados</w:t>
            </w:r>
          </w:p>
        </w:tc>
      </w:tr>
      <w:tr>
        <w:tc>
          <w:tcPr>
            <w:tcW w:type="dxa" w:w="1080"/>
            <w:vAlign w:val="center"/>
            <w:tcMar>
              <w:top w:w="100" w:type="dxa"/>
              <w:start w:w="120" w:type="dxa"/>
              <w:bottom w:w="100" w:type="dxa"/>
              <w:end w:w="120" w:type="dxa"/>
            </w:tcMar>
            <w:shd w:fill="EAF1F8"/>
          </w:tcPr>
          <w:p>
            <w:pPr>
              <w:spacing w:after="0"/>
            </w:pPr>
            <w:r>
              <w:rPr>
                <w:sz w:val="18"/>
              </w:rPr>
              <w:t>RF-02</w:t>
            </w:r>
          </w:p>
        </w:tc>
        <w:tc>
          <w:tcPr>
            <w:tcW w:type="dxa" w:w="3384"/>
            <w:vAlign w:val="center"/>
            <w:tcMar>
              <w:top w:w="100" w:type="dxa"/>
              <w:start w:w="120" w:type="dxa"/>
              <w:bottom w:w="100" w:type="dxa"/>
              <w:end w:w="120" w:type="dxa"/>
            </w:tcMar>
            <w:shd w:fill="EAF1F8"/>
          </w:tcPr>
          <w:p>
            <w:pPr>
              <w:spacing w:after="0"/>
            </w:pPr>
            <w:r>
              <w:rPr>
                <w:sz w:val="18"/>
              </w:rPr>
              <w:t>Criar contrato a partir do CRM</w:t>
            </w:r>
          </w:p>
        </w:tc>
        <w:tc>
          <w:tcPr>
            <w:tcW w:type="dxa" w:w="5112"/>
            <w:vAlign w:val="center"/>
            <w:tcMar>
              <w:top w:w="100" w:type="dxa"/>
              <w:start w:w="120" w:type="dxa"/>
              <w:bottom w:w="100" w:type="dxa"/>
              <w:end w:w="120" w:type="dxa"/>
            </w:tcMar>
            <w:shd w:fill="EAF1F8"/>
          </w:tcPr>
          <w:p>
            <w:pPr>
              <w:spacing w:after="0"/>
            </w:pPr>
            <w:r>
              <w:rPr>
                <w:sz w:val="18"/>
              </w:rPr>
              <w:t>Rascunho sem recadastro</w:t>
            </w:r>
          </w:p>
        </w:tc>
      </w:tr>
      <w:tr>
        <w:tc>
          <w:tcPr>
            <w:tcW w:type="dxa" w:w="1080"/>
            <w:vAlign w:val="center"/>
            <w:tcMar>
              <w:top w:w="100" w:type="dxa"/>
              <w:start w:w="120" w:type="dxa"/>
              <w:bottom w:w="100" w:type="dxa"/>
              <w:end w:w="120" w:type="dxa"/>
            </w:tcMar>
          </w:tcPr>
          <w:p>
            <w:pPr>
              <w:spacing w:after="0"/>
            </w:pPr>
            <w:r>
              <w:rPr>
                <w:sz w:val="18"/>
              </w:rPr>
              <w:t>RF-03</w:t>
            </w:r>
          </w:p>
        </w:tc>
        <w:tc>
          <w:tcPr>
            <w:tcW w:type="dxa" w:w="3384"/>
            <w:vAlign w:val="center"/>
            <w:tcMar>
              <w:top w:w="100" w:type="dxa"/>
              <w:start w:w="120" w:type="dxa"/>
              <w:bottom w:w="100" w:type="dxa"/>
              <w:end w:w="120" w:type="dxa"/>
            </w:tcMar>
          </w:tcPr>
          <w:p>
            <w:pPr>
              <w:spacing w:after="0"/>
            </w:pPr>
            <w:r>
              <w:rPr>
                <w:sz w:val="18"/>
              </w:rPr>
              <w:t>Ativar, faturar e iniciar onboarding</w:t>
            </w:r>
          </w:p>
        </w:tc>
        <w:tc>
          <w:tcPr>
            <w:tcW w:type="dxa" w:w="5112"/>
            <w:vAlign w:val="center"/>
            <w:tcMar>
              <w:top w:w="100" w:type="dxa"/>
              <w:start w:w="120" w:type="dxa"/>
              <w:bottom w:w="100" w:type="dxa"/>
              <w:end w:w="120" w:type="dxa"/>
            </w:tcMar>
          </w:tcPr>
          <w:p>
            <w:pPr>
              <w:spacing w:after="0"/>
            </w:pPr>
            <w:r>
              <w:rPr>
                <w:sz w:val="18"/>
              </w:rPr>
              <w:t>Efeitos únicos após repetição</w:t>
            </w:r>
          </w:p>
        </w:tc>
      </w:tr>
      <w:tr>
        <w:tc>
          <w:tcPr>
            <w:tcW w:type="dxa" w:w="1080"/>
            <w:vAlign w:val="center"/>
            <w:tcMar>
              <w:top w:w="100" w:type="dxa"/>
              <w:start w:w="120" w:type="dxa"/>
              <w:bottom w:w="100" w:type="dxa"/>
              <w:end w:w="120" w:type="dxa"/>
            </w:tcMar>
            <w:shd w:fill="EAF1F8"/>
          </w:tcPr>
          <w:p>
            <w:pPr>
              <w:spacing w:after="0"/>
            </w:pPr>
            <w:r>
              <w:rPr>
                <w:sz w:val="18"/>
              </w:rPr>
              <w:t>RF-04</w:t>
            </w:r>
          </w:p>
        </w:tc>
        <w:tc>
          <w:tcPr>
            <w:tcW w:type="dxa" w:w="3384"/>
            <w:vAlign w:val="center"/>
            <w:tcMar>
              <w:top w:w="100" w:type="dxa"/>
              <w:start w:w="120" w:type="dxa"/>
              <w:bottom w:w="100" w:type="dxa"/>
              <w:end w:w="120" w:type="dxa"/>
            </w:tcMar>
            <w:shd w:fill="EAF1F8"/>
          </w:tcPr>
          <w:p>
            <w:pPr>
              <w:spacing w:after="0"/>
            </w:pPr>
            <w:r>
              <w:rPr>
                <w:sz w:val="18"/>
              </w:rPr>
              <w:t>Abrir chamado com contrato e SLA</w:t>
            </w:r>
          </w:p>
        </w:tc>
        <w:tc>
          <w:tcPr>
            <w:tcW w:type="dxa" w:w="5112"/>
            <w:vAlign w:val="center"/>
            <w:tcMar>
              <w:top w:w="100" w:type="dxa"/>
              <w:start w:w="120" w:type="dxa"/>
              <w:bottom w:w="100" w:type="dxa"/>
              <w:end w:w="120" w:type="dxa"/>
            </w:tcMar>
            <w:shd w:fill="EAF1F8"/>
          </w:tcPr>
          <w:p>
            <w:pPr>
              <w:spacing w:after="0"/>
            </w:pPr>
            <w:r>
              <w:rPr>
                <w:sz w:val="18"/>
              </w:rPr>
              <w:t>Elegibilidade e prazo registrados</w:t>
            </w:r>
          </w:p>
        </w:tc>
      </w:tr>
      <w:tr>
        <w:tc>
          <w:tcPr>
            <w:tcW w:type="dxa" w:w="1080"/>
            <w:vAlign w:val="center"/>
            <w:tcMar>
              <w:top w:w="100" w:type="dxa"/>
              <w:start w:w="120" w:type="dxa"/>
              <w:bottom w:w="100" w:type="dxa"/>
              <w:end w:w="120" w:type="dxa"/>
            </w:tcMar>
          </w:tcPr>
          <w:p>
            <w:pPr>
              <w:spacing w:after="0"/>
            </w:pPr>
            <w:r>
              <w:rPr>
                <w:sz w:val="18"/>
              </w:rPr>
              <w:t>RF-05</w:t>
            </w:r>
          </w:p>
        </w:tc>
        <w:tc>
          <w:tcPr>
            <w:tcW w:type="dxa" w:w="3384"/>
            <w:vAlign w:val="center"/>
            <w:tcMar>
              <w:top w:w="100" w:type="dxa"/>
              <w:start w:w="120" w:type="dxa"/>
              <w:bottom w:w="100" w:type="dxa"/>
              <w:end w:w="120" w:type="dxa"/>
            </w:tcMar>
          </w:tcPr>
          <w:p>
            <w:pPr>
              <w:spacing w:after="0"/>
            </w:pPr>
            <w:r>
              <w:rPr>
                <w:sz w:val="18"/>
              </w:rPr>
              <w:t>Propagar cadastro</w:t>
            </w:r>
          </w:p>
        </w:tc>
        <w:tc>
          <w:tcPr>
            <w:tcW w:type="dxa" w:w="5112"/>
            <w:vAlign w:val="center"/>
            <w:tcMar>
              <w:top w:w="100" w:type="dxa"/>
              <w:start w:w="120" w:type="dxa"/>
              <w:bottom w:w="100" w:type="dxa"/>
              <w:end w:w="120" w:type="dxa"/>
            </w:tcMar>
          </w:tcPr>
          <w:p>
            <w:pPr>
              <w:spacing w:after="0"/>
            </w:pPr>
            <w:r>
              <w:rPr>
                <w:sz w:val="18"/>
              </w:rPr>
              <w:t>Evento consumido e auditado</w:t>
            </w:r>
          </w:p>
        </w:tc>
      </w:tr>
      <w:tr>
        <w:tc>
          <w:tcPr>
            <w:tcW w:type="dxa" w:w="1080"/>
            <w:vAlign w:val="center"/>
            <w:tcMar>
              <w:top w:w="100" w:type="dxa"/>
              <w:start w:w="120" w:type="dxa"/>
              <w:bottom w:w="100" w:type="dxa"/>
              <w:end w:w="120" w:type="dxa"/>
            </w:tcMar>
            <w:shd w:fill="EAF1F8"/>
          </w:tcPr>
          <w:p>
            <w:pPr>
              <w:spacing w:after="0"/>
            </w:pPr>
            <w:r>
              <w:rPr>
                <w:sz w:val="18"/>
              </w:rPr>
              <w:t>RF-06</w:t>
            </w:r>
          </w:p>
        </w:tc>
        <w:tc>
          <w:tcPr>
            <w:tcW w:type="dxa" w:w="3384"/>
            <w:vAlign w:val="center"/>
            <w:tcMar>
              <w:top w:w="100" w:type="dxa"/>
              <w:start w:w="120" w:type="dxa"/>
              <w:bottom w:w="100" w:type="dxa"/>
              <w:end w:w="120" w:type="dxa"/>
            </w:tcMar>
            <w:shd w:fill="EAF1F8"/>
          </w:tcPr>
          <w:p>
            <w:pPr>
              <w:spacing w:after="0"/>
            </w:pPr>
            <w:r>
              <w:rPr>
                <w:sz w:val="18"/>
              </w:rPr>
              <w:t>Consultar operação</w:t>
            </w:r>
          </w:p>
        </w:tc>
        <w:tc>
          <w:tcPr>
            <w:tcW w:type="dxa" w:w="5112"/>
            <w:vAlign w:val="center"/>
            <w:tcMar>
              <w:top w:w="100" w:type="dxa"/>
              <w:start w:w="120" w:type="dxa"/>
              <w:bottom w:w="100" w:type="dxa"/>
              <w:end w:w="120" w:type="dxa"/>
            </w:tcMar>
            <w:shd w:fill="EAF1F8"/>
          </w:tcPr>
          <w:p>
            <w:pPr>
              <w:spacing w:after="0"/>
            </w:pPr>
            <w:r>
              <w:rPr>
                <w:sz w:val="18"/>
              </w:rPr>
              <w:t>Trilha por correlationId</w:t>
            </w:r>
          </w:p>
        </w:tc>
      </w:tr>
      <w:tr>
        <w:tc>
          <w:tcPr>
            <w:tcW w:type="dxa" w:w="1080"/>
            <w:vAlign w:val="center"/>
            <w:tcMar>
              <w:top w:w="100" w:type="dxa"/>
              <w:start w:w="120" w:type="dxa"/>
              <w:bottom w:w="100" w:type="dxa"/>
              <w:end w:w="120" w:type="dxa"/>
            </w:tcMar>
          </w:tcPr>
          <w:p>
            <w:pPr>
              <w:spacing w:after="0"/>
            </w:pPr>
            <w:r>
              <w:rPr>
                <w:sz w:val="18"/>
              </w:rPr>
              <w:t>RF-07</w:t>
            </w:r>
          </w:p>
        </w:tc>
        <w:tc>
          <w:tcPr>
            <w:tcW w:type="dxa" w:w="3384"/>
            <w:vAlign w:val="center"/>
            <w:tcMar>
              <w:top w:w="100" w:type="dxa"/>
              <w:start w:w="120" w:type="dxa"/>
              <w:bottom w:w="100" w:type="dxa"/>
              <w:end w:w="120" w:type="dxa"/>
            </w:tcMar>
          </w:tcPr>
          <w:p>
            <w:pPr>
              <w:spacing w:after="0"/>
            </w:pPr>
            <w:r>
              <w:rPr>
                <w:sz w:val="18"/>
              </w:rPr>
              <w:t>Reprocessar falha</w:t>
            </w:r>
          </w:p>
        </w:tc>
        <w:tc>
          <w:tcPr>
            <w:tcW w:type="dxa" w:w="5112"/>
            <w:vAlign w:val="center"/>
            <w:tcMar>
              <w:top w:w="100" w:type="dxa"/>
              <w:start w:w="120" w:type="dxa"/>
              <w:bottom w:w="100" w:type="dxa"/>
              <w:end w:w="120" w:type="dxa"/>
            </w:tcMar>
          </w:tcPr>
          <w:p>
            <w:pPr>
              <w:spacing w:after="0"/>
            </w:pPr>
            <w:r>
              <w:rPr>
                <w:sz w:val="18"/>
              </w:rPr>
              <w:t>Motivo consultável e repetição segura</w:t>
            </w:r>
          </w:p>
        </w:tc>
      </w:tr>
    </w:tbl>
    <w:p>
      <w:pPr>
        <w:spacing w:after="40"/>
      </w:pPr>
    </w:p>
    <w:p>
      <w:pPr>
        <w:spacing w:after="160" w:line="276" w:lineRule="auto"/>
        <w:jc w:val="both"/>
      </w:pPr>
      <w:r>
        <w:t>Os requisitos não funcionais priorizam interoperabilidade, confiabilidade, segurança, observabilidade e manutenibilidade. Disponibilidade orienta a degradação do atendimento. A meta de desempenho fixa p95 inferior a 500 ms para consultas locais. Escalabilidade e testabilidade sustentam a evolução.</w:t>
      </w:r>
    </w:p>
    <w:p>
      <w:pPr>
        <w:pStyle w:val="Heading1"/>
        <w:pageBreakBefore/>
        <w:spacing w:before="160" w:after="240"/>
      </w:pPr>
      <w:r>
        <w:t>6 Arquitetura proposta TO BE</w:t>
      </w:r>
    </w:p>
    <w:p>
      <w:pPr>
        <w:spacing w:after="160" w:line="276" w:lineRule="auto"/>
        <w:jc w:val="both"/>
      </w:pPr>
      <w:r>
        <w:t>A decisão adota SOA pragmática em monólito modular. CRM, Contracts, Finance, Support e Workflow contêm regras e dados próprios. Integration mantém identidade legada, correlação, idempotência, outbox, inbox, auditoria e falhas. A aplicação oferece APIs em `/api/v1`.</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728"/>
            <w:shd w:fill="17365D"/>
            <w:vAlign w:val="center"/>
            <w:tcMar>
              <w:top w:w="100" w:type="dxa"/>
              <w:start w:w="120" w:type="dxa"/>
              <w:bottom w:w="100" w:type="dxa"/>
              <w:end w:w="120" w:type="dxa"/>
            </w:tcMar>
          </w:tcPr>
          <w:p>
            <w:r>
              <w:rPr>
                <w:b/>
                <w:color w:val="FFFFFF"/>
              </w:rPr>
              <w:t>Contexto</w:t>
            </w:r>
          </w:p>
        </w:tc>
        <w:tc>
          <w:tcPr>
            <w:tcW w:type="dxa" w:w="3672"/>
            <w:shd w:fill="17365D"/>
            <w:vAlign w:val="center"/>
            <w:tcMar>
              <w:top w:w="100" w:type="dxa"/>
              <w:start w:w="120" w:type="dxa"/>
              <w:bottom w:w="100" w:type="dxa"/>
              <w:end w:w="120" w:type="dxa"/>
            </w:tcMar>
          </w:tcPr>
          <w:p>
            <w:r>
              <w:rPr>
                <w:b/>
                <w:color w:val="FFFFFF"/>
              </w:rPr>
              <w:t>Responsabilidade</w:t>
            </w:r>
          </w:p>
        </w:tc>
        <w:tc>
          <w:tcPr>
            <w:tcW w:type="dxa" w:w="4176"/>
            <w:shd w:fill="17365D"/>
            <w:vAlign w:val="center"/>
            <w:tcMar>
              <w:top w:w="100" w:type="dxa"/>
              <w:start w:w="120" w:type="dxa"/>
              <w:bottom w:w="100" w:type="dxa"/>
              <w:end w:w="120" w:type="dxa"/>
            </w:tcMar>
          </w:tcPr>
          <w:p>
            <w:r>
              <w:rPr>
                <w:b/>
                <w:color w:val="FFFFFF"/>
              </w:rPr>
              <w:t>Interface</w:t>
            </w:r>
          </w:p>
        </w:tc>
      </w:tr>
      <w:tr>
        <w:tc>
          <w:tcPr>
            <w:tcW w:type="dxa" w:w="1728"/>
            <w:vAlign w:val="center"/>
            <w:tcMar>
              <w:top w:w="100" w:type="dxa"/>
              <w:start w:w="120" w:type="dxa"/>
              <w:bottom w:w="100" w:type="dxa"/>
              <w:end w:w="120" w:type="dxa"/>
            </w:tcMar>
          </w:tcPr>
          <w:p>
            <w:pPr>
              <w:spacing w:after="0"/>
            </w:pPr>
            <w:r>
              <w:rPr>
                <w:sz w:val="18"/>
              </w:rPr>
              <w:t>CRM</w:t>
            </w:r>
          </w:p>
        </w:tc>
        <w:tc>
          <w:tcPr>
            <w:tcW w:type="dxa" w:w="3672"/>
            <w:vAlign w:val="center"/>
            <w:tcMar>
              <w:top w:w="100" w:type="dxa"/>
              <w:start w:w="120" w:type="dxa"/>
              <w:bottom w:w="100" w:type="dxa"/>
              <w:end w:w="120" w:type="dxa"/>
            </w:tcMar>
          </w:tcPr>
          <w:p>
            <w:pPr>
              <w:spacing w:after="0"/>
            </w:pPr>
            <w:r>
              <w:rPr>
                <w:sz w:val="18"/>
              </w:rPr>
              <w:t>Cadastro e elegibilidade</w:t>
            </w:r>
          </w:p>
        </w:tc>
        <w:tc>
          <w:tcPr>
            <w:tcW w:type="dxa" w:w="4176"/>
            <w:vAlign w:val="center"/>
            <w:tcMar>
              <w:top w:w="100" w:type="dxa"/>
              <w:start w:w="120" w:type="dxa"/>
              <w:bottom w:w="100" w:type="dxa"/>
              <w:end w:w="120" w:type="dxa"/>
            </w:tcMar>
          </w:tcPr>
          <w:p>
            <w:pPr>
              <w:spacing w:after="0"/>
            </w:pPr>
            <w:r>
              <w:rPr>
                <w:sz w:val="18"/>
              </w:rPr>
              <w:t>CustomerReader</w:t>
            </w:r>
          </w:p>
        </w:tc>
      </w:tr>
      <w:tr>
        <w:tc>
          <w:tcPr>
            <w:tcW w:type="dxa" w:w="1728"/>
            <w:vAlign w:val="center"/>
            <w:tcMar>
              <w:top w:w="100" w:type="dxa"/>
              <w:start w:w="120" w:type="dxa"/>
              <w:bottom w:w="100" w:type="dxa"/>
              <w:end w:w="120" w:type="dxa"/>
            </w:tcMar>
            <w:shd w:fill="EAF1F8"/>
          </w:tcPr>
          <w:p>
            <w:pPr>
              <w:spacing w:after="0"/>
            </w:pPr>
            <w:r>
              <w:rPr>
                <w:sz w:val="18"/>
              </w:rPr>
              <w:t>Contracts</w:t>
            </w:r>
          </w:p>
        </w:tc>
        <w:tc>
          <w:tcPr>
            <w:tcW w:type="dxa" w:w="3672"/>
            <w:vAlign w:val="center"/>
            <w:tcMar>
              <w:top w:w="100" w:type="dxa"/>
              <w:start w:w="120" w:type="dxa"/>
              <w:bottom w:w="100" w:type="dxa"/>
              <w:end w:w="120" w:type="dxa"/>
            </w:tcMar>
            <w:shd w:fill="EAF1F8"/>
          </w:tcPr>
          <w:p>
            <w:pPr>
              <w:spacing w:after="0"/>
            </w:pPr>
            <w:r>
              <w:rPr>
                <w:sz w:val="18"/>
              </w:rPr>
              <w:t>Contrato, plano e SLA</w:t>
            </w:r>
          </w:p>
        </w:tc>
        <w:tc>
          <w:tcPr>
            <w:tcW w:type="dxa" w:w="4176"/>
            <w:vAlign w:val="center"/>
            <w:tcMar>
              <w:top w:w="100" w:type="dxa"/>
              <w:start w:w="120" w:type="dxa"/>
              <w:bottom w:w="100" w:type="dxa"/>
              <w:end w:w="120" w:type="dxa"/>
            </w:tcMar>
            <w:shd w:fill="EAF1F8"/>
          </w:tcPr>
          <w:p>
            <w:pPr>
              <w:spacing w:after="0"/>
            </w:pPr>
            <w:r>
              <w:rPr>
                <w:sz w:val="18"/>
              </w:rPr>
              <w:t>ContractEntitlementPort</w:t>
            </w:r>
          </w:p>
        </w:tc>
      </w:tr>
      <w:tr>
        <w:tc>
          <w:tcPr>
            <w:tcW w:type="dxa" w:w="1728"/>
            <w:vAlign w:val="center"/>
            <w:tcMar>
              <w:top w:w="100" w:type="dxa"/>
              <w:start w:w="120" w:type="dxa"/>
              <w:bottom w:w="100" w:type="dxa"/>
              <w:end w:w="120" w:type="dxa"/>
            </w:tcMar>
          </w:tcPr>
          <w:p>
            <w:pPr>
              <w:spacing w:after="0"/>
            </w:pPr>
            <w:r>
              <w:rPr>
                <w:sz w:val="18"/>
              </w:rPr>
              <w:t>Finance</w:t>
            </w:r>
          </w:p>
        </w:tc>
        <w:tc>
          <w:tcPr>
            <w:tcW w:type="dxa" w:w="3672"/>
            <w:vAlign w:val="center"/>
            <w:tcMar>
              <w:top w:w="100" w:type="dxa"/>
              <w:start w:w="120" w:type="dxa"/>
              <w:bottom w:w="100" w:type="dxa"/>
              <w:end w:w="120" w:type="dxa"/>
            </w:tcMar>
          </w:tcPr>
          <w:p>
            <w:pPr>
              <w:spacing w:after="0"/>
            </w:pPr>
            <w:r>
              <w:rPr>
                <w:sz w:val="18"/>
              </w:rPr>
              <w:t>Cobranças</w:t>
            </w:r>
          </w:p>
        </w:tc>
        <w:tc>
          <w:tcPr>
            <w:tcW w:type="dxa" w:w="4176"/>
            <w:vAlign w:val="center"/>
            <w:tcMar>
              <w:top w:w="100" w:type="dxa"/>
              <w:start w:w="120" w:type="dxa"/>
              <w:bottom w:w="100" w:type="dxa"/>
              <w:end w:w="120" w:type="dxa"/>
            </w:tcMar>
          </w:tcPr>
          <w:p>
            <w:pPr>
              <w:spacing w:after="0"/>
            </w:pPr>
            <w:r>
              <w:rPr>
                <w:sz w:val="18"/>
              </w:rPr>
              <w:t>Consumidor de ContractActivated</w:t>
            </w:r>
          </w:p>
        </w:tc>
      </w:tr>
      <w:tr>
        <w:tc>
          <w:tcPr>
            <w:tcW w:type="dxa" w:w="1728"/>
            <w:vAlign w:val="center"/>
            <w:tcMar>
              <w:top w:w="100" w:type="dxa"/>
              <w:start w:w="120" w:type="dxa"/>
              <w:bottom w:w="100" w:type="dxa"/>
              <w:end w:w="120" w:type="dxa"/>
            </w:tcMar>
            <w:shd w:fill="EAF1F8"/>
          </w:tcPr>
          <w:p>
            <w:pPr>
              <w:spacing w:after="0"/>
            </w:pPr>
            <w:r>
              <w:rPr>
                <w:sz w:val="18"/>
              </w:rPr>
              <w:t>Support</w:t>
            </w:r>
          </w:p>
        </w:tc>
        <w:tc>
          <w:tcPr>
            <w:tcW w:type="dxa" w:w="3672"/>
            <w:vAlign w:val="center"/>
            <w:tcMar>
              <w:top w:w="100" w:type="dxa"/>
              <w:start w:w="120" w:type="dxa"/>
              <w:bottom w:w="100" w:type="dxa"/>
              <w:end w:w="120" w:type="dxa"/>
            </w:tcMar>
            <w:shd w:fill="EAF1F8"/>
          </w:tcPr>
          <w:p>
            <w:pPr>
              <w:spacing w:after="0"/>
            </w:pPr>
            <w:r>
              <w:rPr>
                <w:sz w:val="18"/>
              </w:rPr>
              <w:t>Chamados e reconciliação</w:t>
            </w:r>
          </w:p>
        </w:tc>
        <w:tc>
          <w:tcPr>
            <w:tcW w:type="dxa" w:w="4176"/>
            <w:vAlign w:val="center"/>
            <w:tcMar>
              <w:top w:w="100" w:type="dxa"/>
              <w:start w:w="120" w:type="dxa"/>
              <w:bottom w:w="100" w:type="dxa"/>
              <w:end w:w="120" w:type="dxa"/>
            </w:tcMar>
            <w:shd w:fill="EAF1F8"/>
          </w:tcPr>
          <w:p>
            <w:pPr>
              <w:spacing w:after="0"/>
            </w:pPr>
            <w:r>
              <w:rPr>
                <w:sz w:val="18"/>
              </w:rPr>
              <w:t>API de atendimento</w:t>
            </w:r>
          </w:p>
        </w:tc>
      </w:tr>
      <w:tr>
        <w:tc>
          <w:tcPr>
            <w:tcW w:type="dxa" w:w="1728"/>
            <w:vAlign w:val="center"/>
            <w:tcMar>
              <w:top w:w="100" w:type="dxa"/>
              <w:start w:w="120" w:type="dxa"/>
              <w:bottom w:w="100" w:type="dxa"/>
              <w:end w:w="120" w:type="dxa"/>
            </w:tcMar>
          </w:tcPr>
          <w:p>
            <w:pPr>
              <w:spacing w:after="0"/>
            </w:pPr>
            <w:r>
              <w:rPr>
                <w:sz w:val="18"/>
              </w:rPr>
              <w:t>Workflow</w:t>
            </w:r>
          </w:p>
        </w:tc>
        <w:tc>
          <w:tcPr>
            <w:tcW w:type="dxa" w:w="3672"/>
            <w:vAlign w:val="center"/>
            <w:tcMar>
              <w:top w:w="100" w:type="dxa"/>
              <w:start w:w="120" w:type="dxa"/>
              <w:bottom w:w="100" w:type="dxa"/>
              <w:end w:w="120" w:type="dxa"/>
            </w:tcMar>
          </w:tcPr>
          <w:p>
            <w:pPr>
              <w:spacing w:after="0"/>
            </w:pPr>
            <w:r>
              <w:rPr>
                <w:sz w:val="18"/>
              </w:rPr>
              <w:t>Onboarding e resolução</w:t>
            </w:r>
          </w:p>
        </w:tc>
        <w:tc>
          <w:tcPr>
            <w:tcW w:type="dxa" w:w="4176"/>
            <w:vAlign w:val="center"/>
            <w:tcMar>
              <w:top w:w="100" w:type="dxa"/>
              <w:start w:w="120" w:type="dxa"/>
              <w:bottom w:w="100" w:type="dxa"/>
              <w:end w:w="120" w:type="dxa"/>
            </w:tcMar>
          </w:tcPr>
          <w:p>
            <w:pPr>
              <w:spacing w:after="0"/>
            </w:pPr>
            <w:r>
              <w:rPr>
                <w:sz w:val="18"/>
              </w:rPr>
              <w:t>Consumidores de eventos</w:t>
            </w:r>
          </w:p>
        </w:tc>
      </w:tr>
      <w:tr>
        <w:tc>
          <w:tcPr>
            <w:tcW w:type="dxa" w:w="1728"/>
            <w:vAlign w:val="center"/>
            <w:tcMar>
              <w:top w:w="100" w:type="dxa"/>
              <w:start w:w="120" w:type="dxa"/>
              <w:bottom w:w="100" w:type="dxa"/>
              <w:end w:w="120" w:type="dxa"/>
            </w:tcMar>
            <w:shd w:fill="EAF1F8"/>
          </w:tcPr>
          <w:p>
            <w:pPr>
              <w:spacing w:after="0"/>
            </w:pPr>
            <w:r>
              <w:rPr>
                <w:sz w:val="18"/>
              </w:rPr>
              <w:t>Integration</w:t>
            </w:r>
          </w:p>
        </w:tc>
        <w:tc>
          <w:tcPr>
            <w:tcW w:type="dxa" w:w="3672"/>
            <w:vAlign w:val="center"/>
            <w:tcMar>
              <w:top w:w="100" w:type="dxa"/>
              <w:start w:w="120" w:type="dxa"/>
              <w:bottom w:w="100" w:type="dxa"/>
              <w:end w:w="120" w:type="dxa"/>
            </w:tcMar>
            <w:shd w:fill="EAF1F8"/>
          </w:tcPr>
          <w:p>
            <w:pPr>
              <w:spacing w:after="0"/>
            </w:pPr>
            <w:r>
              <w:rPr>
                <w:sz w:val="18"/>
              </w:rPr>
              <w:t>Entrega e rastreabilidade</w:t>
            </w:r>
          </w:p>
        </w:tc>
        <w:tc>
          <w:tcPr>
            <w:tcW w:type="dxa" w:w="4176"/>
            <w:vAlign w:val="center"/>
            <w:tcMar>
              <w:top w:w="100" w:type="dxa"/>
              <w:start w:w="120" w:type="dxa"/>
              <w:bottom w:w="100" w:type="dxa"/>
              <w:end w:w="120" w:type="dxa"/>
            </w:tcMar>
            <w:shd w:fill="EAF1F8"/>
          </w:tcPr>
          <w:p>
            <w:pPr>
              <w:spacing w:after="0"/>
            </w:pPr>
            <w:r>
              <w:rPr>
                <w:sz w:val="18"/>
              </w:rPr>
              <w:t>API operacional</w:t>
            </w:r>
          </w:p>
        </w:tc>
      </w:tr>
    </w:tbl>
    <w:p>
      <w:pPr>
        <w:spacing w:after="40"/>
      </w:pPr>
    </w:p>
    <w:p>
      <w:pPr>
        <w:spacing w:after="160" w:line="276" w:lineRule="auto"/>
        <w:jc w:val="both"/>
      </w:pPr>
      <w:r>
        <w:t>O banco compartilhado pertence à implantação acadêmica. Prefixos e dependências de código preservam a separação lógica. Um teste de arquitetura rejeita importação direta de modelos internos entre contextos de negócio.</w:t>
      </w:r>
    </w:p>
    <w:p>
      <w:pPr>
        <w:pStyle w:val="Heading1"/>
        <w:pageBreakBefore/>
        <w:spacing w:before="160" w:after="240"/>
      </w:pPr>
      <w:r>
        <w:t>6 Arquitetura proposta TO BE continuação</w:t>
      </w:r>
    </w:p>
    <w:p>
      <w:pPr>
        <w:pStyle w:val="Heading2"/>
      </w:pPr>
      <w:r>
        <w:t>6.1 Componentes e implantação</w:t>
      </w:r>
    </w:p>
    <w:p>
      <w:pPr>
        <w:spacing w:after="160" w:line="276" w:lineRule="auto"/>
        <w:jc w:val="both"/>
      </w:pPr>
      <w:r>
        <w:t>Docker Compose inicia a API, PostgreSQL e RabbitMQ. A API atende canais e documentação. PostgreSQL persiste transações e registros de integração. RabbitMQ recebe cópias duráveis dos eventos para observação e integração externa. Os handlers internos demonstram consumidores substituíveis.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176"/>
            <w:shd w:fill="17365D"/>
            <w:vAlign w:val="center"/>
            <w:tcMar>
              <w:top w:w="100" w:type="dxa"/>
              <w:start w:w="120" w:type="dxa"/>
              <w:bottom w:w="100" w:type="dxa"/>
              <w:end w:w="120" w:type="dxa"/>
            </w:tcMar>
          </w:tcPr>
          <w:p>
            <w:r>
              <w:rPr>
                <w:b/>
                <w:color w:val="FFFFFF"/>
              </w:rPr>
              <w:t>Regra de dependência</w:t>
            </w:r>
          </w:p>
        </w:tc>
      </w:tr>
      <w:t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176"/>
            <w:vAlign w:val="center"/>
            <w:tcMar>
              <w:top w:w="100" w:type="dxa"/>
              <w:start w:w="120" w:type="dxa"/>
              <w:bottom w:w="100" w:type="dxa"/>
              <w:end w:w="120" w:type="dxa"/>
            </w:tcMar>
          </w:tcPr>
          <w:p>
            <w:pPr>
              <w:spacing w:after="0"/>
            </w:pPr>
            <w:r>
              <w:rPr>
                <w:sz w:val="18"/>
              </w:rPr>
              <w:t>Converte dados e chama casos de uso</w:t>
            </w:r>
          </w:p>
        </w:tc>
      </w:tr>
      <w:t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176"/>
            <w:vAlign w:val="center"/>
            <w:tcMar>
              <w:top w:w="100" w:type="dxa"/>
              <w:start w:w="120" w:type="dxa"/>
              <w:bottom w:w="100" w:type="dxa"/>
              <w:end w:w="120" w:type="dxa"/>
            </w:tcMar>
            <w:shd w:fill="EAF1F8"/>
          </w:tcPr>
          <w:p>
            <w:pPr>
              <w:spacing w:after="0"/>
            </w:pPr>
            <w:r>
              <w:rPr>
                <w:sz w:val="18"/>
              </w:rPr>
              <w:t>Depende de portas públicas</w:t>
            </w:r>
          </w:p>
        </w:tc>
      </w:tr>
      <w:t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176"/>
            <w:vAlign w:val="center"/>
            <w:tcMar>
              <w:top w:w="100" w:type="dxa"/>
              <w:start w:w="120" w:type="dxa"/>
              <w:bottom w:w="100" w:type="dxa"/>
              <w:end w:w="120" w:type="dxa"/>
            </w:tcMar>
          </w:tcPr>
          <w:p>
            <w:pPr>
              <w:spacing w:after="0"/>
            </w:pPr>
            <w:r>
              <w:rPr>
                <w:sz w:val="18"/>
              </w:rPr>
              <w:t>Não depende de HTTP ou broker</w:t>
            </w:r>
          </w:p>
        </w:tc>
      </w:tr>
      <w:t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e logs</w:t>
            </w:r>
          </w:p>
        </w:tc>
        <w:tc>
          <w:tcPr>
            <w:tcW w:type="dxa" w:w="4176"/>
            <w:vAlign w:val="center"/>
            <w:tcMar>
              <w:top w:w="100" w:type="dxa"/>
              <w:start w:w="120" w:type="dxa"/>
              <w:bottom w:w="100" w:type="dxa"/>
              <w:end w:w="120" w:type="dxa"/>
            </w:tcMar>
            <w:shd w:fill="EAF1F8"/>
          </w:tcPr>
          <w:p>
            <w:pPr>
              <w:spacing w:after="0"/>
            </w:pPr>
            <w:r>
              <w:rPr>
                <w:sz w:val="18"/>
              </w:rPr>
              <w:t>Implementa adaptadores substituíveis</w:t>
            </w:r>
          </w:p>
        </w:tc>
      </w:tr>
    </w:tbl>
    <w:p>
      <w:pPr>
        <w:spacing w:after="40"/>
      </w:pPr>
    </w:p>
    <w:p>
      <w:pPr>
        <w:pStyle w:val="Heading2"/>
      </w:pPr>
      <w:r>
        <w:t>6.2 Segurança</w:t>
      </w:r>
    </w:p>
    <w:p>
      <w:pPr>
        <w:spacing w:after="160" w:line="276" w:lineRule="auto"/>
        <w:jc w:val="both"/>
      </w:pPr>
      <w:r>
        <w:t>O protótipo simula tokens OIDC e aplica papéis comercial, contratos, financeiro, atendimento, operações e administrador. Validação ocorre na fronteira. Eventos não carregam documentos, dados bancários ou descrição de chamado. O ambiente real deve usar um provedor OIDC e TLS no gateway.</w:t>
      </w:r>
    </w:p>
    <w:p>
      <w:pPr>
        <w:pStyle w:val="Heading1"/>
        <w:pageBreakBefore/>
        <w:spacing w:before="160" w:after="240"/>
      </w:pPr>
      <w:r>
        <w:t>7 Integração F1 Cliente para contrato</w:t>
      </w:r>
    </w:p>
    <w:p>
      <w:pPr>
        <w:spacing w:after="160" w:line="276" w:lineRule="auto"/>
        <w:jc w:val="both"/>
      </w:pPr>
      <w:r>
        <w:t>O comercial cria ou seleciona um cliente no CRM. O endpoint de rascunho recebe o UUID global, serviço, início, cobrança e SLA. Contracts consulta `CustomerReader`, valida elegibilidade e consentimento e cria o contrato sem copiar manualmente o cadastro.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944"/>
            <w:shd w:fill="17365D"/>
            <w:vAlign w:val="center"/>
            <w:tcMar>
              <w:top w:w="100" w:type="dxa"/>
              <w:start w:w="120" w:type="dxa"/>
              <w:bottom w:w="100" w:type="dxa"/>
              <w:end w:w="120" w:type="dxa"/>
            </w:tcMar>
          </w:tcPr>
          <w:p>
            <w:r>
              <w:rPr>
                <w:b/>
                <w:color w:val="FFFFFF"/>
              </w:rPr>
              <w:t>Campo</w:t>
            </w:r>
          </w:p>
        </w:tc>
        <w:tc>
          <w:tcPr>
            <w:tcW w:type="dxa" w:w="2088"/>
            <w:shd w:fill="17365D"/>
            <w:vAlign w:val="center"/>
            <w:tcMar>
              <w:top w:w="100" w:type="dxa"/>
              <w:start w:w="120" w:type="dxa"/>
              <w:bottom w:w="100" w:type="dxa"/>
              <w:end w:w="120" w:type="dxa"/>
            </w:tcMar>
          </w:tcPr>
          <w:p>
            <w:r>
              <w:rPr>
                <w:b/>
                <w:color w:val="FFFFFF"/>
              </w:rPr>
              <w:t>Origem</w:t>
            </w:r>
          </w:p>
        </w:tc>
        <w:tc>
          <w:tcPr>
            <w:tcW w:type="dxa" w:w="2088"/>
            <w:shd w:fill="17365D"/>
            <w:vAlign w:val="center"/>
            <w:tcMar>
              <w:top w:w="100" w:type="dxa"/>
              <w:start w:w="120" w:type="dxa"/>
              <w:bottom w:w="100" w:type="dxa"/>
              <w:end w:w="120" w:type="dxa"/>
            </w:tcMar>
          </w:tcPr>
          <w:p>
            <w:r>
              <w:rPr>
                <w:b/>
                <w:color w:val="FFFFFF"/>
              </w:rPr>
              <w:t>Destino</w:t>
            </w:r>
          </w:p>
        </w:tc>
        <w:tc>
          <w:tcPr>
            <w:tcW w:type="dxa" w:w="3456"/>
            <w:shd w:fill="17365D"/>
            <w:vAlign w:val="center"/>
            <w:tcMar>
              <w:top w:w="100" w:type="dxa"/>
              <w:start w:w="120" w:type="dxa"/>
              <w:bottom w:w="100" w:type="dxa"/>
              <w:end w:w="120" w:type="dxa"/>
            </w:tcMar>
          </w:tcPr>
          <w:p>
            <w:r>
              <w:rPr>
                <w:b/>
                <w:color w:val="FFFFFF"/>
              </w:rPr>
              <w:t>Regra</w:t>
            </w:r>
          </w:p>
        </w:tc>
      </w:tr>
      <w:tr>
        <w:tc>
          <w:tcPr>
            <w:tcW w:type="dxa" w:w="1944"/>
            <w:vAlign w:val="center"/>
            <w:tcMar>
              <w:top w:w="100" w:type="dxa"/>
              <w:start w:w="120" w:type="dxa"/>
              <w:bottom w:w="100" w:type="dxa"/>
              <w:end w:w="120" w:type="dxa"/>
            </w:tcMar>
          </w:tcPr>
          <w:p>
            <w:pPr>
              <w:spacing w:after="0"/>
            </w:pPr>
            <w:r>
              <w:rPr>
                <w:sz w:val="18"/>
              </w:rPr>
              <w:t>customerId</w:t>
            </w:r>
          </w:p>
        </w:tc>
        <w:tc>
          <w:tcPr>
            <w:tcW w:type="dxa" w:w="2088"/>
            <w:vAlign w:val="center"/>
            <w:tcMar>
              <w:top w:w="100" w:type="dxa"/>
              <w:start w:w="120" w:type="dxa"/>
              <w:bottom w:w="100" w:type="dxa"/>
              <w:end w:w="120" w:type="dxa"/>
            </w:tcMar>
          </w:tcPr>
          <w:p>
            <w:pPr>
              <w:spacing w:after="0"/>
            </w:pPr>
            <w:r>
              <w:rPr>
                <w:sz w:val="18"/>
              </w:rPr>
              <w:t>CRM</w:t>
            </w:r>
          </w:p>
        </w:tc>
        <w:tc>
          <w:tcPr>
            <w:tcW w:type="dxa" w:w="2088"/>
            <w:vAlign w:val="center"/>
            <w:tcMar>
              <w:top w:w="100" w:type="dxa"/>
              <w:start w:w="120" w:type="dxa"/>
              <w:bottom w:w="100" w:type="dxa"/>
              <w:end w:w="120" w:type="dxa"/>
            </w:tcMar>
          </w:tcPr>
          <w:p>
            <w:pPr>
              <w:spacing w:after="0"/>
            </w:pPr>
            <w:r>
              <w:rPr>
                <w:sz w:val="18"/>
              </w:rPr>
              <w:t>Contracts</w:t>
            </w:r>
          </w:p>
        </w:tc>
        <w:tc>
          <w:tcPr>
            <w:tcW w:type="dxa" w:w="3456"/>
            <w:vAlign w:val="center"/>
            <w:tcMar>
              <w:top w:w="100" w:type="dxa"/>
              <w:start w:w="120" w:type="dxa"/>
              <w:bottom w:w="100" w:type="dxa"/>
              <w:end w:w="120" w:type="dxa"/>
            </w:tcMar>
          </w:tcPr>
          <w:p>
            <w:pPr>
              <w:spacing w:after="0"/>
            </w:pPr>
            <w:r>
              <w:rPr>
                <w:sz w:val="18"/>
              </w:rPr>
              <w:t>UUID global obrigatório</w:t>
            </w:r>
          </w:p>
        </w:tc>
      </w:tr>
      <w:tr>
        <w:tc>
          <w:tcPr>
            <w:tcW w:type="dxa" w:w="1944"/>
            <w:vAlign w:val="center"/>
            <w:tcMar>
              <w:top w:w="100" w:type="dxa"/>
              <w:start w:w="120" w:type="dxa"/>
              <w:bottom w:w="100" w:type="dxa"/>
              <w:end w:w="120" w:type="dxa"/>
            </w:tcMar>
            <w:shd w:fill="EAF1F8"/>
          </w:tcPr>
          <w:p>
            <w:pPr>
              <w:spacing w:after="0"/>
            </w:pPr>
            <w:r>
              <w:rPr>
                <w:sz w:val="18"/>
              </w:rPr>
              <w:t>serviceCode</w:t>
            </w:r>
          </w:p>
        </w:tc>
        <w:tc>
          <w:tcPr>
            <w:tcW w:type="dxa" w:w="2088"/>
            <w:vAlign w:val="center"/>
            <w:tcMar>
              <w:top w:w="100" w:type="dxa"/>
              <w:start w:w="120" w:type="dxa"/>
              <w:bottom w:w="100" w:type="dxa"/>
              <w:end w:w="120" w:type="dxa"/>
            </w:tcMar>
            <w:shd w:fill="EAF1F8"/>
          </w:tcPr>
          <w:p>
            <w:pPr>
              <w:spacing w:after="0"/>
            </w:pPr>
            <w:r>
              <w:rPr>
                <w:sz w:val="18"/>
              </w:rPr>
              <w:t>Oportunidade</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Código não vazio</w:t>
            </w:r>
          </w:p>
        </w:tc>
      </w:tr>
      <w:tr>
        <w:tc>
          <w:tcPr>
            <w:tcW w:type="dxa" w:w="1944"/>
            <w:vAlign w:val="center"/>
            <w:tcMar>
              <w:top w:w="100" w:type="dxa"/>
              <w:start w:w="120" w:type="dxa"/>
              <w:bottom w:w="100" w:type="dxa"/>
              <w:end w:w="120" w:type="dxa"/>
            </w:tcMar>
          </w:tcPr>
          <w:p>
            <w:pPr>
              <w:spacing w:after="0"/>
            </w:pPr>
            <w:r>
              <w:rPr>
                <w:sz w:val="18"/>
              </w:rPr>
              <w:t>startsOn</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Data ISO 8601</w:t>
            </w:r>
          </w:p>
        </w:tc>
      </w:tr>
      <w:tr>
        <w:tc>
          <w:tcPr>
            <w:tcW w:type="dxa" w:w="1944"/>
            <w:vAlign w:val="center"/>
            <w:tcMar>
              <w:top w:w="100" w:type="dxa"/>
              <w:start w:w="120" w:type="dxa"/>
              <w:bottom w:w="100" w:type="dxa"/>
              <w:end w:w="120" w:type="dxa"/>
            </w:tcMar>
            <w:shd w:fill="EAF1F8"/>
          </w:tcPr>
          <w:p>
            <w:pPr>
              <w:spacing w:after="0"/>
            </w:pPr>
            <w:r>
              <w:rPr>
                <w:sz w:val="18"/>
              </w:rPr>
              <w:t>amount</w:t>
            </w:r>
          </w:p>
        </w:tc>
        <w:tc>
          <w:tcPr>
            <w:tcW w:type="dxa" w:w="2088"/>
            <w:vAlign w:val="center"/>
            <w:tcMar>
              <w:top w:w="100" w:type="dxa"/>
              <w:start w:w="120" w:type="dxa"/>
              <w:bottom w:w="100" w:type="dxa"/>
              <w:end w:w="120" w:type="dxa"/>
            </w:tcMar>
            <w:shd w:fill="EAF1F8"/>
          </w:tcPr>
          <w:p>
            <w:pPr>
              <w:spacing w:after="0"/>
            </w:pPr>
            <w:r>
              <w:rPr>
                <w:sz w:val="18"/>
              </w:rPr>
              <w:t>Venda</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Decimal positivo</w:t>
            </w:r>
          </w:p>
        </w:tc>
      </w:tr>
      <w:tr>
        <w:tc>
          <w:tcPr>
            <w:tcW w:type="dxa" w:w="1944"/>
            <w:vAlign w:val="center"/>
            <w:tcMar>
              <w:top w:w="100" w:type="dxa"/>
              <w:start w:w="120" w:type="dxa"/>
              <w:bottom w:w="100" w:type="dxa"/>
              <w:end w:w="120" w:type="dxa"/>
            </w:tcMar>
          </w:tcPr>
          <w:p>
            <w:pPr>
              <w:spacing w:after="0"/>
            </w:pPr>
            <w:r>
              <w:rPr>
                <w:sz w:val="18"/>
              </w:rPr>
              <w:t>currency</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Três letras maiúsculas</w:t>
            </w:r>
          </w:p>
        </w:tc>
      </w:tr>
      <w:tr>
        <w:tc>
          <w:tcPr>
            <w:tcW w:type="dxa" w:w="1944"/>
            <w:vAlign w:val="center"/>
            <w:tcMar>
              <w:top w:w="100" w:type="dxa"/>
              <w:start w:w="120" w:type="dxa"/>
              <w:bottom w:w="100" w:type="dxa"/>
              <w:end w:w="120" w:type="dxa"/>
            </w:tcMar>
            <w:shd w:fill="EAF1F8"/>
          </w:tcPr>
          <w:p>
            <w:pPr>
              <w:spacing w:after="0"/>
            </w:pPr>
            <w:r>
              <w:rPr>
                <w:sz w:val="18"/>
              </w:rPr>
              <w:t>Idempotency-Key</w:t>
            </w:r>
          </w:p>
        </w:tc>
        <w:tc>
          <w:tcPr>
            <w:tcW w:type="dxa" w:w="2088"/>
            <w:vAlign w:val="center"/>
            <w:tcMar>
              <w:top w:w="100" w:type="dxa"/>
              <w:start w:w="120" w:type="dxa"/>
              <w:bottom w:w="100" w:type="dxa"/>
              <w:end w:w="120" w:type="dxa"/>
            </w:tcMar>
            <w:shd w:fill="EAF1F8"/>
          </w:tcPr>
          <w:p>
            <w:pPr>
              <w:spacing w:after="0"/>
            </w:pPr>
            <w:r>
              <w:rPr>
                <w:sz w:val="18"/>
              </w:rPr>
              <w:t>Cliente HTTP</w:t>
            </w:r>
          </w:p>
        </w:tc>
        <w:tc>
          <w:tcPr>
            <w:tcW w:type="dxa" w:w="2088"/>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Resposta original por operação</w:t>
            </w:r>
          </w:p>
        </w:tc>
      </w:tr>
    </w:tbl>
    <w:p>
      <w:pPr>
        <w:spacing w:after="40"/>
      </w:pPr>
    </w:p>
    <w:p>
      <w:pPr>
        <w:spacing w:after="160" w:line="276" w:lineRule="auto"/>
        <w:jc w:val="both"/>
      </w:pPr>
      <w:r>
        <w:t>Uma repetição com a mesma chave devolve o mesmo `contractId`. A auditoria registra operação, resultado e correlação. O teste F1 comprovou o comportamento.</w:t>
      </w:r>
    </w:p>
    <w:p>
      <w:pPr>
        <w:pStyle w:val="Heading1"/>
        <w:pageBreakBefore/>
        <w:spacing w:before="160" w:after="240"/>
      </w:pPr>
      <w:r>
        <w:t>8 Integração F2 Ativação e onboarding</w:t>
      </w:r>
    </w:p>
    <w:p>
      <w:pPr>
        <w:spacing w:after="160" w:line="276" w:lineRule="auto"/>
        <w:jc w:val="both"/>
      </w:pPr>
      <w:r>
        <w:t>Contracts grava a ativação e `ContractActivated.v1` na mesma transação. O dispatcher lê a outbox, entrega o evento a Finance e Workflow e registra uma inbox por consumidor. Depois publica o envelope no RabbitMQ quando configurado.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Consumidor</w:t>
            </w:r>
          </w:p>
        </w:tc>
        <w:tc>
          <w:tcPr>
            <w:tcW w:type="dxa" w:w="3096"/>
            <w:shd w:fill="17365D"/>
            <w:vAlign w:val="center"/>
            <w:tcMar>
              <w:top w:w="100" w:type="dxa"/>
              <w:start w:w="120" w:type="dxa"/>
              <w:bottom w:w="100" w:type="dxa"/>
              <w:end w:w="120" w:type="dxa"/>
            </w:tcMar>
          </w:tcPr>
          <w:p>
            <w:r>
              <w:rPr>
                <w:b/>
                <w:color w:val="FFFFFF"/>
              </w:rPr>
              <w:t>Efeito</w:t>
            </w:r>
          </w:p>
        </w:tc>
        <w:tc>
          <w:tcPr>
            <w:tcW w:type="dxa" w:w="4392"/>
            <w:shd w:fill="17365D"/>
            <w:vAlign w:val="center"/>
            <w:tcMar>
              <w:top w:w="100" w:type="dxa"/>
              <w:start w:w="120" w:type="dxa"/>
              <w:bottom w:w="100" w:type="dxa"/>
              <w:end w:w="120" w:type="dxa"/>
            </w:tcMar>
          </w:tcPr>
          <w:p>
            <w:r>
              <w:rPr>
                <w:b/>
                <w:color w:val="FFFFFF"/>
              </w:rPr>
              <w:t>Proteção contra duplicidade</w:t>
            </w:r>
          </w:p>
        </w:tc>
      </w:tr>
      <w:tr>
        <w:tc>
          <w:tcPr>
            <w:tcW w:type="dxa" w:w="2088"/>
            <w:vAlign w:val="center"/>
            <w:tcMar>
              <w:top w:w="100" w:type="dxa"/>
              <w:start w:w="120" w:type="dxa"/>
              <w:bottom w:w="100" w:type="dxa"/>
              <w:end w:w="120" w:type="dxa"/>
            </w:tcMar>
          </w:tcPr>
          <w:p>
            <w:pPr>
              <w:spacing w:after="0"/>
            </w:pPr>
            <w:r>
              <w:rPr>
                <w:sz w:val="18"/>
              </w:rPr>
              <w:t>Finance</w:t>
            </w:r>
          </w:p>
        </w:tc>
        <w:tc>
          <w:tcPr>
            <w:tcW w:type="dxa" w:w="3096"/>
            <w:vAlign w:val="center"/>
            <w:tcMar>
              <w:top w:w="100" w:type="dxa"/>
              <w:start w:w="120" w:type="dxa"/>
              <w:bottom w:w="100" w:type="dxa"/>
              <w:end w:w="120" w:type="dxa"/>
            </w:tcMar>
          </w:tcPr>
          <w:p>
            <w:pPr>
              <w:spacing w:after="0"/>
            </w:pPr>
            <w:r>
              <w:rPr>
                <w:sz w:val="18"/>
              </w:rPr>
              <w:t>Primeira cobrança</w:t>
            </w:r>
          </w:p>
        </w:tc>
        <w:tc>
          <w:tcPr>
            <w:tcW w:type="dxa" w:w="4392"/>
            <w:vAlign w:val="center"/>
            <w:tcMar>
              <w:top w:w="100" w:type="dxa"/>
              <w:start w:w="120" w:type="dxa"/>
              <w:bottom w:w="100" w:type="dxa"/>
              <w:end w:w="120" w:type="dxa"/>
            </w:tcMar>
          </w:tcPr>
          <w:p>
            <w:pPr>
              <w:spacing w:after="0"/>
            </w:pPr>
            <w:r>
              <w:rPr>
                <w:sz w:val="18"/>
              </w:rPr>
              <w:t>Contrato único na tabela financeira</w:t>
            </w:r>
          </w:p>
        </w:tc>
      </w:tr>
      <w:tr>
        <w:tc>
          <w:tcPr>
            <w:tcW w:type="dxa" w:w="2088"/>
            <w:vAlign w:val="center"/>
            <w:tcMar>
              <w:top w:w="100" w:type="dxa"/>
              <w:start w:w="120" w:type="dxa"/>
              <w:bottom w:w="100" w:type="dxa"/>
              <w:end w:w="120" w:type="dxa"/>
            </w:tcMar>
            <w:shd w:fill="EAF1F8"/>
          </w:tcPr>
          <w:p>
            <w:pPr>
              <w:spacing w:after="0"/>
            </w:pPr>
            <w:r>
              <w:rPr>
                <w:sz w:val="18"/>
              </w:rPr>
              <w:t>Workflow</w:t>
            </w:r>
          </w:p>
        </w:tc>
        <w:tc>
          <w:tcPr>
            <w:tcW w:type="dxa" w:w="3096"/>
            <w:vAlign w:val="center"/>
            <w:tcMar>
              <w:top w:w="100" w:type="dxa"/>
              <w:start w:w="120" w:type="dxa"/>
              <w:bottom w:w="100" w:type="dxa"/>
              <w:end w:w="120" w:type="dxa"/>
            </w:tcMar>
            <w:shd w:fill="EAF1F8"/>
          </w:tcPr>
          <w:p>
            <w:pPr>
              <w:spacing w:after="0"/>
            </w:pPr>
            <w:r>
              <w:rPr>
                <w:sz w:val="18"/>
              </w:rPr>
              <w:t>Processo de onboarding</w:t>
            </w:r>
          </w:p>
        </w:tc>
        <w:tc>
          <w:tcPr>
            <w:tcW w:type="dxa" w:w="4392"/>
            <w:vAlign w:val="center"/>
            <w:tcMar>
              <w:top w:w="100" w:type="dxa"/>
              <w:start w:w="120" w:type="dxa"/>
              <w:bottom w:w="100" w:type="dxa"/>
              <w:end w:w="120" w:type="dxa"/>
            </w:tcMar>
            <w:shd w:fill="EAF1F8"/>
          </w:tcPr>
          <w:p>
            <w:pPr>
              <w:spacing w:after="0"/>
            </w:pPr>
            <w:r>
              <w:rPr>
                <w:sz w:val="18"/>
              </w:rPr>
              <w:t>Tipo e referência únicos</w:t>
            </w:r>
          </w:p>
        </w:tc>
      </w:tr>
      <w:tr>
        <w:tc>
          <w:tcPr>
            <w:tcW w:type="dxa" w:w="2088"/>
            <w:vAlign w:val="center"/>
            <w:tcMar>
              <w:top w:w="100" w:type="dxa"/>
              <w:start w:w="120" w:type="dxa"/>
              <w:bottom w:w="100" w:type="dxa"/>
              <w:end w:w="120" w:type="dxa"/>
            </w:tcMar>
          </w:tcPr>
          <w:p>
            <w:pPr>
              <w:spacing w:after="0"/>
            </w:pPr>
            <w:r>
              <w:rPr>
                <w:sz w:val="18"/>
              </w:rPr>
              <w:t>Integration</w:t>
            </w:r>
          </w:p>
        </w:tc>
        <w:tc>
          <w:tcPr>
            <w:tcW w:type="dxa" w:w="3096"/>
            <w:vAlign w:val="center"/>
            <w:tcMar>
              <w:top w:w="100" w:type="dxa"/>
              <w:start w:w="120" w:type="dxa"/>
              <w:bottom w:w="100" w:type="dxa"/>
              <w:end w:w="120" w:type="dxa"/>
            </w:tcMar>
          </w:tcPr>
          <w:p>
            <w:pPr>
              <w:spacing w:after="0"/>
            </w:pPr>
            <w:r>
              <w:rPr>
                <w:sz w:val="18"/>
              </w:rPr>
              <w:t>Publicação e auditoria</w:t>
            </w:r>
          </w:p>
        </w:tc>
        <w:tc>
          <w:tcPr>
            <w:tcW w:type="dxa" w:w="4392"/>
            <w:vAlign w:val="center"/>
            <w:tcMar>
              <w:top w:w="100" w:type="dxa"/>
              <w:start w:w="120" w:type="dxa"/>
              <w:bottom w:w="100" w:type="dxa"/>
              <w:end w:w="120" w:type="dxa"/>
            </w:tcMar>
          </w:tcPr>
          <w:p>
            <w:pPr>
              <w:spacing w:after="0"/>
            </w:pPr>
            <w:r>
              <w:rPr>
                <w:sz w:val="18"/>
              </w:rPr>
              <w:t>eventId por consumidor na inbox</w:t>
            </w:r>
          </w:p>
        </w:tc>
      </w:tr>
    </w:tbl>
    <w:p>
      <w:pPr>
        <w:spacing w:after="40"/>
      </w:pPr>
    </w:p>
    <w:p>
      <w:pPr>
        <w:spacing w:after="160" w:line="276" w:lineRule="auto"/>
        <w:jc w:val="both"/>
      </w:pPr>
      <w:r>
        <w:t>Falhas transitórias mantêm o evento pendente até nova tentativa. Após três tentativas, o evento passa a `FAILED` com motivo e correlação. Um operador autorizado pode agendar o reprocessamento. As restrições de consumidor continuam válidas, portanto um efeito já confirmado não se repete.</w:t>
      </w:r>
    </w:p>
    <w:p>
      <w:pPr>
        <w:spacing w:after="160" w:line="276" w:lineRule="auto"/>
        <w:jc w:val="both"/>
      </w:pPr>
      <w:r>
        <w:t>O teste F2 repetiu a ativação e o despacho e encontrou uma cobrança e um onboarding. Essa evidência atende ao requisito de demonstração de reentrega.</w:t>
      </w:r>
    </w:p>
    <w:p>
      <w:pPr>
        <w:pStyle w:val="Heading1"/>
        <w:pageBreakBefore/>
        <w:spacing w:before="160" w:after="240"/>
      </w:pPr>
      <w:r>
        <w:t>9 Integração F3 Chamado com SLA</w:t>
      </w:r>
    </w:p>
    <w:p>
      <w:pPr>
        <w:spacing w:after="160" w:line="276" w:lineRule="auto"/>
        <w:jc w:val="both"/>
      </w:pPr>
      <w:r>
        <w:t>Support consulta `ContractEntitlementPort` com cliente, contrato e serviço. Quando o contrato está ativo, o módulo registra o SLA, calcula o prazo e define prioridade alta para indisponibilidade ou segurança. `TicketOpened.v1` inicia a resolução em Workflow.</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3024"/>
            <w:shd w:fill="17365D"/>
            <w:vAlign w:val="center"/>
            <w:tcMar>
              <w:top w:w="100" w:type="dxa"/>
              <w:start w:w="120" w:type="dxa"/>
              <w:bottom w:w="100" w:type="dxa"/>
              <w:end w:w="120" w:type="dxa"/>
            </w:tcMar>
          </w:tcPr>
          <w:p>
            <w:r>
              <w:rPr>
                <w:b/>
                <w:color w:val="FFFFFF"/>
              </w:rPr>
              <w:t>Condição</w:t>
            </w:r>
          </w:p>
        </w:tc>
        <w:tc>
          <w:tcPr>
            <w:tcW w:type="dxa" w:w="2880"/>
            <w:shd w:fill="17365D"/>
            <w:vAlign w:val="center"/>
            <w:tcMar>
              <w:top w:w="100" w:type="dxa"/>
              <w:start w:w="120" w:type="dxa"/>
              <w:bottom w:w="100" w:type="dxa"/>
              <w:end w:w="120" w:type="dxa"/>
            </w:tcMar>
          </w:tcPr>
          <w:p>
            <w:r>
              <w:rPr>
                <w:b/>
                <w:color w:val="FFFFFF"/>
              </w:rPr>
              <w:t>Estado do chamado</w:t>
            </w:r>
          </w:p>
        </w:tc>
        <w:tc>
          <w:tcPr>
            <w:tcW w:type="dxa" w:w="3672"/>
            <w:shd w:fill="17365D"/>
            <w:vAlign w:val="center"/>
            <w:tcMar>
              <w:top w:w="100" w:type="dxa"/>
              <w:start w:w="120" w:type="dxa"/>
              <w:bottom w:w="100" w:type="dxa"/>
              <w:end w:w="120" w:type="dxa"/>
            </w:tcMar>
          </w:tcPr>
          <w:p>
            <w:r>
              <w:rPr>
                <w:b/>
                <w:color w:val="FFFFFF"/>
              </w:rPr>
              <w:t>Ação</w:t>
            </w:r>
          </w:p>
        </w:tc>
      </w:tr>
      <w:tr>
        <w:tc>
          <w:tcPr>
            <w:tcW w:type="dxa" w:w="3024"/>
            <w:vAlign w:val="center"/>
            <w:tcMar>
              <w:top w:w="100" w:type="dxa"/>
              <w:start w:w="120" w:type="dxa"/>
              <w:bottom w:w="100" w:type="dxa"/>
              <w:end w:w="120" w:type="dxa"/>
            </w:tcMar>
          </w:tcPr>
          <w:p>
            <w:pPr>
              <w:spacing w:after="0"/>
            </w:pPr>
            <w:r>
              <w:rPr>
                <w:sz w:val="18"/>
              </w:rPr>
              <w:t>Contrato e serviço válidos</w:t>
            </w:r>
          </w:p>
        </w:tc>
        <w:tc>
          <w:tcPr>
            <w:tcW w:type="dxa" w:w="2880"/>
            <w:vAlign w:val="center"/>
            <w:tcMar>
              <w:top w:w="100" w:type="dxa"/>
              <w:start w:w="120" w:type="dxa"/>
              <w:bottom w:w="100" w:type="dxa"/>
              <w:end w:w="120" w:type="dxa"/>
            </w:tcMar>
          </w:tcPr>
          <w:p>
            <w:pPr>
              <w:spacing w:after="0"/>
            </w:pPr>
            <w:r>
              <w:rPr>
                <w:sz w:val="18"/>
              </w:rPr>
              <w:t>OPEN</w:t>
            </w:r>
          </w:p>
        </w:tc>
        <w:tc>
          <w:tcPr>
            <w:tcW w:type="dxa" w:w="3672"/>
            <w:vAlign w:val="center"/>
            <w:tcMar>
              <w:top w:w="100" w:type="dxa"/>
              <w:start w:w="120" w:type="dxa"/>
              <w:bottom w:w="100" w:type="dxa"/>
              <w:end w:w="120" w:type="dxa"/>
            </w:tcMar>
          </w:tcPr>
          <w:p>
            <w:pPr>
              <w:spacing w:after="0"/>
            </w:pPr>
            <w:r>
              <w:rPr>
                <w:sz w:val="18"/>
              </w:rPr>
              <w:t>Registra SLA e publica evento</w:t>
            </w:r>
          </w:p>
        </w:tc>
      </w:tr>
      <w:tr>
        <w:tc>
          <w:tcPr>
            <w:tcW w:type="dxa" w:w="3024"/>
            <w:vAlign w:val="center"/>
            <w:tcMar>
              <w:top w:w="100" w:type="dxa"/>
              <w:start w:w="120" w:type="dxa"/>
              <w:bottom w:w="100" w:type="dxa"/>
              <w:end w:w="120" w:type="dxa"/>
            </w:tcMar>
            <w:shd w:fill="EAF1F8"/>
          </w:tcPr>
          <w:p>
            <w:pPr>
              <w:spacing w:after="0"/>
            </w:pPr>
            <w:r>
              <w:rPr>
                <w:sz w:val="18"/>
              </w:rPr>
              <w:t>Contrato inválido</w:t>
            </w:r>
          </w:p>
        </w:tc>
        <w:tc>
          <w:tcPr>
            <w:tcW w:type="dxa" w:w="2880"/>
            <w:vAlign w:val="center"/>
            <w:tcMar>
              <w:top w:w="100" w:type="dxa"/>
              <w:start w:w="120" w:type="dxa"/>
              <w:bottom w:w="100" w:type="dxa"/>
              <w:end w:w="120" w:type="dxa"/>
            </w:tcMar>
            <w:shd w:fill="EAF1F8"/>
          </w:tcPr>
          <w:p>
            <w:pPr>
              <w:spacing w:after="0"/>
            </w:pPr>
            <w:r>
              <w:rPr>
                <w:sz w:val="18"/>
              </w:rPr>
              <w:t>Sem criação</w:t>
            </w:r>
          </w:p>
        </w:tc>
        <w:tc>
          <w:tcPr>
            <w:tcW w:type="dxa" w:w="3672"/>
            <w:vAlign w:val="center"/>
            <w:tcMar>
              <w:top w:w="100" w:type="dxa"/>
              <w:start w:w="120" w:type="dxa"/>
              <w:bottom w:w="100" w:type="dxa"/>
              <w:end w:w="120" w:type="dxa"/>
            </w:tcMar>
            <w:shd w:fill="EAF1F8"/>
          </w:tcPr>
          <w:p>
            <w:pPr>
              <w:spacing w:after="0"/>
            </w:pPr>
            <w:r>
              <w:rPr>
                <w:sz w:val="18"/>
              </w:rPr>
              <w:t>Retorna erro de negócio 422</w:t>
            </w:r>
          </w:p>
        </w:tc>
      </w:tr>
      <w:tr>
        <w:tc>
          <w:tcPr>
            <w:tcW w:type="dxa" w:w="3024"/>
            <w:vAlign w:val="center"/>
            <w:tcMar>
              <w:top w:w="100" w:type="dxa"/>
              <w:start w:w="120" w:type="dxa"/>
              <w:bottom w:w="100" w:type="dxa"/>
              <w:end w:w="120" w:type="dxa"/>
            </w:tcMar>
          </w:tcPr>
          <w:p>
            <w:pPr>
              <w:spacing w:after="0"/>
            </w:pPr>
            <w:r>
              <w:rPr>
                <w:sz w:val="18"/>
              </w:rPr>
              <w:t>Consulta indisponível</w:t>
            </w:r>
          </w:p>
        </w:tc>
        <w:tc>
          <w:tcPr>
            <w:tcW w:type="dxa" w:w="2880"/>
            <w:vAlign w:val="center"/>
            <w:tcMar>
              <w:top w:w="100" w:type="dxa"/>
              <w:start w:w="120" w:type="dxa"/>
              <w:bottom w:w="100" w:type="dxa"/>
              <w:end w:w="120" w:type="dxa"/>
            </w:tcMar>
          </w:tcPr>
          <w:p>
            <w:pPr>
              <w:spacing w:after="0"/>
            </w:pPr>
            <w:r>
              <w:rPr>
                <w:sz w:val="18"/>
              </w:rPr>
              <w:t>PENDING_ENTITLEMENT</w:t>
            </w:r>
          </w:p>
        </w:tc>
        <w:tc>
          <w:tcPr>
            <w:tcW w:type="dxa" w:w="3672"/>
            <w:vAlign w:val="center"/>
            <w:tcMar>
              <w:top w:w="100" w:type="dxa"/>
              <w:start w:w="120" w:type="dxa"/>
              <w:bottom w:w="100" w:type="dxa"/>
              <w:end w:w="120" w:type="dxa"/>
            </w:tcMar>
          </w:tcPr>
          <w:p>
            <w:pPr>
              <w:spacing w:after="0"/>
            </w:pPr>
            <w:r>
              <w:rPr>
                <w:sz w:val="18"/>
              </w:rPr>
              <w:t>Preserva solicitação</w:t>
            </w:r>
          </w:p>
        </w:tc>
      </w:tr>
      <w:tr>
        <w:tc>
          <w:tcPr>
            <w:tcW w:type="dxa" w:w="3024"/>
            <w:vAlign w:val="center"/>
            <w:tcMar>
              <w:top w:w="100" w:type="dxa"/>
              <w:start w:w="120" w:type="dxa"/>
              <w:bottom w:w="100" w:type="dxa"/>
              <w:end w:w="120" w:type="dxa"/>
            </w:tcMar>
            <w:shd w:fill="EAF1F8"/>
          </w:tcPr>
          <w:p>
            <w:pPr>
              <w:spacing w:after="0"/>
            </w:pPr>
            <w:r>
              <w:rPr>
                <w:sz w:val="18"/>
              </w:rPr>
              <w:t>Consulta restaurada</w:t>
            </w:r>
          </w:p>
        </w:tc>
        <w:tc>
          <w:tcPr>
            <w:tcW w:type="dxa" w:w="2880"/>
            <w:vAlign w:val="center"/>
            <w:tcMar>
              <w:top w:w="100" w:type="dxa"/>
              <w:start w:w="120" w:type="dxa"/>
              <w:bottom w:w="100" w:type="dxa"/>
              <w:end w:w="120" w:type="dxa"/>
            </w:tcMar>
            <w:shd w:fill="EAF1F8"/>
          </w:tcPr>
          <w:p>
            <w:pPr>
              <w:spacing w:after="0"/>
            </w:pPr>
            <w:r>
              <w:rPr>
                <w:sz w:val="18"/>
              </w:rPr>
              <w:t>OPEN ou REJECTED_ENTITLEMENT</w:t>
            </w:r>
          </w:p>
        </w:tc>
        <w:tc>
          <w:tcPr>
            <w:tcW w:type="dxa" w:w="3672"/>
            <w:vAlign w:val="center"/>
            <w:tcMar>
              <w:top w:w="100" w:type="dxa"/>
              <w:start w:w="120" w:type="dxa"/>
              <w:bottom w:w="100" w:type="dxa"/>
              <w:end w:w="120" w:type="dxa"/>
            </w:tcMar>
            <w:shd w:fill="EAF1F8"/>
          </w:tcPr>
          <w:p>
            <w:pPr>
              <w:spacing w:after="0"/>
            </w:pPr>
            <w:r>
              <w:rPr>
                <w:sz w:val="18"/>
              </w:rPr>
              <w:t>Reconcilia com auditoria</w:t>
            </w:r>
          </w:p>
        </w:tc>
      </w:tr>
    </w:tbl>
    <w:p>
      <w:pPr>
        <w:spacing w:after="40"/>
      </w:pPr>
    </w:p>
    <w:p>
      <w:pPr>
        <w:spacing w:after="160" w:line="276" w:lineRule="auto"/>
        <w:jc w:val="both"/>
      </w:pPr>
      <w:r>
        <w:t>O evento omite a descrição do chamado. Workflow recebe apenas os identificadores, categoria, prioridade, estado e SLA necessários ao processo. O teste de degradação abriu o chamado pendente e o reconciliou depois que Contracts voltou.</w:t>
      </w:r>
    </w:p>
    <w:p>
      <w:pPr>
        <w:pStyle w:val="Heading1"/>
        <w:pageBreakBefore/>
        <w:spacing w:before="160" w:after="240"/>
      </w:pPr>
      <w:r>
        <w:t>10 Qualidade arquitetural</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944"/>
            <w:shd w:fill="17365D"/>
            <w:vAlign w:val="center"/>
            <w:tcMar>
              <w:top w:w="100" w:type="dxa"/>
              <w:start w:w="120" w:type="dxa"/>
              <w:bottom w:w="100" w:type="dxa"/>
              <w:end w:w="120" w:type="dxa"/>
            </w:tcMar>
          </w:tcPr>
          <w:p>
            <w:r>
              <w:rPr>
                <w:b/>
                <w:color w:val="FFFFFF"/>
              </w:rPr>
              <w:t>Atributo</w:t>
            </w:r>
          </w:p>
        </w:tc>
        <w:tc>
          <w:tcPr>
            <w:tcW w:type="dxa" w:w="3888"/>
            <w:shd w:fill="17365D"/>
            <w:vAlign w:val="center"/>
            <w:tcMar>
              <w:top w:w="100" w:type="dxa"/>
              <w:start w:w="120" w:type="dxa"/>
              <w:bottom w:w="100" w:type="dxa"/>
              <w:end w:w="120" w:type="dxa"/>
            </w:tcMar>
          </w:tcPr>
          <w:p>
            <w:r>
              <w:rPr>
                <w:b/>
                <w:color w:val="FFFFFF"/>
              </w:rPr>
              <w:t>Estratégia</w:t>
            </w:r>
          </w:p>
        </w:tc>
        <w:tc>
          <w:tcPr>
            <w:tcW w:type="dxa" w:w="3744"/>
            <w:shd w:fill="17365D"/>
            <w:vAlign w:val="center"/>
            <w:tcMar>
              <w:top w:w="100" w:type="dxa"/>
              <w:start w:w="120" w:type="dxa"/>
              <w:bottom w:w="100" w:type="dxa"/>
              <w:end w:w="120" w:type="dxa"/>
            </w:tcMar>
          </w:tcPr>
          <w:p>
            <w:r>
              <w:rPr>
                <w:b/>
                <w:color w:val="FFFFFF"/>
              </w:rPr>
              <w:t>Evidência</w:t>
            </w:r>
          </w:p>
        </w:tc>
      </w:tr>
      <w:tr>
        <w:tc>
          <w:tcPr>
            <w:tcW w:type="dxa" w:w="1944"/>
            <w:vAlign w:val="center"/>
            <w:tcMar>
              <w:top w:w="100" w:type="dxa"/>
              <w:start w:w="120" w:type="dxa"/>
              <w:bottom w:w="100" w:type="dxa"/>
              <w:end w:w="120" w:type="dxa"/>
            </w:tcMar>
          </w:tcPr>
          <w:p>
            <w:pPr>
              <w:spacing w:after="0"/>
            </w:pPr>
            <w:r>
              <w:rPr>
                <w:sz w:val="18"/>
              </w:rPr>
              <w:t>Interoperabilidade</w:t>
            </w:r>
          </w:p>
        </w:tc>
        <w:tc>
          <w:tcPr>
            <w:tcW w:type="dxa" w:w="3888"/>
            <w:vAlign w:val="center"/>
            <w:tcMar>
              <w:top w:w="100" w:type="dxa"/>
              <w:start w:w="120" w:type="dxa"/>
              <w:bottom w:w="100" w:type="dxa"/>
              <w:end w:w="120" w:type="dxa"/>
            </w:tcMar>
          </w:tcPr>
          <w:p>
            <w:pPr>
              <w:spacing w:after="0"/>
            </w:pPr>
            <w:r>
              <w:rPr>
                <w:sz w:val="18"/>
              </w:rPr>
              <w:t>UUID, formatos e contratos</w:t>
            </w:r>
          </w:p>
        </w:tc>
        <w:tc>
          <w:tcPr>
            <w:tcW w:type="dxa" w:w="3744"/>
            <w:vAlign w:val="center"/>
            <w:tcMar>
              <w:top w:w="100" w:type="dxa"/>
              <w:start w:w="120" w:type="dxa"/>
              <w:bottom w:w="100" w:type="dxa"/>
              <w:end w:w="120" w:type="dxa"/>
            </w:tcMar>
          </w:tcPr>
          <w:p>
            <w:pPr>
              <w:spacing w:after="0"/>
            </w:pPr>
            <w:r>
              <w:rPr>
                <w:sz w:val="18"/>
              </w:rPr>
              <w:t>OpenAPI e AsyncAPI</w:t>
            </w:r>
          </w:p>
        </w:tc>
      </w:tr>
      <w:tr>
        <w:tc>
          <w:tcPr>
            <w:tcW w:type="dxa" w:w="1944"/>
            <w:vAlign w:val="center"/>
            <w:tcMar>
              <w:top w:w="100" w:type="dxa"/>
              <w:start w:w="120" w:type="dxa"/>
              <w:bottom w:w="100" w:type="dxa"/>
              <w:end w:w="120" w:type="dxa"/>
            </w:tcMar>
            <w:shd w:fill="EAF1F8"/>
          </w:tcPr>
          <w:p>
            <w:pPr>
              <w:spacing w:after="0"/>
            </w:pPr>
            <w:r>
              <w:rPr>
                <w:sz w:val="18"/>
              </w:rPr>
              <w:t>Confiabilidade</w:t>
            </w:r>
          </w:p>
        </w:tc>
        <w:tc>
          <w:tcPr>
            <w:tcW w:type="dxa" w:w="3888"/>
            <w:vAlign w:val="center"/>
            <w:tcMar>
              <w:top w:w="100" w:type="dxa"/>
              <w:start w:w="120" w:type="dxa"/>
              <w:bottom w:w="100" w:type="dxa"/>
              <w:end w:w="120" w:type="dxa"/>
            </w:tcMar>
            <w:shd w:fill="EAF1F8"/>
          </w:tcPr>
          <w:p>
            <w:pPr>
              <w:spacing w:after="0"/>
            </w:pPr>
            <w:r>
              <w:rPr>
                <w:sz w:val="18"/>
              </w:rPr>
              <w:t>Outbox, inbox e idempotência</w:t>
            </w:r>
          </w:p>
        </w:tc>
        <w:tc>
          <w:tcPr>
            <w:tcW w:type="dxa" w:w="3744"/>
            <w:vAlign w:val="center"/>
            <w:tcMar>
              <w:top w:w="100" w:type="dxa"/>
              <w:start w:w="120" w:type="dxa"/>
              <w:bottom w:w="100" w:type="dxa"/>
              <w:end w:w="120" w:type="dxa"/>
            </w:tcMar>
            <w:shd w:fill="EAF1F8"/>
          </w:tcPr>
          <w:p>
            <w:pPr>
              <w:spacing w:after="0"/>
            </w:pPr>
            <w:r>
              <w:rPr>
                <w:sz w:val="18"/>
              </w:rPr>
              <w:t>F2 sem duplicidade</w:t>
            </w:r>
          </w:p>
        </w:tc>
      </w:tr>
      <w:tr>
        <w:tc>
          <w:tcPr>
            <w:tcW w:type="dxa" w:w="1944"/>
            <w:vAlign w:val="center"/>
            <w:tcMar>
              <w:top w:w="100" w:type="dxa"/>
              <w:start w:w="120" w:type="dxa"/>
              <w:bottom w:w="100" w:type="dxa"/>
              <w:end w:w="120" w:type="dxa"/>
            </w:tcMar>
          </w:tcPr>
          <w:p>
            <w:pPr>
              <w:spacing w:after="0"/>
            </w:pPr>
            <w:r>
              <w:rPr>
                <w:sz w:val="18"/>
              </w:rPr>
              <w:t>Segurança</w:t>
            </w:r>
          </w:p>
        </w:tc>
        <w:tc>
          <w:tcPr>
            <w:tcW w:type="dxa" w:w="3888"/>
            <w:vAlign w:val="center"/>
            <w:tcMar>
              <w:top w:w="100" w:type="dxa"/>
              <w:start w:w="120" w:type="dxa"/>
              <w:bottom w:w="100" w:type="dxa"/>
              <w:end w:w="120" w:type="dxa"/>
            </w:tcMar>
          </w:tcPr>
          <w:p>
            <w:pPr>
              <w:spacing w:after="0"/>
            </w:pPr>
            <w:r>
              <w:rPr>
                <w:sz w:val="18"/>
              </w:rPr>
              <w:t>RBAC, validação e minimização</w:t>
            </w:r>
          </w:p>
        </w:tc>
        <w:tc>
          <w:tcPr>
            <w:tcW w:type="dxa" w:w="3744"/>
            <w:vAlign w:val="center"/>
            <w:tcMar>
              <w:top w:w="100" w:type="dxa"/>
              <w:start w:w="120" w:type="dxa"/>
              <w:bottom w:w="100" w:type="dxa"/>
              <w:end w:w="120" w:type="dxa"/>
            </w:tcMar>
          </w:tcPr>
          <w:p>
            <w:pPr>
              <w:spacing w:after="0"/>
            </w:pPr>
            <w:r>
              <w:rPr>
                <w:sz w:val="18"/>
              </w:rPr>
              <w:t>Teste 403</w:t>
            </w:r>
          </w:p>
        </w:tc>
      </w:tr>
      <w:tr>
        <w:tc>
          <w:tcPr>
            <w:tcW w:type="dxa" w:w="1944"/>
            <w:vAlign w:val="center"/>
            <w:tcMar>
              <w:top w:w="100" w:type="dxa"/>
              <w:start w:w="120" w:type="dxa"/>
              <w:bottom w:w="100" w:type="dxa"/>
              <w:end w:w="120" w:type="dxa"/>
            </w:tcMar>
            <w:shd w:fill="EAF1F8"/>
          </w:tcPr>
          <w:p>
            <w:pPr>
              <w:spacing w:after="0"/>
            </w:pPr>
            <w:r>
              <w:rPr>
                <w:sz w:val="18"/>
              </w:rPr>
              <w:t>Observabilidade</w:t>
            </w:r>
          </w:p>
        </w:tc>
        <w:tc>
          <w:tcPr>
            <w:tcW w:type="dxa" w:w="3888"/>
            <w:vAlign w:val="center"/>
            <w:tcMar>
              <w:top w:w="100" w:type="dxa"/>
              <w:start w:w="120" w:type="dxa"/>
              <w:bottom w:w="100" w:type="dxa"/>
              <w:end w:w="120" w:type="dxa"/>
            </w:tcMar>
            <w:shd w:fill="EAF1F8"/>
          </w:tcPr>
          <w:p>
            <w:pPr>
              <w:spacing w:after="0"/>
            </w:pPr>
            <w:r>
              <w:rPr>
                <w:sz w:val="18"/>
              </w:rPr>
              <w:t>Correlação, logs, métricas e auditoria</w:t>
            </w:r>
          </w:p>
        </w:tc>
        <w:tc>
          <w:tcPr>
            <w:tcW w:type="dxa" w:w="3744"/>
            <w:vAlign w:val="center"/>
            <w:tcMar>
              <w:top w:w="100" w:type="dxa"/>
              <w:start w:w="120" w:type="dxa"/>
              <w:bottom w:w="100" w:type="dxa"/>
              <w:end w:w="120" w:type="dxa"/>
            </w:tcMar>
            <w:shd w:fill="EAF1F8"/>
          </w:tcPr>
          <w:p>
            <w:pPr>
              <w:spacing w:after="0"/>
            </w:pPr>
            <w:r>
              <w:rPr>
                <w:sz w:val="18"/>
              </w:rPr>
              <w:t>Consulta da operação</w:t>
            </w:r>
          </w:p>
        </w:tc>
      </w:tr>
      <w:tr>
        <w:tc>
          <w:tcPr>
            <w:tcW w:type="dxa" w:w="1944"/>
            <w:vAlign w:val="center"/>
            <w:tcMar>
              <w:top w:w="100" w:type="dxa"/>
              <w:start w:w="120" w:type="dxa"/>
              <w:bottom w:w="100" w:type="dxa"/>
              <w:end w:w="120" w:type="dxa"/>
            </w:tcMar>
          </w:tcPr>
          <w:p>
            <w:pPr>
              <w:spacing w:after="0"/>
            </w:pPr>
            <w:r>
              <w:rPr>
                <w:sz w:val="18"/>
              </w:rPr>
              <w:t>Manutenibilidade</w:t>
            </w:r>
          </w:p>
        </w:tc>
        <w:tc>
          <w:tcPr>
            <w:tcW w:type="dxa" w:w="3888"/>
            <w:vAlign w:val="center"/>
            <w:tcMar>
              <w:top w:w="100" w:type="dxa"/>
              <w:start w:w="120" w:type="dxa"/>
              <w:bottom w:w="100" w:type="dxa"/>
              <w:end w:w="120" w:type="dxa"/>
            </w:tcMar>
          </w:tcPr>
          <w:p>
            <w:pPr>
              <w:spacing w:after="0"/>
            </w:pPr>
            <w:r>
              <w:rPr>
                <w:sz w:val="18"/>
              </w:rPr>
              <w:t>Portas e teste de fronteira</w:t>
            </w:r>
          </w:p>
        </w:tc>
        <w:tc>
          <w:tcPr>
            <w:tcW w:type="dxa" w:w="3744"/>
            <w:vAlign w:val="center"/>
            <w:tcMar>
              <w:top w:w="100" w:type="dxa"/>
              <w:start w:w="120" w:type="dxa"/>
              <w:bottom w:w="100" w:type="dxa"/>
              <w:end w:w="120" w:type="dxa"/>
            </w:tcMar>
          </w:tcPr>
          <w:p>
            <w:pPr>
              <w:spacing w:after="0"/>
            </w:pPr>
            <w:r>
              <w:rPr>
                <w:sz w:val="18"/>
              </w:rPr>
              <w:t>Zero importação cruzada</w:t>
            </w:r>
          </w:p>
        </w:tc>
      </w:tr>
      <w:tr>
        <w:tc>
          <w:tcPr>
            <w:tcW w:type="dxa" w:w="1944"/>
            <w:vAlign w:val="center"/>
            <w:tcMar>
              <w:top w:w="100" w:type="dxa"/>
              <w:start w:w="120" w:type="dxa"/>
              <w:bottom w:w="100" w:type="dxa"/>
              <w:end w:w="120" w:type="dxa"/>
            </w:tcMar>
            <w:shd w:fill="EAF1F8"/>
          </w:tcPr>
          <w:p>
            <w:pPr>
              <w:spacing w:after="0"/>
            </w:pPr>
            <w:r>
              <w:rPr>
                <w:sz w:val="18"/>
              </w:rPr>
              <w:t>Disponibilidade</w:t>
            </w:r>
          </w:p>
        </w:tc>
        <w:tc>
          <w:tcPr>
            <w:tcW w:type="dxa" w:w="3888"/>
            <w:vAlign w:val="center"/>
            <w:tcMar>
              <w:top w:w="100" w:type="dxa"/>
              <w:start w:w="120" w:type="dxa"/>
              <w:bottom w:w="100" w:type="dxa"/>
              <w:end w:w="120" w:type="dxa"/>
            </w:tcMar>
            <w:shd w:fill="EAF1F8"/>
          </w:tcPr>
          <w:p>
            <w:pPr>
              <w:spacing w:after="0"/>
            </w:pPr>
            <w:r>
              <w:rPr>
                <w:sz w:val="18"/>
              </w:rPr>
              <w:t>Estado pendente e reconciliação</w:t>
            </w:r>
          </w:p>
        </w:tc>
        <w:tc>
          <w:tcPr>
            <w:tcW w:type="dxa" w:w="3744"/>
            <w:vAlign w:val="center"/>
            <w:tcMar>
              <w:top w:w="100" w:type="dxa"/>
              <w:start w:w="120" w:type="dxa"/>
              <w:bottom w:w="100" w:type="dxa"/>
              <w:end w:w="120" w:type="dxa"/>
            </w:tcMar>
            <w:shd w:fill="EAF1F8"/>
          </w:tcPr>
          <w:p>
            <w:pPr>
              <w:spacing w:after="0"/>
            </w:pPr>
            <w:r>
              <w:rPr>
                <w:sz w:val="18"/>
              </w:rPr>
              <w:t>Teste de indisponibilidade</w:t>
            </w:r>
          </w:p>
        </w:tc>
      </w:tr>
      <w:tr>
        <w:tc>
          <w:tcPr>
            <w:tcW w:type="dxa" w:w="1944"/>
            <w:vAlign w:val="center"/>
            <w:tcMar>
              <w:top w:w="100" w:type="dxa"/>
              <w:start w:w="120" w:type="dxa"/>
              <w:bottom w:w="100" w:type="dxa"/>
              <w:end w:w="120" w:type="dxa"/>
            </w:tcMar>
          </w:tcPr>
          <w:p>
            <w:pPr>
              <w:spacing w:after="0"/>
            </w:pPr>
            <w:r>
              <w:rPr>
                <w:sz w:val="18"/>
              </w:rPr>
              <w:t>Desempenho</w:t>
            </w:r>
          </w:p>
        </w:tc>
        <w:tc>
          <w:tcPr>
            <w:tcW w:type="dxa" w:w="3888"/>
            <w:vAlign w:val="center"/>
            <w:tcMar>
              <w:top w:w="100" w:type="dxa"/>
              <w:start w:w="120" w:type="dxa"/>
              <w:bottom w:w="100" w:type="dxa"/>
              <w:end w:w="120" w:type="dxa"/>
            </w:tcMar>
          </w:tcPr>
          <w:p>
            <w:pPr>
              <w:spacing w:after="0"/>
            </w:pPr>
            <w:r>
              <w:rPr>
                <w:sz w:val="18"/>
              </w:rPr>
              <w:t>API sem estado e índices</w:t>
            </w:r>
          </w:p>
        </w:tc>
        <w:tc>
          <w:tcPr>
            <w:tcW w:type="dxa" w:w="3744"/>
            <w:vAlign w:val="center"/>
            <w:tcMar>
              <w:top w:w="100" w:type="dxa"/>
              <w:start w:w="120" w:type="dxa"/>
              <w:bottom w:w="100" w:type="dxa"/>
              <w:end w:w="120" w:type="dxa"/>
            </w:tcMar>
          </w:tcPr>
          <w:p>
            <w:pPr>
              <w:spacing w:after="0"/>
            </w:pPr>
            <w:r>
              <w:rPr>
                <w:sz w:val="18"/>
              </w:rPr>
              <w:t>p95 de 4,75 ms</w:t>
            </w:r>
          </w:p>
        </w:tc>
      </w:tr>
      <w:tr>
        <w:tc>
          <w:tcPr>
            <w:tcW w:type="dxa" w:w="1944"/>
            <w:vAlign w:val="center"/>
            <w:tcMar>
              <w:top w:w="100" w:type="dxa"/>
              <w:start w:w="120" w:type="dxa"/>
              <w:bottom w:w="100" w:type="dxa"/>
              <w:end w:w="120" w:type="dxa"/>
            </w:tcMar>
            <w:shd w:fill="EAF1F8"/>
          </w:tcPr>
          <w:p>
            <w:pPr>
              <w:spacing w:after="0"/>
            </w:pPr>
            <w:r>
              <w:rPr>
                <w:sz w:val="18"/>
              </w:rPr>
              <w:t>Escalabilidade</w:t>
            </w:r>
          </w:p>
        </w:tc>
        <w:tc>
          <w:tcPr>
            <w:tcW w:type="dxa" w:w="3888"/>
            <w:vAlign w:val="center"/>
            <w:tcMar>
              <w:top w:w="100" w:type="dxa"/>
              <w:start w:w="120" w:type="dxa"/>
              <w:bottom w:w="100" w:type="dxa"/>
              <w:end w:w="120" w:type="dxa"/>
            </w:tcMar>
            <w:shd w:fill="EAF1F8"/>
          </w:tcPr>
          <w:p>
            <w:pPr>
              <w:spacing w:after="0"/>
            </w:pPr>
            <w:r>
              <w:rPr>
                <w:sz w:val="18"/>
              </w:rPr>
              <w:t>Consumidores idempotentes</w:t>
            </w:r>
          </w:p>
        </w:tc>
        <w:tc>
          <w:tcPr>
            <w:tcW w:type="dxa" w:w="3744"/>
            <w:vAlign w:val="center"/>
            <w:tcMar>
              <w:top w:w="100" w:type="dxa"/>
              <w:start w:w="120" w:type="dxa"/>
              <w:bottom w:w="100" w:type="dxa"/>
              <w:end w:w="120" w:type="dxa"/>
            </w:tcMar>
            <w:shd w:fill="EAF1F8"/>
          </w:tcPr>
          <w:p>
            <w:pPr>
              <w:spacing w:after="0"/>
            </w:pPr>
            <w:r>
              <w:rPr>
                <w:sz w:val="18"/>
              </w:rPr>
              <w:t>Escala por fila possível</w:t>
            </w:r>
          </w:p>
        </w:tc>
      </w:tr>
      <w:tr>
        <w:tc>
          <w:tcPr>
            <w:tcW w:type="dxa" w:w="1944"/>
            <w:vAlign w:val="center"/>
            <w:tcMar>
              <w:top w:w="100" w:type="dxa"/>
              <w:start w:w="120" w:type="dxa"/>
              <w:bottom w:w="100" w:type="dxa"/>
              <w:end w:w="120" w:type="dxa"/>
            </w:tcMar>
          </w:tcPr>
          <w:p>
            <w:pPr>
              <w:spacing w:after="0"/>
            </w:pPr>
            <w:r>
              <w:rPr>
                <w:sz w:val="18"/>
              </w:rPr>
              <w:t>Testabilidade</w:t>
            </w:r>
          </w:p>
        </w:tc>
        <w:tc>
          <w:tcPr>
            <w:tcW w:type="dxa" w:w="3888"/>
            <w:vAlign w:val="center"/>
            <w:tcMar>
              <w:top w:w="100" w:type="dxa"/>
              <w:start w:w="120" w:type="dxa"/>
              <w:bottom w:w="100" w:type="dxa"/>
              <w:end w:w="120" w:type="dxa"/>
            </w:tcMar>
          </w:tcPr>
          <w:p>
            <w:pPr>
              <w:spacing w:after="0"/>
            </w:pPr>
            <w:r>
              <w:rPr>
                <w:sz w:val="18"/>
              </w:rPr>
              <w:t>Suíte e adaptadores</w:t>
            </w:r>
          </w:p>
        </w:tc>
        <w:tc>
          <w:tcPr>
            <w:tcW w:type="dxa" w:w="3744"/>
            <w:vAlign w:val="center"/>
            <w:tcMar>
              <w:top w:w="100" w:type="dxa"/>
              <w:start w:w="120" w:type="dxa"/>
              <w:bottom w:w="100" w:type="dxa"/>
              <w:end w:w="120" w:type="dxa"/>
            </w:tcMar>
          </w:tcPr>
          <w:p>
            <w:pPr>
              <w:spacing w:after="0"/>
            </w:pPr>
            <w:r>
              <w:rPr>
                <w:sz w:val="18"/>
              </w:rPr>
              <w:t>11 testes aprovados</w:t>
            </w:r>
          </w:p>
        </w:tc>
      </w:tr>
    </w:tbl>
    <w:p>
      <w:pPr>
        <w:spacing w:after="40"/>
      </w:pPr>
    </w:p>
    <w:p>
      <w:pPr>
        <w:spacing w:after="160" w:line="276" w:lineRule="auto"/>
        <w:jc w:val="both"/>
      </w:pPr>
      <w:r>
        <w:t>As medições representam o ambiente local e não substituem capacidade planejada com volumes reais. A equipe deve registrar hardware e amostra quando repetir o teste na apresentação.</w:t>
      </w:r>
    </w:p>
    <w:p>
      <w:pPr>
        <w:pStyle w:val="Heading1"/>
        <w:pageBreakBefore/>
        <w:spacing w:before="160" w:after="240"/>
      </w:pPr>
      <w:r>
        <w:t>11 Evolução manutenção e viabilidade</w:t>
      </w:r>
    </w:p>
    <w:p>
      <w:pPr>
        <w:pStyle w:val="Heading2"/>
      </w:pPr>
      <w:r>
        <w:t>11.1 Evolução</w:t>
      </w:r>
    </w:p>
    <w:p>
      <w:pPr>
        <w:spacing w:after="160" w:line="276" w:lineRule="auto"/>
        <w:jc w:val="both"/>
      </w:pPr>
      <w:r>
        <w:t>Novos módulos entram por portas e adaptadores. Mudanças compatíveis adicionam campos opcionais. Mudanças incompatíveis criam uma nova versão. Uma migração gradual adiciona estrutura antes do código consumidor, acompanha métricas e remove o formato antigo em outra versão.</w:t>
      </w:r>
    </w:p>
    <w:p>
      <w:pPr>
        <w:pStyle w:val="Heading2"/>
      </w:pPr>
      <w:r>
        <w:t>11.2 Escalabilidade</w:t>
      </w:r>
    </w:p>
    <w:p>
      <w:pPr>
        <w:spacing w:after="160" w:line="276" w:lineRule="auto"/>
        <w:jc w:val="both"/>
      </w:pPr>
      <w:r>
        <w:t>A API sem estado pode receber réplicas. Consumidores idempotentes podem aumentar por fila. Particionamento ou extração de serviços exige métricas de volume, latência, disponibilidade ou cadência de implantação e um novo ADR.</w:t>
      </w:r>
    </w:p>
    <w:p>
      <w:pPr>
        <w:pStyle w:val="Heading2"/>
      </w:pPr>
      <w:r>
        <w:t>11.3 Valor e viabilidade</w:t>
      </w:r>
    </w:p>
    <w:p>
      <w:pPr>
        <w:spacing w:after="160" w:line="276" w:lineRule="auto"/>
        <w:jc w:val="both"/>
      </w:pPr>
      <w:r>
        <w:t>A proposta reduz recadastro e conecta venda, ativação, cobrança, onboarding e atendimento. O monólito modular e os simuladores limitam custo e complexidade para uma equipe júnior. Os maiores esforços futuros serão descoberta dos legados, qualidade de dados e integração com identidade corporativa.</w:t>
      </w:r>
    </w:p>
    <w:p>
      <w:pPr>
        <w:pStyle w:val="ListBullet"/>
        <w:spacing w:after="80"/>
      </w:pPr>
      <w:r>
        <w:t>Tempo entre ativação e cobrança</w:t>
      </w:r>
    </w:p>
    <w:p>
      <w:pPr>
        <w:pStyle w:val="ListBullet"/>
        <w:spacing w:after="80"/>
      </w:pPr>
      <w:r>
        <w:t>Contratos com recadastro</w:t>
      </w:r>
    </w:p>
    <w:p>
      <w:pPr>
        <w:pStyle w:val="ListBullet"/>
        <w:spacing w:after="80"/>
      </w:pPr>
      <w:r>
        <w:t>Chamados com SLA incorreto</w:t>
      </w:r>
    </w:p>
    <w:p>
      <w:pPr>
        <w:pStyle w:val="ListBullet"/>
        <w:spacing w:after="80"/>
      </w:pPr>
      <w:r>
        <w:t>Falhas e tempo de diagnóstico</w:t>
      </w:r>
    </w:p>
    <w:p>
      <w:pPr>
        <w:pStyle w:val="Heading1"/>
        <w:pageBreakBefore/>
        <w:spacing w:before="160" w:after="240"/>
      </w:pPr>
      <w:r>
        <w:t>12 Resultados e considerações finais</w:t>
      </w:r>
    </w:p>
    <w:p>
      <w:pPr>
        <w:spacing w:after="160" w:line="276" w:lineRule="auto"/>
        <w:jc w:val="both"/>
      </w:pPr>
      <w:r>
        <w:t>A entrega implementou a arquitetura e produziu as evidências requeridas. Onze testes passaram. Os três fluxos integrados funcionaram; repetição não duplicou cobrança ou processo; falha de dependência preservou o chamado; e o reprocessamento manteve rastreabilidade. O resultado atende ao propósito do enunciado de “demonstrar como a arquitetura e a integração funcionariam na prática” [1].</w:t>
      </w:r>
    </w:p>
    <w:p>
      <w:pPr>
        <w:spacing w:after="160" w:line="276" w:lineRule="auto"/>
        <w:jc w:val="both"/>
      </w:pPr>
      <w:r>
        <w:t>Os componentes permanecem organizados por responsabilidade. REST atende decisões imediatas e eventos desacoplam os efeitos posteriores. O ADR registra por que a equipe evitou microsserviços completos e um ESB com regras centrais. A arquitetura permite evolução porque as portas e contratos continuam válidos quando um adaptador ou módulo muda.</w:t>
      </w:r>
    </w:p>
    <w:p>
      <w:pPr>
        <w:spacing w:after="160" w:line="276" w:lineRule="auto"/>
        <w:jc w:val="both"/>
      </w:pPr>
      <w:r>
        <w:t>O principal limite decorre dos dados organizacionais ausentes no cenário. Produtos, volumes e interfaces reais podem alterar adaptadores, políticas de timeout e capacidade. A arquitetura trata essas informações como premissas a validar e inclui critérios para reconsiderar a decisão.</w:t>
      </w:r>
    </w:p>
    <w:p>
      <w:pPr>
        <w:spacing w:after="160" w:line="276" w:lineRule="auto"/>
        <w:jc w:val="both"/>
      </w:pPr>
      <w:r>
        <w:t>Os próximos passos organizacionais são validar o AS-IS, substituir tokens simulados por OIDC real e executar o roteiro em infraestrutura de demonstração. A equipe deve atualizar a matriz de evidências com os resultados observados e registrar qualquer decisão estrutural em novo ADR.</w:t>
      </w:r>
    </w:p>
    <w:p>
      <w:pPr>
        <w:pStyle w:val="Heading1"/>
        <w:pageBreakBefore/>
        <w:spacing w:before="160" w:after="240"/>
      </w:pPr>
      <w:r>
        <w:t>Referências</w:t>
      </w:r>
    </w:p>
    <w:p>
      <w:pPr>
        <w:spacing w:after="180"/>
        <w:ind w:left="360" w:hanging="360"/>
      </w:pPr>
      <w:r>
        <w:t>[1] ARCHCORP. Projeto Aplicado ArchCorp Arquitetura de Sistemas Corporativos. Enunciado acadêmico fornecido ao projeto, 2026.</w:t>
      </w:r>
    </w:p>
    <w:p>
      <w:pPr>
        <w:spacing w:after="180"/>
        <w:ind w:left="360" w:hanging="360"/>
      </w:pPr>
      <w:r>
        <w:t>[2] BASS, Len; CLEMENTS, Paul; KAZMAN, Rick. Software Architecture in Practice. 4. ed. Boston: Addison-Wesley, 2021.</w:t>
      </w:r>
    </w:p>
    <w:p>
      <w:pPr>
        <w:spacing w:after="180"/>
        <w:ind w:left="360" w:hanging="360"/>
      </w:pPr>
      <w:r>
        <w:t>[3] HOHPE, Gregor; WOOLF, Bobby. Enterprise Integration Patterns. Boston: Addison-Wesley, 2003.</w:t>
      </w:r>
    </w:p>
    <w:p>
      <w:pPr>
        <w:spacing w:after="180"/>
        <w:ind w:left="360" w:hanging="360"/>
      </w:pPr>
      <w:r>
        <w:t>[4] NEWMAN, Sam. Building Microservices. 2. ed. Sebastopol: O'Reilly Media, 2021.</w:t>
      </w:r>
    </w:p>
    <w:p>
      <w:pPr>
        <w:spacing w:after="180"/>
        <w:ind w:left="360" w:hanging="360"/>
      </w:pPr>
      <w:r>
        <w:t>[5] IETF. RFC 9110 HTTP Semantics. Internet Engineering Task Force, 2022.</w:t>
      </w:r>
    </w:p>
    <w:p>
      <w:pPr>
        <w:spacing w:after="180"/>
        <w:ind w:left="360" w:hanging="360"/>
      </w:pPr>
      <w:r>
        <w:t>[6] OPENAPI INITIATIVE. OpenAPI Specification version 3.1.1. 2024.</w:t>
      </w:r>
    </w:p>
    <w:p>
      <w:pPr>
        <w:spacing w:after="180"/>
        <w:ind w:left="360" w:hanging="360"/>
      </w:pPr>
      <w:r>
        <w:t>[7] ASYNCAPI INITIATIVE. AsyncAPI Specification version 3.0.0. 2024.</w:t>
      </w:r>
    </w:p>
    <w:p>
      <w:pPr>
        <w:spacing w:after="180"/>
        <w:ind w:left="360" w:hanging="360"/>
      </w:pPr>
      <w:r>
        <w:t>[8] NYGARD, Michael T. Release It. 2. ed. Raleigh: Pragmatic Bookshelf, 2018.</w:t>
      </w:r>
    </w:p>
    <w:p>
      <w:pPr>
        <w:spacing w:after="160" w:line="276" w:lineRule="auto"/>
        <w:jc w:val="both"/>
      </w:pPr>
      <w:r>
        <w:t>Documentos complementares do repositório: ADR-001; plano de implementação; matriz de rastreabilidade; arquitetura AS-IS e TO-BE; contratos OpenAPI e AsyncAPI; roteiro de demonstração; evidências de validação.</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Equipe do Projeto Aplicado</dc:creator>
  <cp:keywords/>
  <dc:description>generated by python-docx</dc:description>
  <cp:lastModifiedBy/>
  <cp:revision>1</cp:revision>
  <dcterms:created xsi:type="dcterms:W3CDTF">2013-12-23T23:15:00Z</dcterms:created>
  <dcterms:modified xsi:type="dcterms:W3CDTF">2013-12-23T23:15:00Z</dcterms:modified>
  <cp:category/>
</cp:coreProperties>
</file>