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Maqueta (mockup) del prototipo</w:t>
      </w:r>
    </w:p>
    <w:p>
      <w:pPr>
        <w:spacing w:after="120" w:line="276"/>
        <w:jc w:val="both"/>
      </w:pPr>
      <w:r>
        <w:t xml:space="preserve">El prototipo es un tablero web, denominado ChurnTel, que consume la API del modelo supervisado de cancelación y que responde a la pregunta de negocio planteada: </w:t>
      </w:r>
      <w:r>
        <w:rPr>
          <w:i/>
          <w:iCs/>
        </w:rPr>
        <w:t xml:space="preserve">¿qué clientes y qué segmentos son más propensos a cancelar su suscripción, de modo que la compañía pueda ofrecerles tarifas y paquetes diferenciados que sostengan su permanencia?</w:t>
      </w:r>
      <w:r>
        <w:t xml:space="preserve"> El tablero combina un componente descriptivo, construido a partir de las variables exploradas en el dataset, con un componente predictivo que presenta las inferencias del modelo. Todas sus pantallas comparten un encabezado con el estado de la API (</w:t>
      </w:r>
      <w:r>
        <w:rPr>
          <w:rFonts w:ascii="Consolas" w:cs="Consolas" w:eastAsia="Consolas" w:hAnsi="Consolas"/>
          <w:sz w:val="20"/>
          <w:szCs w:val="20"/>
        </w:rPr>
        <w:t xml:space="preserve">/predict</w:t>
      </w:r>
      <w:r>
        <w:t xml:space="preserve">) y un menú de navegación. A continuación se describen sus cuatro vistas principales.</w:t>
      </w:r>
    </w:p>
    <w:p>
      <w:pPr>
        <w:spacing w:after="120" w:line="276"/>
        <w:jc w:val="both"/>
      </w:pPr>
      <w:r>
        <w:rPr>
          <w:b/>
          <w:bCs/>
        </w:rPr>
        <w:t xml:space="preserve">Vista 1. Panorama de cancelaciones. </w:t>
      </w:r>
      <w:r>
        <w:t xml:space="preserve">Presenta cuatro indicadores que dimensionan el problema: clientes analizados (7.043), clientes que cancelaron su suscripción (1.869, equivalentes al 26,5 %), ingresos que se dejan de recibir (€2.862.927) y clientes activos con riesgo alto según el modelo. Debajo se ubican las gráficas de tasa de cancelación por tipo de contrato y por servicio de internet, la curva de cancelación según la antigüedad del cliente con la comparación del cargo mensual promedio entre quienes se quedan y quienes cancelan, y la tasa de cancelación según el número de tickets técnicos y administrativos. Esta vista permite a la gerencia comercial entender quién cancela y cuánto le cuesta a la compañía.</w:t>
      </w:r>
    </w:p>
    <w:p>
      <w:pPr>
        <w:keepNext/>
        <w:spacing w:after="60" w:before="120"/>
      </w:pPr>
      <w:r>
        <w:rPr>
          <w:b/>
          <w:bCs/>
        </w:rPr>
        <w:t xml:space="preserve">Gráfico No. 1. Maqueta – Vista 1: Panorama de cancelaciones.</w:t>
      </w:r>
    </w:p>
    <w:p>
      <w:pPr>
        <w:keepNext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Fuente: Elaboración propia</w:t>
      </w:r>
    </w:p>
    <w:p>
      <w:pPr>
        <w:spacing w:after="120" w:line="276"/>
        <w:jc w:val="both"/>
      </w:pPr>
      <w:r>
        <w:rPr>
          <w:b/>
          <w:bCs/>
        </w:rPr>
        <w:t xml:space="preserve">Vista 2. Segmentos y ofertas. </w:t>
      </w:r>
      <w:r>
        <w:t xml:space="preserve">Contiene la tabla de segmentos priorizados. Para cada segmento muestra el número de clientes, la tasa de cancelación, el ingreso mensual en riesgo, el nivel de riesgo (alto, medio o bajo) y la oferta diferenciada sugerida, por ejemplo un descuento por migrar a contrato anual o soporte técnico sin costo. Es la vista que traduce el análisis en la decisión de negocio que busca la compañía.</w:t>
      </w:r>
    </w:p>
    <w:p>
      <w:pPr>
        <w:keepNext/>
        <w:spacing w:after="60" w:before="120"/>
      </w:pPr>
      <w:r>
        <w:rPr>
          <w:b/>
          <w:bCs/>
        </w:rPr>
        <w:t xml:space="preserve">Gráfico No. 2. Maqueta – Vista 2: Segmentos y ofertas.</w:t>
      </w:r>
    </w:p>
    <w:p>
      <w:pPr>
        <w:keepNext/>
        <w:jc w:val="center"/>
      </w:pPr>
      <w:r>
        <w:drawing>
          <wp:inline distT="0" distB="0" distL="0" distR="0">
            <wp:extent cx="4476750" cy="2514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Fuente: Elaboración propia</w:t>
      </w:r>
    </w:p>
    <w:p>
      <w:pPr>
        <w:spacing w:after="120" w:line="276"/>
        <w:jc w:val="both"/>
      </w:pPr>
      <w:r>
        <w:rPr>
          <w:b/>
          <w:bCs/>
        </w:rPr>
        <w:t xml:space="preserve">Vista 3. Predecir un cliente. </w:t>
      </w:r>
      <w:r>
        <w:t xml:space="preserve">El asesor diligencia el formulario con las características del cliente, identificadas con los mismos nombres de variables del dataset (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monthly_charges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contract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num_tech_tickets</w:t>
      </w:r>
      <w:r>
        <w:t xml:space="preserve">, entre otras). Al calcular, el tablero envía los datos a la API mediante </w:t>
      </w:r>
      <w:r>
        <w:rPr>
          <w:rFonts w:ascii="Consolas" w:cs="Consolas" w:eastAsia="Consolas" w:hAnsi="Consolas"/>
          <w:sz w:val="20"/>
          <w:szCs w:val="20"/>
        </w:rPr>
        <w:t xml:space="preserve">POST /predict</w:t>
      </w:r>
      <w:r>
        <w:t xml:space="preserve"> y presenta el resultado del modelo: la probabilidad de cancelación en un medidor, el nivel de riesgo, los factores que más pesan en la predicción y la oferta sugerida para retener al cliente.</w:t>
      </w:r>
    </w:p>
    <w:p>
      <w:pPr>
        <w:keepNext/>
        <w:spacing w:after="60" w:before="120"/>
      </w:pPr>
      <w:r>
        <w:rPr>
          <w:b/>
          <w:bCs/>
        </w:rPr>
        <w:t xml:space="preserve">Gráfico No. 3. Maqueta – Vista 3: Predicción individual mediante la API.</w:t>
      </w:r>
    </w:p>
    <w:p>
      <w:pPr>
        <w:keepNext/>
        <w:jc w:val="center"/>
      </w:pPr>
      <w:r>
        <w:drawing>
          <wp:inline distT="0" distB="0" distL="0" distR="0">
            <wp:extent cx="4476750" cy="2514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Fuente: Elaboración propia</w:t>
      </w:r>
    </w:p>
    <w:p>
      <w:pPr>
        <w:spacing w:after="120" w:line="276"/>
        <w:jc w:val="both"/>
      </w:pPr>
      <w:r>
        <w:rPr>
          <w:b/>
          <w:bCs/>
        </w:rPr>
        <w:t xml:space="preserve">Vista 4. Clientes en riesgo. </w:t>
      </w:r>
      <w:r>
        <w:t xml:space="preserve">La API calcula la probabilidad de cancelación para toda la cartera activa y la vista lista a los clientes de mayor a menor riesgo, con su contrato, servicio de internet, antigüedad, cargo mensual y tickets técnicos. Incluye un filtro por nivel de riesgo y la opción de exportar la lista en CSV, de modo que el área comercial sepa a quién contactar primero en sus campañas de fidelización.</w:t>
      </w:r>
    </w:p>
    <w:p>
      <w:pPr>
        <w:keepNext/>
        <w:spacing w:after="60" w:before="120"/>
      </w:pPr>
      <w:r>
        <w:rPr>
          <w:b/>
          <w:bCs/>
        </w:rPr>
        <w:t xml:space="preserve">Gráfico No. 4. Maqueta – Vista 4: Clientes priorizados por riesgo.</w:t>
      </w:r>
    </w:p>
    <w:p>
      <w:pPr>
        <w:keepNext/>
        <w:jc w:val="center"/>
      </w:pPr>
      <w:r>
        <w:drawing>
          <wp:inline distT="0" distB="0" distL="0" distR="0">
            <wp:extent cx="4476750" cy="25146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Fuente: Elaboración propia</w:t>
      </w:r>
    </w:p>
    <w:p>
      <w:pPr>
        <w:keepNext/>
        <w:spacing w:after="60" w:before="120"/>
      </w:pPr>
      <w:r>
        <w:rPr>
          <w:b/>
          <w:bCs/>
        </w:rPr>
        <w:t xml:space="preserve">Tabla No. 1. Relación entre los elementos de la maqueta y la pregunta de negocio.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38"/>
        <w:gridCol w:w="2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4A59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4A59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responde de la pregunta de negocio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4A59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análisis / fuente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Indicadores clave (Vista 1)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Dimensionan el problema: 7.043 clientes, 1.869 cancelaciones (26,5 %), €2.862.927 que se dejan de recibir y clientes activos en riesgo alto.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Descriptivo · dataset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Gráficas por variable (Vista 1)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Muestran qué características se asocian a la cancelación: contrato, internet, antigüedad, cargo mensual y tickets técnicos y administrativos.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Descriptivo · dataset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de segmentos (Vista 2)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 los segmentos más propensos a cancelar y propone la tarifa o paquete diferenciado para cada uno.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Descriptivo + predictivo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Formulario y resultado del modelo (Vista 3)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 la probabilidad de cancelación de un cliente, explica los factores y sugiere la oferta de retención.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Predictivo · API /predict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de clientes en riesgo (Vista 4)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Prioriza a los clientes activos por probabilidad de cancelación y permite exportarlos para las campañas de fidelización.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Predictivo · API (lotes)</w:t>
            </w:r>
          </w:p>
        </w:tc>
      </w:tr>
    </w:tbl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Fuente: Elaboración propia</w:t>
      </w:r>
    </w:p>
    <w:p>
      <w:pPr>
        <w:spacing w:after="120" w:line="276"/>
        <w:jc w:val="both"/>
      </w:pPr>
      <w:r>
        <w:t xml:space="preserve">Las cifras de las gráficas de tasas, los segmentos y las probabilidades que aparecen en la maqueta son ilustrativas; se actualizarán con los resultados de la exploración de datos y del modelo entrenado. Las cifras de clientes, cancelaciones e ingresos provienen del dataset. La maqueta fue elaborada en Canva y sus imágenes están versionadas en la carpeta </w:t>
      </w:r>
      <w:r>
        <w:rPr>
          <w:rFonts w:ascii="Consolas" w:cs="Consolas" w:eastAsia="Consolas" w:hAnsi="Consolas"/>
          <w:sz w:val="20"/>
          <w:szCs w:val="20"/>
        </w:rPr>
        <w:t xml:space="preserve">maqueta/</w:t>
      </w:r>
      <w:r>
        <w:t xml:space="preserve"> del repositorio del proyecto.</w:t>
      </w:r>
    </w:p>
    <w:sectPr>
      <w:pgSz w:w="12240" w:h="15840" w:orient="portrait"/>
      <w:pgMar w:top="1417" w:right="1701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2F4F4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7a453ef67fda8992cc6b4d433b83d500473e9c2.png"/><Relationship Id="rId8" Type="http://schemas.openxmlformats.org/officeDocument/2006/relationships/image" Target="media/3b74bc14784db071bcacb2cc6cedea9801029912.png"/><Relationship Id="rId9" Type="http://schemas.openxmlformats.org/officeDocument/2006/relationships/image" Target="media/61c972890a88cd6b0c791096d5f9d78c338de8cb.png"/><Relationship Id="rId10" Type="http://schemas.openxmlformats.org/officeDocument/2006/relationships/image" Target="media/f50f1d4583a1095027596d0c30f6f07a63b2ba9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2026-10-25T17:35:14.510Z</dcterms:created>
  <dcterms:modified xsi:type="dcterms:W3CDTF">2026-10-25T17:35:14.516Z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