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9BA25" w14:textId="77777777" w:rsidR="00861EDF" w:rsidRDefault="00000000">
      <w:pPr>
        <w:pStyle w:val="Ttulo1"/>
      </w:pPr>
      <w:r>
        <w:t>Maqueta (mockup) del prototipo</w:t>
      </w:r>
    </w:p>
    <w:p w14:paraId="4976D2B7" w14:textId="77777777" w:rsidR="00861EDF" w:rsidRDefault="00000000">
      <w:pPr>
        <w:spacing w:after="120" w:line="276" w:lineRule="auto"/>
        <w:jc w:val="both"/>
      </w:pPr>
      <w:r>
        <w:t xml:space="preserve">El prototipo es un tablero web que consume la API del modelo supervisado de cancelación y que responde a la pregunta de negocio planteada: </w:t>
      </w:r>
      <w:r>
        <w:rPr>
          <w:i/>
          <w:iCs/>
        </w:rPr>
        <w:t>¿qué clientes y qué segmentos son más propensos a cancelar su suscripción, de modo que la compañía pueda ofrecerles tarifas y paquetes diferenciados que sostengan su permanencia?</w:t>
      </w:r>
      <w:r>
        <w:t xml:space="preserve"> Para ello combina un componente descriptivo, construido a partir de las variables exploradas en el </w:t>
      </w:r>
      <w:proofErr w:type="spellStart"/>
      <w:r>
        <w:t>dataset</w:t>
      </w:r>
      <w:proofErr w:type="spellEnd"/>
      <w:r>
        <w:t>, con un componente predictivo que muestra las inferencias del modelo. El tablero se organiza en cuatro vistas, cuyos elementos se identifican con letras (A–I) en los gráficos siguientes.</w:t>
      </w:r>
    </w:p>
    <w:p w14:paraId="6E7E95F0" w14:textId="77777777" w:rsidR="00861EDF" w:rsidRDefault="00000000">
      <w:pPr>
        <w:spacing w:after="120" w:line="276" w:lineRule="auto"/>
        <w:jc w:val="both"/>
      </w:pPr>
      <w:r>
        <w:rPr>
          <w:b/>
          <w:bCs/>
        </w:rPr>
        <w:t xml:space="preserve">Vista 1. Panorama de cancelaciones. </w:t>
      </w:r>
      <w:r>
        <w:t xml:space="preserve">Presenta los filtros globales (A), los indicadores que dimensionan el problema (B) y la tasa de cancelación según las variables que la exploración señala como relevantes: tipo de contrato e internet (C), antigüedad y cargo mensual (D), y número de </w:t>
      </w:r>
      <w:proofErr w:type="gramStart"/>
      <w:r>
        <w:t>tickets</w:t>
      </w:r>
      <w:proofErr w:type="gramEnd"/>
      <w:r>
        <w:t xml:space="preserve"> técnicos y administrativos (E). Esta vista permite a la gerencia comercial entender quién cancela y cuánto le cuesta a la compañía.</w:t>
      </w:r>
    </w:p>
    <w:p w14:paraId="094B01C4" w14:textId="77777777" w:rsidR="00861EDF" w:rsidRDefault="00000000">
      <w:pPr>
        <w:keepNext/>
        <w:spacing w:before="120" w:after="60"/>
      </w:pPr>
      <w:r>
        <w:rPr>
          <w:b/>
          <w:bCs/>
        </w:rPr>
        <w:t>Gráfico No. 1. Maqueta – Vista 1: Panorama de cancelaciones.</w:t>
      </w:r>
    </w:p>
    <w:p w14:paraId="1D8F6D22" w14:textId="77777777" w:rsidR="00861EDF" w:rsidRDefault="00000000">
      <w:pPr>
        <w:keepNext/>
        <w:jc w:val="center"/>
      </w:pPr>
      <w:r>
        <w:rPr>
          <w:noProof/>
        </w:rPr>
        <w:drawing>
          <wp:inline distT="0" distB="0" distL="0" distR="0" wp14:anchorId="6862452D" wp14:editId="1D04CA3C">
            <wp:extent cx="3810000" cy="37052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A7C48" w14:textId="77777777" w:rsidR="00861EDF" w:rsidRDefault="00000000">
      <w:pPr>
        <w:spacing w:after="160"/>
        <w:jc w:val="center"/>
      </w:pPr>
      <w:r>
        <w:rPr>
          <w:i/>
          <w:iCs/>
          <w:sz w:val="20"/>
          <w:szCs w:val="20"/>
        </w:rPr>
        <w:t>Fuente: Elaboración propia</w:t>
      </w:r>
    </w:p>
    <w:p w14:paraId="045EA236" w14:textId="77777777" w:rsidR="00861EDF" w:rsidRDefault="00000000">
      <w:pPr>
        <w:spacing w:after="120" w:line="276" w:lineRule="auto"/>
        <w:jc w:val="both"/>
      </w:pPr>
      <w:r>
        <w:rPr>
          <w:b/>
          <w:bCs/>
        </w:rPr>
        <w:t xml:space="preserve">Vista 2. Segmentos y ofertas. </w:t>
      </w:r>
      <w:r>
        <w:t>Ordena los segmentos de clientes por su tasa de cancelación y por el ingreso mensual en riesgo, y asocia a cada uno una oferta diferenciada (F). Es la vista que traduce el análisis en la decisión de negocio que busca la compañía.</w:t>
      </w:r>
    </w:p>
    <w:p w14:paraId="3D81B31B" w14:textId="77777777" w:rsidR="00861EDF" w:rsidRDefault="00000000">
      <w:pPr>
        <w:keepNext/>
        <w:spacing w:before="120" w:after="60"/>
      </w:pPr>
      <w:r>
        <w:rPr>
          <w:b/>
          <w:bCs/>
        </w:rPr>
        <w:lastRenderedPageBreak/>
        <w:t>Gráfico No. 2. Maqueta – Vista 2: Segmentos y ofertas.</w:t>
      </w:r>
    </w:p>
    <w:p w14:paraId="33C0E335" w14:textId="77777777" w:rsidR="00861EDF" w:rsidRDefault="00000000">
      <w:pPr>
        <w:keepNext/>
        <w:jc w:val="center"/>
      </w:pPr>
      <w:r>
        <w:rPr>
          <w:noProof/>
        </w:rPr>
        <w:drawing>
          <wp:inline distT="0" distB="0" distL="0" distR="0" wp14:anchorId="5BCF0F13" wp14:editId="31823D58">
            <wp:extent cx="4476750" cy="16192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3E46" w14:textId="77777777" w:rsidR="00861EDF" w:rsidRDefault="00000000">
      <w:pPr>
        <w:spacing w:after="160"/>
        <w:jc w:val="center"/>
      </w:pPr>
      <w:r>
        <w:rPr>
          <w:i/>
          <w:iCs/>
          <w:sz w:val="20"/>
          <w:szCs w:val="20"/>
        </w:rPr>
        <w:t>Fuente: Elaboración propia</w:t>
      </w:r>
    </w:p>
    <w:p w14:paraId="6E36CAFC" w14:textId="77777777" w:rsidR="00861EDF" w:rsidRDefault="00000000">
      <w:pPr>
        <w:spacing w:after="120" w:line="276" w:lineRule="auto"/>
        <w:jc w:val="both"/>
      </w:pPr>
      <w:r>
        <w:rPr>
          <w:b/>
          <w:bCs/>
        </w:rPr>
        <w:t xml:space="preserve">Vista 3. Predecir un cliente. </w:t>
      </w:r>
      <w:r>
        <w:t xml:space="preserve">El asesor ingresa las características del cliente con los mismos nombres de variables del </w:t>
      </w:r>
      <w:proofErr w:type="spellStart"/>
      <w:r>
        <w:t>dataset</w:t>
      </w:r>
      <w:proofErr w:type="spellEnd"/>
      <w:r>
        <w:t xml:space="preserve"> (G). El tablero las envía a la API mediante </w:t>
      </w:r>
      <w:r>
        <w:rPr>
          <w:rFonts w:ascii="Consolas" w:eastAsia="Consolas" w:hAnsi="Consolas" w:cs="Consolas"/>
          <w:sz w:val="20"/>
          <w:szCs w:val="2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</w:rPr>
        <w:t>predict</w:t>
      </w:r>
      <w:proofErr w:type="spellEnd"/>
      <w:r>
        <w:t xml:space="preserve"> y recibe la probabilidad de cancelación, el nivel de riesgo (bajo &lt; 30 %, medio 30–60 %, alto &gt; 60 %), los factores que más pesan en la predicción y la oferta sugerida (H).</w:t>
      </w:r>
    </w:p>
    <w:p w14:paraId="4716114B" w14:textId="77777777" w:rsidR="00861EDF" w:rsidRDefault="00000000">
      <w:pPr>
        <w:keepNext/>
        <w:spacing w:before="120" w:after="60"/>
      </w:pPr>
      <w:r>
        <w:rPr>
          <w:b/>
          <w:bCs/>
        </w:rPr>
        <w:t>Gráfico No. 3. Maqueta – Vista 3: Predicción individual mediante la API.</w:t>
      </w:r>
    </w:p>
    <w:p w14:paraId="34A24BE1" w14:textId="77777777" w:rsidR="00861EDF" w:rsidRDefault="00000000">
      <w:pPr>
        <w:keepNext/>
        <w:jc w:val="center"/>
      </w:pPr>
      <w:r>
        <w:rPr>
          <w:noProof/>
        </w:rPr>
        <w:drawing>
          <wp:inline distT="0" distB="0" distL="0" distR="0" wp14:anchorId="6C7832F5" wp14:editId="5A47C09C">
            <wp:extent cx="4476750" cy="19812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5C437" w14:textId="77777777" w:rsidR="00861EDF" w:rsidRDefault="00000000">
      <w:pPr>
        <w:spacing w:after="160"/>
        <w:jc w:val="center"/>
      </w:pPr>
      <w:r>
        <w:rPr>
          <w:i/>
          <w:iCs/>
          <w:sz w:val="20"/>
          <w:szCs w:val="20"/>
        </w:rPr>
        <w:t>Fuente: Elaboración propia</w:t>
      </w:r>
    </w:p>
    <w:p w14:paraId="7C8544C6" w14:textId="77777777" w:rsidR="00861EDF" w:rsidRDefault="00000000">
      <w:pPr>
        <w:spacing w:after="120" w:line="276" w:lineRule="auto"/>
        <w:jc w:val="both"/>
      </w:pPr>
      <w:r>
        <w:rPr>
          <w:b/>
          <w:bCs/>
        </w:rPr>
        <w:t xml:space="preserve">Vista 4. Clientes en riesgo. </w:t>
      </w:r>
      <w:r>
        <w:t>La API calcula la probabilidad para toda la cartera activa y la vista lista a los clientes de mayor a menor riesgo, con opción de exportar (I). Así el área comercial sabe a quién contactar primero en sus campañas de fidelización.</w:t>
      </w:r>
    </w:p>
    <w:p w14:paraId="1FAC551F" w14:textId="77777777" w:rsidR="00861EDF" w:rsidRDefault="00000000">
      <w:pPr>
        <w:keepNext/>
        <w:spacing w:before="120" w:after="60"/>
      </w:pPr>
      <w:r>
        <w:rPr>
          <w:b/>
          <w:bCs/>
        </w:rPr>
        <w:t>Gráfico No. 4. Maqueta – Vista 4: Clientes priorizados por riesgo.</w:t>
      </w:r>
    </w:p>
    <w:p w14:paraId="314A3D09" w14:textId="77777777" w:rsidR="00861EDF" w:rsidRDefault="00000000">
      <w:pPr>
        <w:keepNext/>
        <w:jc w:val="center"/>
      </w:pPr>
      <w:r>
        <w:rPr>
          <w:noProof/>
        </w:rPr>
        <w:drawing>
          <wp:inline distT="0" distB="0" distL="0" distR="0" wp14:anchorId="0DB51830" wp14:editId="776D920C">
            <wp:extent cx="4476750" cy="18002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453A5" w14:textId="77777777" w:rsidR="00861EDF" w:rsidRDefault="00000000">
      <w:pPr>
        <w:spacing w:after="160"/>
        <w:jc w:val="center"/>
      </w:pPr>
      <w:r>
        <w:rPr>
          <w:i/>
          <w:iCs/>
          <w:sz w:val="20"/>
          <w:szCs w:val="20"/>
        </w:rPr>
        <w:t>Fuente: Elaboración propia</w:t>
      </w:r>
    </w:p>
    <w:p w14:paraId="0ED99E76" w14:textId="77777777" w:rsidR="00861EDF" w:rsidRDefault="00000000">
      <w:pPr>
        <w:keepNext/>
        <w:spacing w:before="120" w:after="60"/>
      </w:pPr>
      <w:r>
        <w:rPr>
          <w:b/>
          <w:bCs/>
        </w:rPr>
        <w:lastRenderedPageBreak/>
        <w:t>Tabla No. 1. Relación entre los elementos de la maqueta y la pregunta de negocio.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038"/>
        <w:gridCol w:w="2500"/>
      </w:tblGrid>
      <w:tr w:rsidR="00861EDF" w14:paraId="0DBE42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84A59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0CD36" w14:textId="77777777" w:rsidR="00861EDF" w:rsidRDefault="00000000"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84A59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ED813C" w14:textId="77777777" w:rsidR="00861EDF" w:rsidRDefault="00000000">
            <w:r>
              <w:rPr>
                <w:b/>
                <w:bCs/>
                <w:color w:val="FFFFFF"/>
                <w:sz w:val="19"/>
                <w:szCs w:val="19"/>
              </w:rPr>
              <w:t>Qué responde de la pregunta de negocio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84A59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83B4DD" w14:textId="77777777" w:rsidR="00861EDF" w:rsidRDefault="00000000">
            <w:r>
              <w:rPr>
                <w:b/>
                <w:bCs/>
                <w:color w:val="FFFFFF"/>
                <w:sz w:val="19"/>
                <w:szCs w:val="19"/>
              </w:rPr>
              <w:t>Tipo de análisis / fuente</w:t>
            </w:r>
          </w:p>
        </w:tc>
      </w:tr>
      <w:tr w:rsidR="00861EDF" w14:paraId="28EEACA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09F586" w14:textId="77777777" w:rsidR="00861EDF" w:rsidRDefault="00000000">
            <w:r>
              <w:rPr>
                <w:sz w:val="19"/>
                <w:szCs w:val="19"/>
              </w:rPr>
              <w:t>A. Filtros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1D0B65" w14:textId="77777777" w:rsidR="00861EDF" w:rsidRDefault="00000000">
            <w:r>
              <w:rPr>
                <w:sz w:val="19"/>
                <w:szCs w:val="19"/>
              </w:rPr>
              <w:t>Permite segmentar la cartera por contrato, internet, método de pago y antigüedad.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4AE2E1" w14:textId="77777777" w:rsidR="00861EDF" w:rsidRDefault="00000000">
            <w:r>
              <w:rPr>
                <w:sz w:val="19"/>
                <w:szCs w:val="19"/>
              </w:rPr>
              <w:t xml:space="preserve">Descriptivo · </w:t>
            </w:r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</w:p>
        </w:tc>
      </w:tr>
      <w:tr w:rsidR="00861EDF" w14:paraId="0B82B5B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615CA0" w14:textId="77777777" w:rsidR="00861EDF" w:rsidRDefault="00000000">
            <w:r>
              <w:rPr>
                <w:sz w:val="19"/>
                <w:szCs w:val="19"/>
              </w:rPr>
              <w:t>B. Indicadores clave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2B528C" w14:textId="77777777" w:rsidR="00861EDF" w:rsidRDefault="00000000">
            <w:r>
              <w:rPr>
                <w:sz w:val="19"/>
                <w:szCs w:val="19"/>
              </w:rPr>
              <w:t>Dimensiona el problema: 1.869 cancelaciones (26,5 %) y €2.862.927 que se dejan de recibir.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A9855" w14:textId="77777777" w:rsidR="00861EDF" w:rsidRDefault="00000000">
            <w:r>
              <w:rPr>
                <w:sz w:val="19"/>
                <w:szCs w:val="19"/>
              </w:rPr>
              <w:t xml:space="preserve">Descriptivo · </w:t>
            </w:r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</w:p>
        </w:tc>
      </w:tr>
      <w:tr w:rsidR="00861EDF" w14:paraId="74721DA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8125B6" w14:textId="77777777" w:rsidR="00861EDF" w:rsidRDefault="00000000">
            <w:r>
              <w:rPr>
                <w:sz w:val="19"/>
                <w:szCs w:val="19"/>
              </w:rPr>
              <w:t>C–E. Gráficas por variable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908BDC" w14:textId="77777777" w:rsidR="00861EDF" w:rsidRDefault="00000000">
            <w:r>
              <w:rPr>
                <w:sz w:val="19"/>
                <w:szCs w:val="19"/>
              </w:rPr>
              <w:t xml:space="preserve">Muestra qué características se asocian a la cancelación: contrato, internet, antigüedad, cargo mensual y </w:t>
            </w:r>
            <w:proofErr w:type="gramStart"/>
            <w:r>
              <w:rPr>
                <w:sz w:val="19"/>
                <w:szCs w:val="19"/>
              </w:rPr>
              <w:t>tickets</w:t>
            </w:r>
            <w:proofErr w:type="gramEnd"/>
            <w:r>
              <w:rPr>
                <w:sz w:val="19"/>
                <w:szCs w:val="19"/>
              </w:rPr>
              <w:t xml:space="preserve"> de soporte.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26178" w14:textId="77777777" w:rsidR="00861EDF" w:rsidRDefault="00000000">
            <w:r>
              <w:rPr>
                <w:sz w:val="19"/>
                <w:szCs w:val="19"/>
              </w:rPr>
              <w:t xml:space="preserve">Descriptivo · </w:t>
            </w:r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</w:p>
        </w:tc>
      </w:tr>
      <w:tr w:rsidR="00861EDF" w14:paraId="5810EFC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E92AAC" w14:textId="77777777" w:rsidR="00861EDF" w:rsidRDefault="00000000">
            <w:r>
              <w:rPr>
                <w:sz w:val="19"/>
                <w:szCs w:val="19"/>
              </w:rPr>
              <w:t>F. Segmentos y ofertas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6E493" w14:textId="77777777" w:rsidR="00861EDF" w:rsidRDefault="00000000">
            <w:r>
              <w:rPr>
                <w:sz w:val="19"/>
                <w:szCs w:val="19"/>
              </w:rPr>
              <w:t>Identifica los segmentos más propensos a cancelar y propone la tarifa o paquete diferenciado para cada uno.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B97F1" w14:textId="77777777" w:rsidR="00861EDF" w:rsidRDefault="00000000">
            <w:r>
              <w:rPr>
                <w:sz w:val="19"/>
                <w:szCs w:val="19"/>
              </w:rPr>
              <w:t>Descriptivo + predictivo</w:t>
            </w:r>
          </w:p>
        </w:tc>
      </w:tr>
      <w:tr w:rsidR="00861EDF" w14:paraId="52CC673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AE562" w14:textId="77777777" w:rsidR="00861EDF" w:rsidRDefault="00000000">
            <w:r>
              <w:rPr>
                <w:sz w:val="19"/>
                <w:szCs w:val="19"/>
              </w:rPr>
              <w:t>G–H. Predicción individual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CE9667" w14:textId="77777777" w:rsidR="00861EDF" w:rsidRDefault="00000000">
            <w:r>
              <w:rPr>
                <w:sz w:val="19"/>
                <w:szCs w:val="19"/>
              </w:rPr>
              <w:t>Estima la probabilidad de cancelación de un cliente, explica los factores y sugiere la oferta de retención.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B0EE" w14:textId="77777777" w:rsidR="00861EDF" w:rsidRDefault="00000000">
            <w:r>
              <w:rPr>
                <w:sz w:val="19"/>
                <w:szCs w:val="19"/>
              </w:rPr>
              <w:t>Predictivo · API /</w:t>
            </w:r>
            <w:proofErr w:type="spellStart"/>
            <w:r>
              <w:rPr>
                <w:sz w:val="19"/>
                <w:szCs w:val="19"/>
              </w:rPr>
              <w:t>predict</w:t>
            </w:r>
            <w:proofErr w:type="spellEnd"/>
          </w:p>
        </w:tc>
      </w:tr>
      <w:tr w:rsidR="00861EDF" w14:paraId="5C3702F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9F7648" w14:textId="77777777" w:rsidR="00861EDF" w:rsidRDefault="00000000">
            <w:r>
              <w:rPr>
                <w:sz w:val="19"/>
                <w:szCs w:val="19"/>
              </w:rPr>
              <w:t>I. Clientes en riesgo</w:t>
            </w:r>
          </w:p>
        </w:tc>
        <w:tc>
          <w:tcPr>
            <w:tcW w:w="4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895377" w14:textId="77777777" w:rsidR="00861EDF" w:rsidRDefault="00000000">
            <w:r>
              <w:rPr>
                <w:sz w:val="19"/>
                <w:szCs w:val="19"/>
              </w:rPr>
              <w:t>Prioriza a los clientes activos por probabilidad de cancelación para dirigir las campañas de fidelización.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53D59E" w14:textId="77777777" w:rsidR="00861EDF" w:rsidRDefault="00000000">
            <w:r>
              <w:rPr>
                <w:sz w:val="19"/>
                <w:szCs w:val="19"/>
              </w:rPr>
              <w:t>Predictivo · API (lotes)</w:t>
            </w:r>
          </w:p>
        </w:tc>
      </w:tr>
    </w:tbl>
    <w:p w14:paraId="457A6FAA" w14:textId="77777777" w:rsidR="00861EDF" w:rsidRDefault="00000000">
      <w:pPr>
        <w:spacing w:after="160"/>
        <w:jc w:val="center"/>
      </w:pPr>
      <w:r>
        <w:rPr>
          <w:i/>
          <w:iCs/>
          <w:sz w:val="20"/>
          <w:szCs w:val="20"/>
        </w:rPr>
        <w:t>Fuente: Elaboración propia</w:t>
      </w:r>
    </w:p>
    <w:p w14:paraId="051A98BD" w14:textId="54254F3D" w:rsidR="00861EDF" w:rsidRDefault="00861EDF">
      <w:pPr>
        <w:spacing w:after="120" w:line="276" w:lineRule="auto"/>
        <w:jc w:val="both"/>
      </w:pPr>
    </w:p>
    <w:sectPr w:rsidR="00861EDF">
      <w:pgSz w:w="12240" w:h="15840"/>
      <w:pgMar w:top="1417" w:right="1701" w:bottom="1417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5638B"/>
    <w:multiLevelType w:val="hybridMultilevel"/>
    <w:tmpl w:val="203AD638"/>
    <w:lvl w:ilvl="0" w:tplc="D86C62B0" w:tentative="1">
      <w:start w:val="1"/>
      <w:numFmt w:val="bullet"/>
      <w:lvlText w:val="●"/>
      <w:lvlJc w:val="left"/>
      <w:pPr>
        <w:ind w:left="720" w:hanging="360"/>
      </w:pPr>
    </w:lvl>
    <w:lvl w:ilvl="1" w:tplc="7004EBB4" w:tentative="1">
      <w:start w:val="1"/>
      <w:numFmt w:val="bullet"/>
      <w:lvlText w:val="○"/>
      <w:lvlJc w:val="left"/>
      <w:pPr>
        <w:ind w:left="1440" w:hanging="360"/>
      </w:pPr>
    </w:lvl>
    <w:lvl w:ilvl="2" w:tplc="1512D6E8" w:tentative="1">
      <w:start w:val="1"/>
      <w:numFmt w:val="bullet"/>
      <w:lvlText w:val="■"/>
      <w:lvlJc w:val="left"/>
      <w:pPr>
        <w:ind w:left="2160" w:hanging="360"/>
      </w:pPr>
    </w:lvl>
    <w:lvl w:ilvl="3" w:tplc="223A4BC4" w:tentative="1">
      <w:start w:val="1"/>
      <w:numFmt w:val="bullet"/>
      <w:lvlText w:val="●"/>
      <w:lvlJc w:val="left"/>
      <w:pPr>
        <w:ind w:left="2880" w:hanging="360"/>
      </w:pPr>
    </w:lvl>
    <w:lvl w:ilvl="4" w:tplc="318E7610" w:tentative="1">
      <w:start w:val="1"/>
      <w:numFmt w:val="bullet"/>
      <w:lvlText w:val="○"/>
      <w:lvlJc w:val="left"/>
      <w:pPr>
        <w:ind w:left="3600" w:hanging="360"/>
      </w:pPr>
    </w:lvl>
    <w:lvl w:ilvl="5" w:tplc="DC424D00" w:tentative="1">
      <w:start w:val="1"/>
      <w:numFmt w:val="bullet"/>
      <w:lvlText w:val="■"/>
      <w:lvlJc w:val="left"/>
      <w:pPr>
        <w:ind w:left="4320" w:hanging="360"/>
      </w:pPr>
    </w:lvl>
    <w:lvl w:ilvl="6" w:tplc="80ACD814" w:tentative="1">
      <w:start w:val="1"/>
      <w:numFmt w:val="bullet"/>
      <w:lvlText w:val="●"/>
      <w:lvlJc w:val="left"/>
      <w:pPr>
        <w:ind w:left="5040" w:hanging="360"/>
      </w:pPr>
    </w:lvl>
    <w:lvl w:ilvl="7" w:tplc="F54A99D6" w:tentative="1">
      <w:start w:val="1"/>
      <w:numFmt w:val="bullet"/>
      <w:lvlText w:val="●"/>
      <w:lvlJc w:val="left"/>
      <w:pPr>
        <w:ind w:left="5760" w:hanging="360"/>
      </w:pPr>
    </w:lvl>
    <w:lvl w:ilvl="8" w:tplc="0E3EC1D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016898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EDF"/>
    <w:rsid w:val="000A427C"/>
    <w:rsid w:val="00357861"/>
    <w:rsid w:val="00861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77C12"/>
  <w15:docId w15:val="{F7ED858C-B6AD-438F-8E02-202037323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20" w:after="160"/>
      <w:outlineLvl w:val="0"/>
    </w:pPr>
    <w:rPr>
      <w:b/>
      <w:bCs/>
      <w:color w:val="2F4F4A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523</Words>
  <Characters>2879</Characters>
  <Application>Microsoft Office Word</Application>
  <DocSecurity>0</DocSecurity>
  <Lines>23</Lines>
  <Paragraphs>6</Paragraphs>
  <ScaleCrop>false</ScaleCrop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Gabriel Jesus Carrillo Rico</cp:lastModifiedBy>
  <cp:revision>2</cp:revision>
  <dcterms:created xsi:type="dcterms:W3CDTF">2026-10-25T17:03:00Z</dcterms:created>
  <dcterms:modified xsi:type="dcterms:W3CDTF">2026-10-25T17:14:00Z</dcterms:modified>
</cp:coreProperties>
</file>