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20"/>
      </w:pPr>
    </w:p>
    <w:p>
      <w:pPr>
        <w:pStyle w:val="Title"/>
        <w:jc w:val="center"/>
      </w:pPr>
      <w:r>
        <w:rPr>
          <w:rFonts w:ascii="Hiragino Sans GB" w:hAnsi="Hiragino Sans GB" w:eastAsia="Hiragino Sans GB"/>
          <w:b/>
          <w:color w:val="000000"/>
          <w:sz w:val="50"/>
        </w:rPr>
        <w:t>参考样例</w:t>
      </w:r>
    </w:p>
    <w:p>
      <w:pPr>
        <w:spacing w:after="440"/>
        <w:jc w:val="center"/>
      </w:pPr>
      <w:r>
        <w:rPr>
          <w:rFonts w:ascii="Hiragino Sans GB" w:hAnsi="Hiragino Sans GB" w:eastAsia="Hiragino Sans GB"/>
          <w:b w:val="0"/>
          <w:color w:val="087A5B"/>
          <w:sz w:val="28"/>
        </w:rPr>
        <w:t>StockMate 股票 AI 对话产品视频观察</w:t>
      </w:r>
    </w:p>
    <w:p>
      <w:pPr>
        <w:spacing w:line="348" w:lineRule="auto"/>
        <w:jc w:val="center"/>
      </w:pPr>
      <w:r>
        <w:rPr>
          <w:rFonts w:ascii="Hiragino Sans GB" w:hAnsi="Hiragino Sans GB" w:eastAsia="Hiragino Sans GB"/>
          <w:color w:val="666666"/>
          <w:sz w:val="21"/>
        </w:rPr>
        <w:t>用途  TalkToAI 第一版体验设计参考</w:t>
        <w:br/>
      </w:r>
      <w:r>
        <w:rPr>
          <w:rFonts w:ascii="Hiragino Sans GB" w:hAnsi="Hiragino Sans GB" w:eastAsia="Hiragino Sans GB"/>
          <w:color w:val="666666"/>
          <w:sz w:val="21"/>
        </w:rPr>
        <w:t>观察对象  样例视频中的移动端项目</w:t>
        <w:br/>
      </w:r>
      <w:r>
        <w:rPr>
          <w:rFonts w:ascii="Hiragino Sans GB" w:hAnsi="Hiragino Sans GB" w:eastAsia="Hiragino Sans GB"/>
          <w:color w:val="666666"/>
          <w:sz w:val="21"/>
        </w:rPr>
        <w:t>视频规格  1 分 55 秒  432 × 960  30 帧每秒</w:t>
        <w:br/>
      </w:r>
      <w:r>
        <w:rPr>
          <w:rFonts w:ascii="Hiragino Sans GB" w:hAnsi="Hiragino Sans GB" w:eastAsia="Hiragino Sans GB"/>
          <w:color w:val="666666"/>
          <w:sz w:val="21"/>
        </w:rPr>
        <w:t>整理日期  2026 年 9 月 8 日</w:t>
        <w:br/>
      </w:r>
    </w:p>
    <w:p>
      <w:pPr>
        <w:spacing w:after="680"/>
      </w:pPr>
    </w:p>
    <w:p>
      <w:pPr>
        <w:spacing w:line="355" w:lineRule="auto" w:after="0"/>
      </w:pPr>
      <w:r>
        <w:rPr>
          <w:rFonts w:ascii="Hiragino Sans GB" w:hAnsi="Hiragino Sans GB" w:eastAsia="Hiragino Sans GB"/>
          <w:color w:val="000000"/>
          <w:sz w:val="22"/>
        </w:rPr>
        <w:t>样例把 AI 对话作为主入口，再把行情详情、结构化行情卡片、会话表格、模型配置和附件选择拆成独立能力。其界面完整度较高，尤其适合参考信息层级、表格样式预览和侧栏会话管理；需要谨慎借鉴的是直接给出持仓与补仓方向、来源引用不足，以及大表格依赖横向滑动。</w:t>
      </w:r>
    </w:p>
    <w:p>
      <w:r>
        <w:br w:type="page"/>
      </w:r>
    </w:p>
    <w:p>
      <w:pPr>
        <w:pStyle w:val="Heading1"/>
        <w:keepNext/>
      </w:pPr>
      <w:r>
        <w:t>观察范围和结论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本报告基于视频画面记录可见的页面、状态和操作结果。它描述产品表现，不验证后台实现、数据授权、接口稳定性、模型真实性、响应耗时或行情准确性。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b/>
          <w:color w:val="000000"/>
          <w:sz w:val="21"/>
        </w:rPr>
        <w:t>总体结论：</w:t>
      </w:r>
      <w:r>
        <w:rPr>
          <w:rFonts w:ascii="Hiragino Sans GB" w:hAnsi="Hiragino Sans GB" w:eastAsia="Hiragino Sans GB"/>
          <w:color w:val="000000"/>
          <w:sz w:val="21"/>
        </w:rPr>
        <w:t>该项目已经形成股票行情与 AI 对话的组合体验。行情数据不只作为文本出现，还进入独立详情页、报价卡片、趋势图和跨消息表格。设置项能够实时预览字体与表格外观，模型 Provider 也有单独配置页面。产品重心明显偏向信息展示和研究辅助。</w:t>
      </w:r>
    </w:p>
    <w:p>
      <w:pPr>
        <w:pStyle w:val="Heading2"/>
        <w:keepNext/>
      </w:pPr>
      <w:r>
        <w:t>核心体验清单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6336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视频中的表现</w:t>
            </w:r>
          </w:p>
        </w:tc>
        <w:tc>
          <w:tcPr>
            <w:tcW w:type="dxa" w:w="1296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参考价值</w:t>
            </w:r>
          </w:p>
        </w:tc>
      </w:tr>
      <w:tr>
        <w:tc>
          <w:tcPr>
            <w:tcW w:type="dxa" w:w="151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行情详情</w:t>
            </w:r>
          </w:p>
        </w:tc>
        <w:tc>
          <w:tcPr>
            <w:tcW w:type="dxa" w:w="633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指数价格、涨跌、数据时间、分时折线、行情摘要和 AI 预测入口</w:t>
            </w:r>
          </w:p>
        </w:tc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1512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AI 对话</w:t>
            </w:r>
          </w:p>
        </w:tc>
        <w:tc>
          <w:tcPr>
            <w:tcW w:type="dxa" w:w="633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用户问题靠右，AI 长回答居左；支持复制、重新生成、朗读和更多操作</w:t>
            </w:r>
          </w:p>
        </w:tc>
        <w:tc>
          <w:tcPr>
            <w:tcW w:type="dxa" w:w="129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151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结构化数据</w:t>
            </w:r>
          </w:p>
        </w:tc>
        <w:tc>
          <w:tcPr>
            <w:tcW w:type="dxa" w:w="633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回答中嵌入行情卡片；独立页面汇总多条消息中的标的和指标</w:t>
            </w:r>
          </w:p>
        </w:tc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1512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会话管理</w:t>
            </w:r>
          </w:p>
        </w:tc>
        <w:tc>
          <w:tcPr>
            <w:tcW w:type="dxa" w:w="633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新建、编辑、归档、删除、恢复，并显示本地保存状态</w:t>
            </w:r>
          </w:p>
        </w:tc>
        <w:tc>
          <w:tcPr>
            <w:tcW w:type="dxa" w:w="129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151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个性化</w:t>
            </w:r>
          </w:p>
        </w:tc>
        <w:tc>
          <w:tcPr>
            <w:tcW w:type="dxa" w:w="633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主题、字体大小、表格密度、表头颜色和模型 Provider</w:t>
            </w:r>
          </w:p>
        </w:tc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中高</w:t>
            </w:r>
          </w:p>
        </w:tc>
      </w:tr>
      <w:tr>
        <w:tc>
          <w:tcPr>
            <w:tcW w:type="dxa" w:w="1512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多模态输入</w:t>
            </w:r>
          </w:p>
        </w:tc>
        <w:tc>
          <w:tcPr>
            <w:tcW w:type="dxa" w:w="633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语音输入、系统照片选择器和多图附件预览</w:t>
            </w:r>
          </w:p>
        </w:tc>
        <w:tc>
          <w:tcPr>
            <w:tcW w:type="dxa" w:w="129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中高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视频时间线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944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472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主要动作</w:t>
            </w:r>
          </w:p>
        </w:tc>
      </w:tr>
      <w:tr>
        <w:tc>
          <w:tcPr>
            <w:tcW w:type="dxa" w:w="17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00:00 至 00:11</w:t>
            </w:r>
          </w:p>
        </w:tc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行情详情</w:t>
            </w:r>
          </w:p>
        </w:tc>
        <w:tc>
          <w:tcPr>
            <w:tcW w:type="dxa" w:w="54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查看上证指数分时走势，触发 AI 预测并进入对话</w:t>
            </w:r>
          </w:p>
        </w:tc>
      </w:tr>
      <w:tr>
        <w:tc>
          <w:tcPr>
            <w:tcW w:type="dxa" w:w="1728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00:11 至 00:23</w:t>
            </w:r>
          </w:p>
        </w:tc>
        <w:tc>
          <w:tcPr>
            <w:tcW w:type="dxa" w:w="194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发起提问</w:t>
            </w:r>
          </w:p>
        </w:tc>
        <w:tc>
          <w:tcPr>
            <w:tcW w:type="dxa" w:w="5472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输入并发送 分析一下腾讯，页面显示生成等待状态</w:t>
            </w:r>
          </w:p>
        </w:tc>
      </w:tr>
      <w:tr>
        <w:tc>
          <w:tcPr>
            <w:tcW w:type="dxa" w:w="17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00:23 至 00:45</w:t>
            </w:r>
          </w:p>
        </w:tc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AI 回答</w:t>
            </w:r>
          </w:p>
        </w:tc>
        <w:tc>
          <w:tcPr>
            <w:tcW w:type="dxa" w:w="54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浏览基本面、业务逻辑、风险、方向判断和行情卡片</w:t>
            </w:r>
          </w:p>
        </w:tc>
      </w:tr>
      <w:tr>
        <w:tc>
          <w:tcPr>
            <w:tcW w:type="dxa" w:w="1728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00:45 至 00:55</w:t>
            </w:r>
          </w:p>
        </w:tc>
        <w:tc>
          <w:tcPr>
            <w:tcW w:type="dxa" w:w="194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输入与表格</w:t>
            </w:r>
          </w:p>
        </w:tc>
        <w:tc>
          <w:tcPr>
            <w:tcW w:type="dxa" w:w="5472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请求麦克风权限，进入会话表格对比页面</w:t>
            </w:r>
          </w:p>
        </w:tc>
      </w:tr>
      <w:tr>
        <w:tc>
          <w:tcPr>
            <w:tcW w:type="dxa" w:w="17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00:55 至 01:10</w:t>
            </w:r>
          </w:p>
        </w:tc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侧栏</w:t>
            </w:r>
          </w:p>
        </w:tc>
        <w:tc>
          <w:tcPr>
            <w:tcW w:type="dxa" w:w="54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查看功能入口和最近会话，进入编辑、归档、删除状态</w:t>
            </w:r>
          </w:p>
        </w:tc>
      </w:tr>
      <w:tr>
        <w:tc>
          <w:tcPr>
            <w:tcW w:type="dxa" w:w="1728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01:10 至 01:31</w:t>
            </w:r>
          </w:p>
        </w:tc>
        <w:tc>
          <w:tcPr>
            <w:tcW w:type="dxa" w:w="194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外观设置</w:t>
            </w:r>
          </w:p>
        </w:tc>
        <w:tc>
          <w:tcPr>
            <w:tcW w:type="dxa" w:w="5472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查看主题、字体预览、表格样式和自定义配色</w:t>
            </w:r>
          </w:p>
        </w:tc>
      </w:tr>
      <w:tr>
        <w:tc>
          <w:tcPr>
            <w:tcW w:type="dxa" w:w="17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01:31 至 01:43</w:t>
            </w:r>
          </w:p>
        </w:tc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归档与模型</w:t>
            </w:r>
          </w:p>
        </w:tc>
        <w:tc>
          <w:tcPr>
            <w:tcW w:type="dxa" w:w="54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恢复归档会话，切换并保存模型 Provider</w:t>
            </w:r>
          </w:p>
        </w:tc>
      </w:tr>
      <w:tr>
        <w:tc>
          <w:tcPr>
            <w:tcW w:type="dxa" w:w="1728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01:43 至 01:55</w:t>
            </w:r>
          </w:p>
        </w:tc>
        <w:tc>
          <w:tcPr>
            <w:tcW w:type="dxa" w:w="194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附件</w:t>
            </w:r>
          </w:p>
        </w:tc>
        <w:tc>
          <w:tcPr>
            <w:tcW w:type="dxa" w:w="5472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打开系统照片选择器，多选图片并回到对话输入区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信息架构和导航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主导航由左侧抽屉、对话页顶部操作区和设置页组成。抽屉顶部展示品牌与设置入口，随后提供 AI 问答和今日市场两个切换项，再列出思维导图、表格、AI 选股思路等工具。最近会话位于同一抽屉下方，形成工具入口与内容历史并列的结构。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对话页顶部保留抽屉按钮、会话标题、新建入口和更多菜单。行情详情则采用返回、标题和分享的普通页面结构。设置页继续拆分字体、表格样式、分享、归档和模型配置，因此复杂配置不会挤入主对话页。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48840" cy="477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0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775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148840" cy="477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0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7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Hiragino Sans GB" w:hAnsi="Hiragino Sans GB" w:eastAsia="Hiragino Sans GB"/>
          <w:color w:val="666666"/>
          <w:sz w:val="17"/>
        </w:rPr>
        <w:t>图 1 侧栏把工具与最近会话放在一起  设置页承担外观和模型入口</w:t>
      </w:r>
    </w:p>
    <w:p>
      <w:pPr>
        <w:pStyle w:val="Heading2"/>
        <w:keepNext/>
      </w:pPr>
      <w:r>
        <w:t>导航优点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常用对话、行情工具和历史会话之间的路径短，侧栏打开后无需返回首页。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会话管理采用显式管理状态，编辑、归档、删除直接显示在对应会话右侧。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设置页按外观、内容资产和模型配置分组，信息密度适中。</w:t>
      </w:r>
    </w:p>
    <w:p>
      <w:pPr>
        <w:pStyle w:val="Heading2"/>
        <w:keepNext/>
      </w:pPr>
      <w:r>
        <w:t>导航风险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工具入口和会话列表共享同一长侧栏，后续功能增加后容易滚动过长。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思维导图、表格和 AI 选股思路的层级关系仅靠图标和文字表达，缺少任务解释或首次使用引导。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对话标题较长时被截断，用户需要借助侧栏或会话管理才能确认完整名称。</w:t>
      </w:r>
    </w:p>
    <w:p>
      <w:pPr>
        <w:pStyle w:val="Heading1"/>
        <w:keepNext/>
      </w:pPr>
      <w:r>
        <w:t>UI 实现观察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整体采用浅灰页面底色、白色圆角卡片和绿色强调色。圆角尺寸较大，卡片之间留白充足；数字行情使用更大的字号，次要信息使用灰色。涨跌颜色出现在数据层，品牌绿色则用于选中态、发送按钮、链接和表头。</w:t>
      </w:r>
    </w:p>
    <w:p>
      <w:pPr>
        <w:pStyle w:val="Heading2"/>
        <w:keepNext/>
      </w:pPr>
      <w:r>
        <w:t>页面层级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行情详情先展示价格摘要，再展示趋势图、AI 预测状态和行情摘要，符合从结论到依据的阅读顺序。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对话页把顶部栏和底部输入器固定，中间内容滚动。用户问题使用右侧灰色气泡，AI 回答不强制放入大气泡，长文本更接近文章阅读。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回答中的行情卡片包含名称、市场、代码、价格、涨跌幅、小型趋势线、来源和数据时间，并提供查看详情入口。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48840" cy="477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775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148840" cy="477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0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7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Hiragino Sans GB" w:hAnsi="Hiragino Sans GB" w:eastAsia="Hiragino Sans GB"/>
          <w:color w:val="666666"/>
          <w:sz w:val="17"/>
        </w:rPr>
        <w:t>图 2 行情详情突出价格和分时走势  AI 回答嵌入可继续进入详情的报价卡片</w:t>
      </w:r>
    </w:p>
    <w:p>
      <w:pPr>
        <w:pStyle w:val="Heading2"/>
        <w:keepNext/>
      </w:pPr>
      <w:r>
        <w:t>视觉一致性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视频中的按钮、卡片、分段控件、选中背景和页面边距基本统一。系统权限弹窗和系统照片选择器保持平台原生外观，减少了自研权限与媒体浏览界面的成本。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需要注意的是，对话长文中的粗体、编号、表格和浅绿色结论块同时出现时，页面层级较多；顶部操作区和底部输入器也占据固定空间，正文实际可视高度有限。</w:t>
      </w:r>
    </w:p>
    <w:p>
      <w:pPr>
        <w:pStyle w:val="Heading1"/>
        <w:keepNext/>
      </w:pPr>
      <w:r>
        <w:t>交互设计观察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5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交互</w:t>
            </w:r>
          </w:p>
        </w:tc>
        <w:tc>
          <w:tcPr>
            <w:tcW w:type="dxa" w:w="5256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可见反馈</w:t>
            </w:r>
          </w:p>
        </w:tc>
        <w:tc>
          <w:tcPr>
            <w:tcW w:type="dxa" w:w="2448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评价</w:t>
            </w:r>
          </w:p>
        </w:tc>
      </w:tr>
      <w:tr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AI 预测</w:t>
            </w:r>
          </w:p>
        </w:tc>
        <w:tc>
          <w:tcPr>
            <w:tcW w:type="dxa" w:w="525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按钮切换为分析中，趋势图区说明正在请求真实历史数据</w:t>
            </w:r>
          </w:p>
        </w:tc>
        <w:tc>
          <w:tcPr>
            <w:tcW w:type="dxa" w:w="244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反馈明确，但视频未展示预测成功结果</w:t>
            </w:r>
          </w:p>
        </w:tc>
      </w:tr>
      <w:tr>
        <w:tc>
          <w:tcPr>
            <w:tcW w:type="dxa" w:w="1655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发送问题</w:t>
            </w:r>
          </w:p>
        </w:tc>
        <w:tc>
          <w:tcPr>
            <w:tcW w:type="dxa" w:w="525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用户气泡立即出现，随后显示三个等待点</w:t>
            </w:r>
          </w:p>
        </w:tc>
        <w:tc>
          <w:tcPr>
            <w:tcW w:type="dxa" w:w="2448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用户操作与模型等待状态分离</w:t>
            </w:r>
          </w:p>
        </w:tc>
      </w:tr>
      <w:tr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回答操作</w:t>
            </w:r>
          </w:p>
        </w:tc>
        <w:tc>
          <w:tcPr>
            <w:tcW w:type="dxa" w:w="525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回答下方提供复制、重新生成、朗读和更多</w:t>
            </w:r>
          </w:p>
        </w:tc>
        <w:tc>
          <w:tcPr>
            <w:tcW w:type="dxa" w:w="244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高频动作靠近内容，符合对话习惯</w:t>
            </w:r>
          </w:p>
        </w:tc>
      </w:tr>
      <w:tr>
        <w:tc>
          <w:tcPr>
            <w:tcW w:type="dxa" w:w="1655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语音输入</w:t>
            </w:r>
          </w:p>
        </w:tc>
        <w:tc>
          <w:tcPr>
            <w:tcW w:type="dxa" w:w="525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首次点击触发系统麦克风权限，识别时显示模型状态</w:t>
            </w:r>
          </w:p>
        </w:tc>
        <w:tc>
          <w:tcPr>
            <w:tcW w:type="dxa" w:w="2448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权限路径标准，识别状态可见</w:t>
            </w:r>
          </w:p>
        </w:tc>
      </w:tr>
      <w:tr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会话管理</w:t>
            </w:r>
          </w:p>
        </w:tc>
        <w:tc>
          <w:tcPr>
            <w:tcW w:type="dxa" w:w="525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管理态展开编辑、归档、删除，归档页可恢复</w:t>
            </w:r>
          </w:p>
        </w:tc>
        <w:tc>
          <w:tcPr>
            <w:tcW w:type="dxa" w:w="244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可发现性强，操作后果清楚</w:t>
            </w:r>
          </w:p>
        </w:tc>
      </w:tr>
      <w:tr>
        <w:tc>
          <w:tcPr>
            <w:tcW w:type="dxa" w:w="1655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字体设置</w:t>
            </w:r>
          </w:p>
        </w:tc>
        <w:tc>
          <w:tcPr>
            <w:tcW w:type="dxa" w:w="525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滑块、百分比、大小端点和预览文本同时变化</w:t>
            </w:r>
          </w:p>
        </w:tc>
        <w:tc>
          <w:tcPr>
            <w:tcW w:type="dxa" w:w="2448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所见即所得</w:t>
            </w:r>
          </w:p>
        </w:tc>
      </w:tr>
      <w:tr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表格设置</w:t>
            </w:r>
          </w:p>
        </w:tc>
        <w:tc>
          <w:tcPr>
            <w:tcW w:type="dxa" w:w="525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经典、紧凑、宽松、极简和配色均有实时预览</w:t>
            </w:r>
          </w:p>
        </w:tc>
        <w:tc>
          <w:tcPr>
            <w:tcW w:type="dxa" w:w="244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适合数据密集型产品</w:t>
            </w:r>
          </w:p>
        </w:tc>
      </w:tr>
      <w:tr>
        <w:tc>
          <w:tcPr>
            <w:tcW w:type="dxa" w:w="1655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模型配置</w:t>
            </w:r>
          </w:p>
        </w:tc>
        <w:tc>
          <w:tcPr>
            <w:tcW w:type="dxa" w:w="525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Provider 卡片切换，填写地址和密钥，支持获取模型与保存</w:t>
            </w:r>
          </w:p>
        </w:tc>
        <w:tc>
          <w:tcPr>
            <w:tcW w:type="dxa" w:w="2448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扩展性强，但密钥安全需要额外验证</w:t>
            </w:r>
          </w:p>
        </w:tc>
      </w:tr>
      <w:tr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附件</w:t>
            </w:r>
          </w:p>
        </w:tc>
        <w:tc>
          <w:tcPr>
            <w:tcW w:type="dxa" w:w="525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调用系统照片选择器，多选后在输入器上方显示缩略图和移除按钮</w:t>
            </w:r>
          </w:p>
        </w:tc>
        <w:tc>
          <w:tcPr>
            <w:tcW w:type="dxa" w:w="244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复用系统隐私能力，操作路径成熟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48840" cy="477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0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775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148840" cy="477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0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7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Hiragino Sans GB" w:hAnsi="Hiragino Sans GB" w:eastAsia="Hiragino Sans GB"/>
          <w:color w:val="666666"/>
          <w:sz w:val="17"/>
        </w:rPr>
        <w:t>图 3 字体页提供实时预览  附件选择复用系统安全访问界面</w:t>
      </w:r>
    </w:p>
    <w:p>
      <w:pPr>
        <w:pStyle w:val="Heading2"/>
        <w:keepNext/>
      </w:pPr>
      <w:r>
        <w:t>尚未在视频中确认的状态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视频没有展示停止生成、网络中断、失败重试、发送失败、空数据、数据过期、删除确认、模型鉴权失败和附件上传失败。因此不能仅凭该视频判断这些异常路径是否完整。</w:t>
      </w:r>
    </w:p>
    <w:p>
      <w:pPr>
        <w:pStyle w:val="Heading1"/>
        <w:keepNext/>
      </w:pPr>
      <w:r>
        <w:t>表格和图表显示</w:t>
      </w:r>
    </w:p>
    <w:p>
      <w:pPr>
        <w:pStyle w:val="Heading2"/>
        <w:keepNext/>
      </w:pPr>
      <w:r>
        <w:t>行情图表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行情详情使用单条绿色折线表示分时走势，纵轴给出价格刻度，横轴标出 09:30、11:30 和 15:00。页面文字提示支持双指缩放和左右滑动。图表上方提供分时与 AI 预测切换，图表下方补充交互说明。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这种实现让坐标和时间范围容易理解，但画面中没有成交量、副图、均价线、图例、十字光标或选中点详情。AI 预测与真实走势共用同一区域时，还需要明确区分历史数据、预测区间和置信信息。</w:t>
      </w:r>
    </w:p>
    <w:p>
      <w:pPr>
        <w:pStyle w:val="Heading2"/>
        <w:keepNext/>
      </w:pPr>
      <w:r>
        <w:t>会话表格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样例存在两种表格。第一种直接嵌在 AI 长回答中，用于比较短期和中期策略或投资类型。第二种是独立的会话表格对比页，它从两条消息中汇总两个标的，显示来源数量、最新行情同步状态、交易指标、迷你趋势线和数据时间。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独立表格页强调结构化结果，不再重复整段问答，并允许点击任意一行进入行情详情。视频还展示了完整网格、紧凑、宽松、极简四种密度以及表头强调色的实时预览。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48840" cy="4775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0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775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148840" cy="477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0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7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Hiragino Sans GB" w:hAnsi="Hiragino Sans GB" w:eastAsia="Hiragino Sans GB"/>
          <w:color w:val="666666"/>
          <w:sz w:val="17"/>
        </w:rPr>
        <w:t>图 4 会话表格把多条消息抽取为指标对比  表格设置直接预览密度和配色</w:t>
      </w:r>
    </w:p>
    <w:p>
      <w:pPr>
        <w:pStyle w:val="Heading2"/>
        <w:keepNext/>
      </w:pPr>
      <w:r>
        <w:t>可取之处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将聊天中的数值抽取成独立视图，用户不必在长回答里反复寻找关键指标。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表格行与行情详情联动，使摘要、比较和深度查看形成连续路径。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表格风格设置有真实数据预览，比仅显示选项名称更容易理解差异。</w:t>
      </w:r>
    </w:p>
    <w:p>
      <w:pPr>
        <w:pStyle w:val="Heading2"/>
        <w:keepNext/>
      </w:pPr>
      <w:r>
        <w:t>需要改进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独立表格依赖横向滑动，视频画面中左侧字段一度被截断。应冻结标的列，并给出明显的横向滚动提示。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表格同时放入成交额、走势和数据时间，手机横屏或详情卡片可能比超宽表格更易读。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图表应明确数据源、市场时间、抓取时间和新鲜度状态；预测曲线必须与真实行情使用不同颜色和图例。</w:t>
      </w:r>
    </w:p>
    <w:p>
      <w:pPr>
        <w:pStyle w:val="Heading1"/>
        <w:keepNext/>
      </w:pPr>
      <w:r>
        <w:t>AI 对话内容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视频中的用户问题是 分析一下腾讯。系统把它解释为腾讯控股，并在回答末尾显示港股代码 00700 的行情卡片。回答采用较长的研究笔记结构，包含估值、业务结构、股东回报、风险、短中期方向判断、总结和免责声明。</w:t>
      </w:r>
    </w:p>
    <w:p>
      <w:pPr>
        <w:pStyle w:val="Heading2"/>
        <w:keepNext/>
      </w:pPr>
      <w:r>
        <w:t>内容组织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标题、编号、粗体关键词和项目符号将长回答拆成可扫描段落。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结论使用浅绿色强调区，随后给出风险说明、数据截至时间和行情卡片。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回答下方提供复制、重新生成、朗读和更多操作，底部输入器允许继续追问。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28800" cy="406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0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Hiragino Sans GB" w:hAnsi="Hiragino Sans GB" w:eastAsia="Hiragino Sans GB"/>
          <w:color w:val="666666"/>
          <w:sz w:val="17"/>
        </w:rPr>
        <w:t>图 5 AI 回答使用标题和项目符号组织基本面及业务分析</w:t>
      </w:r>
    </w:p>
    <w:p>
      <w:pPr>
        <w:pStyle w:val="Heading2"/>
        <w:keepNext/>
      </w:pPr>
      <w:r>
        <w:t>内容风险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744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视频表现</w:t>
            </w:r>
          </w:p>
        </w:tc>
        <w:tc>
          <w:tcPr>
            <w:tcW w:type="dxa" w:w="4104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58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意图消歧</w:t>
            </w:r>
          </w:p>
        </w:tc>
        <w:tc>
          <w:tcPr>
            <w:tcW w:type="dxa" w:w="37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腾讯可指公司、产品或 A 股相关概念，但系统直接映射为腾讯控股</w:t>
            </w:r>
          </w:p>
        </w:tc>
        <w:tc>
          <w:tcPr>
            <w:tcW w:type="dxa" w:w="410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在首次命中歧义时确认标的、市场和代码</w:t>
            </w:r>
          </w:p>
        </w:tc>
      </w:tr>
      <w:tr>
        <w:tc>
          <w:tcPr>
            <w:tcW w:type="dxa" w:w="158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投资建议边界</w:t>
            </w:r>
          </w:p>
        </w:tc>
        <w:tc>
          <w:tcPr>
            <w:tcW w:type="dxa" w:w="374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出现持有、逢低补仓、轻仓参与等操作性表述</w:t>
            </w:r>
          </w:p>
        </w:tc>
        <w:tc>
          <w:tcPr>
            <w:tcW w:type="dxa" w:w="410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改为条件化情景分析，不给出个性化买卖方向</w:t>
            </w:r>
          </w:p>
        </w:tc>
      </w:tr>
      <w:tr>
        <w:tc>
          <w:tcPr>
            <w:tcW w:type="dxa" w:w="158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来源引用</w:t>
            </w:r>
          </w:p>
        </w:tc>
        <w:tc>
          <w:tcPr>
            <w:tcW w:type="dxa" w:w="37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行情卡片显示腾讯行情和时间，正文事实未见逐条引用</w:t>
            </w:r>
          </w:p>
        </w:tc>
        <w:tc>
          <w:tcPr>
            <w:tcW w:type="dxa" w:w="410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为财报、公告、估值和行情分别给出可展开来源</w:t>
            </w:r>
          </w:p>
        </w:tc>
      </w:tr>
      <w:tr>
        <w:tc>
          <w:tcPr>
            <w:tcW w:type="dxa" w:w="158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数据新鲜度</w:t>
            </w:r>
          </w:p>
        </w:tc>
        <w:tc>
          <w:tcPr>
            <w:tcW w:type="dxa" w:w="374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显示绝对时间，但未见新鲜度徽标或延迟说明</w:t>
            </w:r>
          </w:p>
        </w:tc>
        <w:tc>
          <w:tcPr>
            <w:tcW w:type="dxa" w:w="410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统一显示市场时间、抓取时间、延迟级别和缓存状态</w:t>
            </w:r>
          </w:p>
        </w:tc>
      </w:tr>
      <w:tr>
        <w:tc>
          <w:tcPr>
            <w:tcW w:type="dxa" w:w="158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篇幅控制</w:t>
            </w:r>
          </w:p>
        </w:tc>
        <w:tc>
          <w:tcPr>
            <w:tcW w:type="dxa" w:w="37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回答较长，重要判断分散在多个屏幕</w:t>
            </w:r>
          </w:p>
        </w:tc>
        <w:tc>
          <w:tcPr>
            <w:tcW w:type="dxa" w:w="410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先给摘要和关键数据，再允许展开证据与详细分析</w:t>
            </w:r>
          </w:p>
        </w:tc>
      </w:tr>
      <w:tr>
        <w:tc>
          <w:tcPr>
            <w:tcW w:type="dxa" w:w="158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跨市场范围</w:t>
            </w:r>
          </w:p>
        </w:tc>
        <w:tc>
          <w:tcPr>
            <w:tcW w:type="dxa" w:w="374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回答落到港股 00700</w:t>
            </w:r>
          </w:p>
        </w:tc>
        <w:tc>
          <w:tcPr>
            <w:tcW w:type="dxa" w:w="410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若产品首版只支持 A 股，应拒绝或明确标记超出范围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安全和合规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样例在结论后和行情卡片下方显示仅供参考、不构成投资建议等文字。这能提醒用户，但不能抵消正文中的直接操作建议。更稳妥的做法是让模型输出市场事实、情景条件、风险项和待核验来源，同时明确禁止下单与个性化仓位建议。</w:t>
      </w:r>
    </w:p>
    <w:p>
      <w:pPr>
        <w:pStyle w:val="Heading1"/>
        <w:keepNext/>
      </w:pPr>
      <w:r>
        <w:t>个性化和模型配置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设置页提供系统、浅色和深色主题，字体大小可以跟随系统或单独调整。表格样式独立配置，支持密度和强调色。模型配置页展示多个 Provider 卡片，并提供名称、Base URL、API Key、获取模型和保存为当前 Provider。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965960" cy="436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0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368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965960" cy="4368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0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36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Hiragino Sans GB" w:hAnsi="Hiragino Sans GB" w:eastAsia="Hiragino Sans GB"/>
          <w:color w:val="666666"/>
          <w:sz w:val="17"/>
        </w:rPr>
        <w:t>图 6 表格配色可实时预览  模型 Provider 具有独立配置页面</w:t>
      </w:r>
    </w:p>
    <w:p>
      <w:pPr>
        <w:pStyle w:val="Heading2"/>
        <w:keepNext/>
      </w:pPr>
      <w:r>
        <w:t>可见优点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外观设置都配有预览，用户能够在保存前理解变化。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模型配置采用 Provider 作为扩展单位，便于更换默认模型服务。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未填写 API Key 时显示使用本地 Mock 数据，降低首次体验门槛。</w:t>
      </w:r>
    </w:p>
    <w:p>
      <w:pPr>
        <w:pStyle w:val="Heading2"/>
        <w:keepNext/>
      </w:pPr>
      <w:r>
        <w:t>实现注意事项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视频只能证明界面存在，不能证明 API Key 已使用 Android Keystore 加密，也不能证明日志、截图和反馈包不会泄露密钥。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Base URL 允许编辑时，应限制 HTTPS、校验证书和主机，并防止请求被引向内网地址。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Provider 的模型能力、上下文长度、结构化输出和流式协议不同，需要在后端或 Gateway 层统一契约。</w:t>
      </w:r>
    </w:p>
    <w:p>
      <w:pPr>
        <w:pStyle w:val="Heading1"/>
        <w:keepNext/>
      </w:pPr>
      <w:r>
        <w:t>可访问性和适配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字体页允许放大到 112% 并支持跟随系统，这是明确的可访问性设计。系统照片选择器也说明产品优先复用平台隐私能力。视频未展示屏幕阅读器标签、焦点顺序、横屏、超大字体、色盲模式和深色主题下的图表对比度，因此这些项目仍需单独验收。</w:t>
      </w:r>
    </w:p>
    <w:p>
      <w:pPr>
        <w:pStyle w:val="Heading1"/>
        <w:keepNext/>
      </w:pPr>
      <w:r>
        <w:t>从界面推断的实现结构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以下内容是基于界面行为的合理推断，不是代码审计结论。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推断边界</w:t>
            </w:r>
          </w:p>
        </w:tc>
        <w:tc>
          <w:tcPr>
            <w:tcW w:type="dxa" w:w="4031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可见依据</w:t>
            </w:r>
          </w:p>
        </w:tc>
        <w:tc>
          <w:tcPr>
            <w:tcW w:type="dxa" w:w="3528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可能的实现模块</w:t>
            </w:r>
          </w:p>
        </w:tc>
      </w:tr>
      <w:tr>
        <w:tc>
          <w:tcPr>
            <w:tcW w:type="dxa" w:w="18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行情数据模型</w:t>
            </w:r>
          </w:p>
        </w:tc>
        <w:tc>
          <w:tcPr>
            <w:tcW w:type="dxa" w:w="4031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同一标的同时进入详情、卡片、表格和 AI 上下文</w:t>
            </w:r>
          </w:p>
        </w:tc>
        <w:tc>
          <w:tcPr>
            <w:tcW w:type="dxa" w:w="35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统一 Quote Bar Source Freshness 模型</w:t>
            </w:r>
          </w:p>
        </w:tc>
      </w:tr>
      <w:tr>
        <w:tc>
          <w:tcPr>
            <w:tcW w:type="dxa" w:w="1872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会话持久化</w:t>
            </w:r>
          </w:p>
        </w:tc>
        <w:tc>
          <w:tcPr>
            <w:tcW w:type="dxa" w:w="4031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侧栏标记已保存到本地数据库，支持归档与恢复</w:t>
            </w:r>
          </w:p>
        </w:tc>
        <w:tc>
          <w:tcPr>
            <w:tcW w:type="dxa" w:w="3528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Conversation Repository 和本地数据库</w:t>
            </w:r>
          </w:p>
        </w:tc>
      </w:tr>
      <w:tr>
        <w:tc>
          <w:tcPr>
            <w:tcW w:type="dxa" w:w="18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模型抽象</w:t>
            </w:r>
          </w:p>
        </w:tc>
        <w:tc>
          <w:tcPr>
            <w:tcW w:type="dxa" w:w="4031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多个 Provider 可切换并维护地址与密钥</w:t>
            </w:r>
          </w:p>
        </w:tc>
        <w:tc>
          <w:tcPr>
            <w:tcW w:type="dxa" w:w="35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AI Gateway 和 Provider Adapter</w:t>
            </w:r>
          </w:p>
        </w:tc>
      </w:tr>
      <w:tr>
        <w:tc>
          <w:tcPr>
            <w:tcW w:type="dxa" w:w="1872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结构化抽取</w:t>
            </w:r>
          </w:p>
        </w:tc>
        <w:tc>
          <w:tcPr>
            <w:tcW w:type="dxa" w:w="4031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独立表格汇总两条 AI 消息中的两个标的</w:t>
            </w:r>
          </w:p>
        </w:tc>
        <w:tc>
          <w:tcPr>
            <w:tcW w:type="dxa" w:w="3528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消息解析器或模型结构化输出</w:t>
            </w:r>
          </w:p>
        </w:tc>
      </w:tr>
      <w:tr>
        <w:tc>
          <w:tcPr>
            <w:tcW w:type="dxa" w:w="18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外观状态</w:t>
            </w:r>
          </w:p>
        </w:tc>
        <w:tc>
          <w:tcPr>
            <w:tcW w:type="dxa" w:w="4031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字体和表格样式可实时预览并返回设置页</w:t>
            </w:r>
          </w:p>
        </w:tc>
        <w:tc>
          <w:tcPr>
            <w:tcW w:type="dxa" w:w="35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持久化 Preference 与共享 Design Token</w:t>
            </w:r>
          </w:p>
        </w:tc>
      </w:tr>
      <w:tr>
        <w:tc>
          <w:tcPr>
            <w:tcW w:type="dxa" w:w="1872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附件边界</w:t>
            </w:r>
          </w:p>
        </w:tc>
        <w:tc>
          <w:tcPr>
            <w:tcW w:type="dxa" w:w="4031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系统选择器返回多图并在输入器显示缩略图</w:t>
            </w:r>
          </w:p>
        </w:tc>
        <w:tc>
          <w:tcPr>
            <w:tcW w:type="dxa" w:w="3528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Attachment Repository 和系统 Picker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建议的数据流</w:t>
      </w:r>
    </w:p>
    <w:p>
      <w:pPr>
        <w:pStyle w:val="ListNumber"/>
        <w:spacing w:after="80" w:line="307" w:lineRule="auto"/>
      </w:pPr>
      <w:r>
        <w:rPr>
          <w:rFonts w:ascii="Hiragino Sans GB" w:hAnsi="Hiragino Sans GB" w:eastAsia="Hiragino Sans GB"/>
          <w:color w:val="000000"/>
          <w:sz w:val="20"/>
        </w:rPr>
        <w:t>用户输入先做标的、市场和时间范围识别，歧义时请求确认。</w:t>
      </w:r>
    </w:p>
    <w:p>
      <w:pPr>
        <w:pStyle w:val="ListNumber"/>
        <w:spacing w:after="80" w:line="307" w:lineRule="auto"/>
      </w:pPr>
      <w:r>
        <w:rPr>
          <w:rFonts w:ascii="Hiragino Sans GB" w:hAnsi="Hiragino Sans GB" w:eastAsia="Hiragino Sans GB"/>
          <w:color w:val="000000"/>
          <w:sz w:val="20"/>
        </w:rPr>
        <w:t>行情 Provider 返回结构化数据，并附来源、市场时间、抓取时间和新鲜度。</w:t>
      </w:r>
    </w:p>
    <w:p>
      <w:pPr>
        <w:pStyle w:val="ListNumber"/>
        <w:spacing w:after="80" w:line="307" w:lineRule="auto"/>
      </w:pPr>
      <w:r>
        <w:rPr>
          <w:rFonts w:ascii="Hiragino Sans GB" w:hAnsi="Hiragino Sans GB" w:eastAsia="Hiragino Sans GB"/>
          <w:color w:val="000000"/>
          <w:sz w:val="20"/>
        </w:rPr>
        <w:t>AI 只接收经过归一化的数据和引用，不直接生成无法追溯的行情数值。</w:t>
      </w:r>
    </w:p>
    <w:p>
      <w:pPr>
        <w:pStyle w:val="ListNumber"/>
        <w:spacing w:after="80" w:line="307" w:lineRule="auto"/>
      </w:pPr>
      <w:r>
        <w:rPr>
          <w:rFonts w:ascii="Hiragino Sans GB" w:hAnsi="Hiragino Sans GB" w:eastAsia="Hiragino Sans GB"/>
          <w:color w:val="000000"/>
          <w:sz w:val="20"/>
        </w:rPr>
        <w:t>客户端依据结构化事件渲染行情卡片、表格和图表，文本只负责解释。</w:t>
      </w:r>
    </w:p>
    <w:p>
      <w:pPr>
        <w:pStyle w:val="ListNumber"/>
        <w:spacing w:after="80" w:line="307" w:lineRule="auto"/>
      </w:pPr>
      <w:r>
        <w:rPr>
          <w:rFonts w:ascii="Hiragino Sans GB" w:hAnsi="Hiragino Sans GB" w:eastAsia="Hiragino Sans GB"/>
          <w:color w:val="000000"/>
          <w:sz w:val="20"/>
        </w:rPr>
        <w:t>会话数据库保存消息、结构化附件引用和展示偏好，删除先进入可恢复状态。</w:t>
      </w:r>
    </w:p>
    <w:p>
      <w:pPr>
        <w:pStyle w:val="Heading1"/>
        <w:keepNext/>
      </w:pPr>
      <w:r>
        <w:t>对 TalkToAI 的参考建议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936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951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建议借鉴</w:t>
            </w:r>
          </w:p>
        </w:tc>
        <w:tc>
          <w:tcPr>
            <w:tcW w:type="dxa" w:w="5544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落地要求</w:t>
            </w:r>
          </w:p>
        </w:tc>
      </w:tr>
      <w:tr>
        <w:tc>
          <w:tcPr>
            <w:tcW w:type="dxa" w:w="93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P0</w:t>
            </w:r>
          </w:p>
        </w:tc>
        <w:tc>
          <w:tcPr>
            <w:tcW w:type="dxa" w:w="2951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回答内嵌行情卡片</w:t>
            </w:r>
          </w:p>
        </w:tc>
        <w:tc>
          <w:tcPr>
            <w:tcW w:type="dxa" w:w="55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名称、代码、价格、涨跌、趋势、来源、数据时间、新鲜度和详情入口齐全</w:t>
            </w:r>
          </w:p>
        </w:tc>
      </w:tr>
      <w:tr>
        <w:tc>
          <w:tcPr>
            <w:tcW w:type="dxa" w:w="93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P0</w:t>
            </w:r>
          </w:p>
        </w:tc>
        <w:tc>
          <w:tcPr>
            <w:tcW w:type="dxa" w:w="2951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会话表格独立视图</w:t>
            </w:r>
          </w:p>
        </w:tc>
        <w:tc>
          <w:tcPr>
            <w:tcW w:type="dxa" w:w="554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只汇总结构化指标；冻结标的列；支持返回原消息和行情详情</w:t>
            </w:r>
          </w:p>
        </w:tc>
      </w:tr>
      <w:tr>
        <w:tc>
          <w:tcPr>
            <w:tcW w:type="dxa" w:w="93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P0</w:t>
            </w:r>
          </w:p>
        </w:tc>
        <w:tc>
          <w:tcPr>
            <w:tcW w:type="dxa" w:w="2951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数据与文本分离</w:t>
            </w:r>
          </w:p>
        </w:tc>
        <w:tc>
          <w:tcPr>
            <w:tcW w:type="dxa" w:w="55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模型不得用 Markdown 表格承载行情；客户端使用结构化组件</w:t>
            </w:r>
          </w:p>
        </w:tc>
      </w:tr>
      <w:tr>
        <w:tc>
          <w:tcPr>
            <w:tcW w:type="dxa" w:w="93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P0</w:t>
            </w:r>
          </w:p>
        </w:tc>
        <w:tc>
          <w:tcPr>
            <w:tcW w:type="dxa" w:w="2951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异常状态</w:t>
            </w:r>
          </w:p>
        </w:tc>
        <w:tc>
          <w:tcPr>
            <w:tcW w:type="dxa" w:w="554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补齐停止、重试、离线、超时、鉴权失败、数据过期和空结果</w:t>
            </w:r>
          </w:p>
        </w:tc>
      </w:tr>
      <w:tr>
        <w:tc>
          <w:tcPr>
            <w:tcW w:type="dxa" w:w="93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P0</w:t>
            </w:r>
          </w:p>
        </w:tc>
        <w:tc>
          <w:tcPr>
            <w:tcW w:type="dxa" w:w="2951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咨询边界</w:t>
            </w:r>
          </w:p>
        </w:tc>
        <w:tc>
          <w:tcPr>
            <w:tcW w:type="dxa" w:w="55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首版限定 A 股，只读，不给出下单、仓位和个性化买卖指令</w:t>
            </w:r>
          </w:p>
        </w:tc>
      </w:tr>
      <w:tr>
        <w:tc>
          <w:tcPr>
            <w:tcW w:type="dxa" w:w="93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P1</w:t>
            </w:r>
          </w:p>
        </w:tc>
        <w:tc>
          <w:tcPr>
            <w:tcW w:type="dxa" w:w="2951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侧栏会话管理</w:t>
            </w:r>
          </w:p>
        </w:tc>
        <w:tc>
          <w:tcPr>
            <w:tcW w:type="dxa" w:w="554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会话和工具分组；提供编辑、归档、删除与恢复</w:t>
            </w:r>
          </w:p>
        </w:tc>
      </w:tr>
      <w:tr>
        <w:tc>
          <w:tcPr>
            <w:tcW w:type="dxa" w:w="93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P1</w:t>
            </w:r>
          </w:p>
        </w:tc>
        <w:tc>
          <w:tcPr>
            <w:tcW w:type="dxa" w:w="2951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表格实时预览</w:t>
            </w:r>
          </w:p>
        </w:tc>
        <w:tc>
          <w:tcPr>
            <w:tcW w:type="dxa" w:w="55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保留经典与紧凑两种首版样式，避免一次加入过多低价值选项</w:t>
            </w:r>
          </w:p>
        </w:tc>
      </w:tr>
      <w:tr>
        <w:tc>
          <w:tcPr>
            <w:tcW w:type="dxa" w:w="93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P1</w:t>
            </w:r>
          </w:p>
        </w:tc>
        <w:tc>
          <w:tcPr>
            <w:tcW w:type="dxa" w:w="2951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模型 Provider 状态</w:t>
            </w:r>
          </w:p>
        </w:tc>
        <w:tc>
          <w:tcPr>
            <w:tcW w:type="dxa" w:w="554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密钥只在服务端或 Keystore 保存；不进入日志和反馈包</w:t>
            </w:r>
          </w:p>
        </w:tc>
      </w:tr>
      <w:tr>
        <w:tc>
          <w:tcPr>
            <w:tcW w:type="dxa" w:w="93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P2</w:t>
            </w:r>
          </w:p>
        </w:tc>
        <w:tc>
          <w:tcPr>
            <w:tcW w:type="dxa" w:w="2951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语音和多图附件</w:t>
            </w:r>
          </w:p>
        </w:tc>
        <w:tc>
          <w:tcPr>
            <w:tcW w:type="dxa" w:w="55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复用系统权限与选择器；失败、取消和大小限制可见</w:t>
            </w:r>
          </w:p>
        </w:tc>
      </w:tr>
      <w:tr>
        <w:tc>
          <w:tcPr>
            <w:tcW w:type="dxa" w:w="936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P2</w:t>
            </w:r>
          </w:p>
        </w:tc>
        <w:tc>
          <w:tcPr>
            <w:tcW w:type="dxa" w:w="2951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高级图表</w:t>
            </w:r>
          </w:p>
        </w:tc>
        <w:tc>
          <w:tcPr>
            <w:tcW w:type="dxa" w:w="5544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7"/>
              </w:rPr>
              <w:t>补充成交量、十字光标、区间选择和预测区间，但先保证来源可信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推荐的首版页面结构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对话 Tab：消息列表、结构化行情卡片、回答操作和固定输入器。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行情 Tab：报价摘要、分时或 K 线、成交量、来源与新鲜度。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侧栏：新建对话、会话历史、模型与工具状态、设置入口。</w:t>
      </w:r>
    </w:p>
    <w:p>
      <w:pPr>
        <w:pStyle w:val="ListBullet"/>
        <w:spacing w:after="60" w:line="300" w:lineRule="auto"/>
      </w:pPr>
      <w:r>
        <w:rPr>
          <w:rFonts w:ascii="Hiragino Sans GB" w:hAnsi="Hiragino Sans GB" w:eastAsia="Hiragino Sans GB"/>
          <w:color w:val="000000"/>
          <w:sz w:val="20"/>
        </w:rPr>
        <w:t>设置：主题、字体、表格密度、日志与反馈；模型密钥不在客户端普通表单中维护。</w:t>
      </w:r>
    </w:p>
    <w:p>
      <w:pPr>
        <w:pStyle w:val="Heading2"/>
        <w:keepNext/>
      </w:pPr>
      <w:r>
        <w:t>验证清单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验收场景</w:t>
            </w:r>
          </w:p>
        </w:tc>
        <w:tc>
          <w:tcPr>
            <w:tcW w:type="dxa" w:w="6552"/>
            <w:shd w:fill="087A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28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行情提问</w:t>
            </w:r>
          </w:p>
        </w:tc>
        <w:tc>
          <w:tcPr>
            <w:tcW w:type="dxa" w:w="65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图表和行情卡片先于 AI 文本出现，并显示来源与新鲜度</w:t>
            </w:r>
          </w:p>
        </w:tc>
      </w:tr>
      <w:tr>
        <w:tc>
          <w:tcPr>
            <w:tcW w:type="dxa" w:w="2880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长回答</w:t>
            </w:r>
          </w:p>
        </w:tc>
        <w:tc>
          <w:tcPr>
            <w:tcW w:type="dxa" w:w="6552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默认停留最新消息；停止、复制、重试和重新生成可用</w:t>
            </w:r>
          </w:p>
        </w:tc>
      </w:tr>
      <w:tr>
        <w:tc>
          <w:tcPr>
            <w:tcW w:type="dxa" w:w="28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宽表格</w:t>
            </w:r>
          </w:p>
        </w:tc>
        <w:tc>
          <w:tcPr>
            <w:tcW w:type="dxa" w:w="65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首列固定，横向滚动提示清晰，超大字体下仍可操作</w:t>
            </w:r>
          </w:p>
        </w:tc>
      </w:tr>
      <w:tr>
        <w:tc>
          <w:tcPr>
            <w:tcW w:type="dxa" w:w="2880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离线发送</w:t>
            </w:r>
          </w:p>
        </w:tc>
        <w:tc>
          <w:tcPr>
            <w:tcW w:type="dxa" w:w="6552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用户消息保留，AI 返回离线状态，并提供重新加载</w:t>
            </w:r>
          </w:p>
        </w:tc>
      </w:tr>
      <w:tr>
        <w:tc>
          <w:tcPr>
            <w:tcW w:type="dxa" w:w="28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会话删除</w:t>
            </w:r>
          </w:p>
        </w:tc>
        <w:tc>
          <w:tcPr>
            <w:tcW w:type="dxa" w:w="65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进入七天回收状态，重启后仍可恢复</w:t>
            </w:r>
          </w:p>
        </w:tc>
      </w:tr>
      <w:tr>
        <w:tc>
          <w:tcPr>
            <w:tcW w:type="dxa" w:w="2880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附件</w:t>
            </w:r>
          </w:p>
        </w:tc>
        <w:tc>
          <w:tcPr>
            <w:tcW w:type="dxa" w:w="6552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图片、CSV、TXT 的选择、预览、取消、失败和大小限制均有反馈</w:t>
            </w:r>
          </w:p>
        </w:tc>
      </w:tr>
      <w:tr>
        <w:tc>
          <w:tcPr>
            <w:tcW w:type="dxa" w:w="28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模型故障</w:t>
            </w:r>
          </w:p>
        </w:tc>
        <w:tc>
          <w:tcPr>
            <w:tcW w:type="dxa" w:w="65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鉴权失败、超时和限流采用明确错误，不伪造回答</w:t>
            </w:r>
          </w:p>
        </w:tc>
      </w:tr>
      <w:tr>
        <w:tc>
          <w:tcPr>
            <w:tcW w:type="dxa" w:w="2880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行情过期</w:t>
            </w:r>
          </w:p>
        </w:tc>
        <w:tc>
          <w:tcPr>
            <w:tcW w:type="dxa" w:w="6552"/>
            <w:shd w:fill="F7FAF9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过期数据不得显示为实时，AI 正文复述同一新鲜度状态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观察边界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样例视频展示了完整的视觉和操作路径，但没有提供源码、接口文档、日志、测试结果或数据授权材料。本报告中的 UI 和交互描述属于已观察事实；实现结构属于推断；数据真实性、性能、安全性和生产可用性均为待验证项。</w:t>
      </w:r>
    </w:p>
    <w:p>
      <w:pPr>
        <w:spacing w:after="120" w:line="331" w:lineRule="auto"/>
      </w:pPr>
      <w:r>
        <w:rPr>
          <w:rFonts w:ascii="Hiragino Sans GB" w:hAnsi="Hiragino Sans GB" w:eastAsia="Hiragino Sans GB"/>
          <w:color w:val="000000"/>
          <w:sz w:val="21"/>
        </w:rPr>
        <w:t>视频来源：/Users/jerry/Downloads/样例.mp4。分析覆盖完整 1 分 55 秒画面，并对行情、对话、表格、设置、模型配置和附件场景进行了关键帧复核。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666666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