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Requerimientos y Validaciones del Proyecto</w:t>
      </w:r>
    </w:p>
    <w:p>
      <w:pPr>
        <w:spacing w:after="60"/>
      </w:pPr>
      <w:r>
        <w:rPr>
          <w:b/>
          <w:bCs/>
          <w:color w:val="444444"/>
          <w:sz w:val="26"/>
          <w:szCs w:val="26"/>
        </w:rPr>
        <w:t xml:space="preserve">Lectura Masiva de Contratos — Solución sobre Microsoft Azure</w:t>
      </w:r>
    </w:p>
    <w:p>
      <w:pPr>
        <w:spacing w:after="300"/>
      </w:pPr>
      <w:r>
        <w:rPr>
          <w:i/>
          <w:iCs/>
          <w:color w:val="666666"/>
          <w:sz w:val="20"/>
          <w:szCs w:val="20"/>
        </w:rPr>
        <w:t xml:space="preserve">Documento preparado para revisión y validación del cliente · 22 de julio de 2026</w:t>
      </w:r>
    </w:p>
    <w:p>
      <w:pPr>
        <w:pBdr>
          <w:bottom w:val="single" w:color="1F4E79" w:sz="6" w:space="1"/>
        </w:pBdr>
        <w:spacing w:after="200"/>
      </w:pPr>
    </w:p>
    <w:sdt>
      <w:sdtPr>
        <w:alias w:val="Contenido"/>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pPr>
      <w:r>
        <w:t xml:space="preserve">1. Resumen del proyecto</w:t>
      </w:r>
    </w:p>
    <w:p>
      <w:pPr>
        <w:spacing w:after="120"/>
      </w:pPr>
      <w:r>
        <w:t xml:space="preserve">El proyecto Lectura Masiva de Contratos tiene como objetivo implementar, sobre Microsoft Azure, una solución que procese contratos en formato PDF almacenados en SharePoint Online, extraiga la información relevante mediante Azure AI Document Intelligence, orqueste el flujo completo con Azure Logic Apps y prepare el envío seguro de las variables contractuales validadas hacia una plataforma externa alojada en Huawei Cloud, mediante una conexión VPN Site-to-Site (IPsec/IKEv2).</w:t>
      </w:r>
    </w:p>
    <w:p>
      <w:pPr>
        <w:spacing w:after="120"/>
      </w:pPr>
      <w:r>
        <w:t xml:space="preserve">El alcance de esta fase de despliegue considera únicamente los componentes de Microsoft Azure. No se desplegarán recursos en Huawei Cloud ni componentes adicionales fuera del diagrama aprobado por ambas partes.</w:t>
      </w:r>
    </w:p>
    <w:p>
      <w:pPr>
        <w:pStyle w:val="Heading1"/>
      </w:pPr>
      <w:r>
        <w:t xml:space="preserve">2. Alcance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Área</w:t>
            </w:r>
          </w:p>
        </w:tc>
        <w:tc>
          <w:tcPr>
            <w:tcW w:type="dxa" w:w="68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Alcance</w:t>
            </w:r>
          </w:p>
        </w:tc>
      </w:tr>
      <w:tr>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Orquestación</w:t>
            </w:r>
          </w:p>
        </w:tc>
        <w:tc>
          <w:tcPr>
            <w:tcW w:type="dxa" w:w="6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Azure Logic Apps coordina lectura, extracción, validación y envío</w:t>
            </w:r>
          </w:p>
        </w:tc>
      </w:tr>
      <w:tr>
        <w:tc>
          <w:tcPr>
            <w:tcW w:type="dxa" w:w="25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Fuente documental</w:t>
            </w:r>
          </w:p>
        </w:tc>
        <w:tc>
          <w:tcPr>
            <w:tcW w:type="dxa" w:w="6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SharePoint Online como repositorio de contratos PDF</w:t>
            </w:r>
          </w:p>
        </w:tc>
      </w:tr>
      <w:tr>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Acceso documental</w:t>
            </w:r>
          </w:p>
        </w:tc>
        <w:tc>
          <w:tcPr>
            <w:tcW w:type="dxa" w:w="6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Conector SharePoint y/o Microsoft Graph</w:t>
            </w:r>
          </w:p>
        </w:tc>
      </w:tr>
      <w:tr>
        <w:tc>
          <w:tcPr>
            <w:tcW w:type="dxa" w:w="25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Extracción OCR</w:t>
            </w:r>
          </w:p>
        </w:tc>
        <w:tc>
          <w:tcPr>
            <w:tcW w:type="dxa" w:w="6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AI Document Intelligence</w:t>
            </w:r>
          </w:p>
        </w:tc>
      </w:tr>
      <w:tr>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Red</w:t>
            </w:r>
          </w:p>
        </w:tc>
        <w:tc>
          <w:tcPr>
            <w:tcW w:type="dxa" w:w="6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Azure Virtual Network, subredes y VPN Gateway</w:t>
            </w:r>
          </w:p>
        </w:tc>
      </w:tr>
      <w:tr>
        <w:tc>
          <w:tcPr>
            <w:tcW w:type="dxa" w:w="25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Conectividad externa</w:t>
            </w:r>
          </w:p>
        </w:tc>
        <w:tc>
          <w:tcPr>
            <w:tcW w:type="dxa" w:w="6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VPN Site-to-Site hacia Huawei Cloud</w:t>
            </w:r>
          </w:p>
        </w:tc>
      </w:tr>
      <w:tr>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Identidad</w:t>
            </w:r>
          </w:p>
        </w:tc>
        <w:tc>
          <w:tcPr>
            <w:tcW w:type="dxa" w:w="6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Managed Identity y permisos Microsoft Entra ID</w:t>
            </w:r>
          </w:p>
        </w:tc>
      </w:tr>
      <w:tr>
        <w:tc>
          <w:tcPr>
            <w:tcW w:type="dxa" w:w="25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Gobierno</w:t>
            </w:r>
          </w:p>
        </w:tc>
        <w:tc>
          <w:tcPr>
            <w:tcW w:type="dxa" w:w="6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Policy, etiquetas (tags), regiones permitidas y RBAC</w:t>
            </w:r>
          </w:p>
        </w:tc>
      </w:tr>
      <w:tr>
        <w:tc>
          <w:tcPr>
            <w:tcW w:type="dxa" w:w="25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Infraestructura como código</w:t>
            </w:r>
          </w:p>
        </w:tc>
        <w:tc>
          <w:tcPr>
            <w:tcW w:type="dxa" w:w="6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Bicep, Azure CLI y PowerShell</w:t>
            </w:r>
          </w:p>
        </w:tc>
      </w:tr>
    </w:tbl>
    <w:p>
      <w:pPr>
        <w:pStyle w:val="Heading1"/>
      </w:pPr>
      <w:r>
        <w:t xml:space="preserve">3. Componentes incluidos en el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960"/>
        <w:gridCol w:w="1200"/>
      </w:tblGrid>
      <w:tr>
        <w:trPr>
          <w:tblHeader/>
        </w:trPr>
        <w:tc>
          <w:tcPr>
            <w:tcW w:type="dxa" w:w="3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Componente</w:t>
            </w:r>
          </w:p>
        </w:tc>
        <w:tc>
          <w:tcPr>
            <w:tcW w:type="dxa" w:w="49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Propósito</w:t>
            </w:r>
          </w:p>
        </w:tc>
        <w:tc>
          <w:tcPr>
            <w:tcW w:type="dxa" w:w="1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Requerido</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Resource Group de red</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Contener los recursos de red</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Resource Group de integración</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Contener Logic Apps y Document Intelligence</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Resource Group de seguridad</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Contener políticas y asignaciones RBAC</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Virtual Network</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Red privada de la solución</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GatewaySubnet</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Subred obligatoria para el VPN Gateway</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Subred de integración</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Subred para Logic Apps Standard, si aplica</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Public IP</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IP pública del VPN Gateway</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VPN Gateway</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Conectividad Site-to-Site IPsec/IKEv2</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Local Network Gateway</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Representa el gateway remoto de Huawei</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VPN Connection</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Conecta el VPN Gateway de Azure con el de Huawei</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Azure Logic Apps</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Orquestador del flujo documental</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AI Document Intelligence</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OCR y extracción de información contractual</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Managed Identity</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Identidad segura para la ejecución del flujo</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API Connection SharePoint</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Conector para leer contratos desde SharePoint Online</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 si aplica</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Azure Policy</w:t>
            </w:r>
          </w:p>
        </w:tc>
        <w:tc>
          <w:tcPr>
            <w:tcW w:type="dxa" w:w="49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Restringe regiones, exige etiquetas y limita recursos</w:t>
            </w:r>
          </w:p>
        </w:tc>
        <w:tc>
          <w:tcPr>
            <w:tcW w:type="dxa" w:w="1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Sí</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RBAC Role Assignments</w:t>
            </w:r>
          </w:p>
        </w:tc>
        <w:tc>
          <w:tcPr>
            <w:tcW w:type="dxa" w:w="49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Asigna los permisos mínimos requeridos</w:t>
            </w:r>
          </w:p>
        </w:tc>
        <w:tc>
          <w:tcPr>
            <w:tcW w:type="dxa" w:w="1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Sí</w:t>
            </w:r>
          </w:p>
        </w:tc>
      </w:tr>
    </w:tbl>
    <w:p>
      <w:pPr>
        <w:spacing w:after="120"/>
      </w:pPr>
      <w:r>
        <w:rPr>
          <w:i/>
          <w:iCs/>
          <w:color w:val="555555"/>
          <w:sz w:val="20"/>
          <w:szCs w:val="20"/>
        </w:rPr>
        <w:t xml:space="preserve">Nota: si Document Intelligence se despliega como cuenta de Microsoft Foundry (AI Services multi-servicio con proyectos), el resource group de integración también es el alcance recomendado para las asignaciones de rol Foundry (ver sección 9.1).</w:t>
      </w:r>
    </w:p>
    <w:p>
      <w:pPr>
        <w:pStyle w:val="Heading1"/>
      </w:pPr>
      <w:r>
        <w:t xml:space="preserve">4. Componentes fuera de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Componente</w:t>
            </w:r>
          </w:p>
        </w:tc>
        <w:tc>
          <w:tcPr>
            <w:tcW w:type="dxa" w:w="61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Motivo</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PostgreSQL en Huawei</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Es parte de Huawei Cloud, no de Azure</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OBS en Huawei</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Es parte de Huawei Cloud, no de Azure</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Aplicación de validación (Angular)</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Fuera de la sección Azure del diagrama</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Módulo externo (Python)</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Fuera de la sección Azure del diagrama</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AKS</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No aparece en el diagrama aprobado</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SQL / Cosmos DB</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No aparecen en la sección Azure</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Service Bus / Event Grid</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No aparecen en la sección Azure</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Key Vault</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Se incluirá solo si el cliente lo aprueba como dependencia técnica</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Application Insights</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Se incluirá solo si el cliente aprueba observabilidad adicional</w:t>
            </w:r>
          </w:p>
        </w:tc>
      </w:tr>
    </w:tbl>
    <w:p>
      <w:pPr>
        <w:spacing w:after="120"/>
      </w:pPr>
      <w:r>
        <w:rPr>
          <w:i/>
          <w:iCs/>
          <w:color w:val="555555"/>
          <w:sz w:val="20"/>
          <w:szCs w:val="20"/>
        </w:rPr>
        <w:t xml:space="preserve">Nota: aunque Key Vault queda fuera del alcance inicial, la llave compartida (shared key) de la VPN y cualquier otro secreto no se almacenarán en texto plano. Mientras Key Vault no sea aprobado, estos valores se inyectarán en el despliegue mediante parámetros seguros, sin quedar versionados en el repositorio.</w:t>
      </w:r>
    </w:p>
    <w:p>
      <w:pPr>
        <w:pStyle w:val="Heading1"/>
      </w:pPr>
      <w:r>
        <w:t xml:space="preserve">5. Flujo funcional esperado</w:t>
      </w:r>
    </w:p>
    <w:p>
      <w:pPr>
        <w:pStyle w:val="ListParagraph"/>
        <w:numPr>
          <w:ilvl w:val="0"/>
          <w:numId w:val="2"/>
        </w:numPr>
        <w:spacing w:after="60"/>
      </w:pPr>
      <w:r>
        <w:t xml:space="preserve">Los contratos PDF se almacenan en SharePoint Online.</w:t>
      </w:r>
    </w:p>
    <w:p>
      <w:pPr>
        <w:pStyle w:val="ListParagraph"/>
        <w:numPr>
          <w:ilvl w:val="0"/>
          <w:numId w:val="2"/>
        </w:numPr>
        <w:spacing w:after="60"/>
      </w:pPr>
      <w:r>
        <w:t xml:space="preserve">Azure Logic Apps detecta o consulta los documentos disponibles.</w:t>
      </w:r>
    </w:p>
    <w:p>
      <w:pPr>
        <w:pStyle w:val="ListParagraph"/>
        <w:numPr>
          <w:ilvl w:val="0"/>
          <w:numId w:val="2"/>
        </w:numPr>
        <w:spacing w:after="60"/>
      </w:pPr>
      <w:r>
        <w:t xml:space="preserve">Logic Apps obtiene el archivo mediante el conector de SharePoint o Microsoft Graph.</w:t>
      </w:r>
    </w:p>
    <w:p>
      <w:pPr>
        <w:pStyle w:val="ListParagraph"/>
        <w:numPr>
          <w:ilvl w:val="0"/>
          <w:numId w:val="2"/>
        </w:numPr>
        <w:spacing w:after="60"/>
      </w:pPr>
      <w:r>
        <w:t xml:space="preserve">El PDF se envía a Azure AI Document Intelligence.</w:t>
      </w:r>
    </w:p>
    <w:p>
      <w:pPr>
        <w:pStyle w:val="ListParagraph"/>
        <w:numPr>
          <w:ilvl w:val="0"/>
          <w:numId w:val="2"/>
        </w:numPr>
        <w:spacing w:after="60"/>
      </w:pPr>
      <w:r>
        <w:t xml:space="preserve">Document Intelligence extrae texto, estructura, tablas y campos.</w:t>
      </w:r>
    </w:p>
    <w:p>
      <w:pPr>
        <w:pStyle w:val="ListParagraph"/>
        <w:numPr>
          <w:ilvl w:val="0"/>
          <w:numId w:val="2"/>
        </w:numPr>
        <w:spacing w:after="60"/>
      </w:pPr>
      <w:r>
        <w:t xml:space="preserve">Logic Apps evalúa las variables contractuales y su nivel de confianza.</w:t>
      </w:r>
    </w:p>
    <w:p>
      <w:pPr>
        <w:pStyle w:val="ListParagraph"/>
        <w:numPr>
          <w:ilvl w:val="0"/>
          <w:numId w:val="2"/>
        </w:numPr>
        <w:spacing w:after="60"/>
      </w:pPr>
      <w:r>
        <w:t xml:space="preserve">Las variables con confianza suficiente se preparan para el envío.</w:t>
      </w:r>
    </w:p>
    <w:p>
      <w:pPr>
        <w:pStyle w:val="ListParagraph"/>
        <w:numPr>
          <w:ilvl w:val="0"/>
          <w:numId w:val="2"/>
        </w:numPr>
        <w:spacing w:after="60"/>
      </w:pPr>
      <w:r>
        <w:t xml:space="preserve">Las variables con baja confianza se marcan para revisión humana.</w:t>
      </w:r>
    </w:p>
    <w:p>
      <w:pPr>
        <w:pStyle w:val="ListParagraph"/>
        <w:numPr>
          <w:ilvl w:val="0"/>
          <w:numId w:val="2"/>
        </w:numPr>
        <w:spacing w:after="60"/>
      </w:pPr>
      <w:r>
        <w:t xml:space="preserve">El envío hacia Huawei se realiza a través de la VPN Site-to-Site.</w:t>
      </w:r>
    </w:p>
    <w:p>
      <w:pPr>
        <w:pStyle w:val="Heading1"/>
      </w:pPr>
      <w:r>
        <w:t xml:space="preserve">6. Regiones permitidas</w:t>
      </w:r>
    </w:p>
    <w:p>
      <w:pPr>
        <w:spacing w:after="120"/>
      </w:pPr>
      <w:r>
        <w:t xml:space="preserve">Todos los recursos de Azure se desplegarán únicamente en regiones del continente americano. La región recomendada para iniciar la demo es East US (eastus).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3860"/>
      </w:tblGrid>
      <w:tr>
        <w:trPr>
          <w:tblHeader/>
        </w:trPr>
        <w:tc>
          <w:tcPr>
            <w:tcW w:type="dxa" w:w="11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Prioridad</w:t>
            </w:r>
          </w:p>
        </w:tc>
        <w:tc>
          <w:tcPr>
            <w:tcW w:type="dxa" w:w="2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Región</w:t>
            </w:r>
          </w:p>
        </w:tc>
        <w:tc>
          <w:tcPr>
            <w:tcW w:type="dxa" w:w="2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Código Azure</w:t>
            </w:r>
          </w:p>
        </w:tc>
        <w:tc>
          <w:tcPr>
            <w:tcW w:type="dxa" w:w="38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Uso recomendado</w:t>
            </w:r>
          </w:p>
        </w:tc>
      </w:tr>
      <w:tr>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1</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East US</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eastus</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Región por defecto para la demo</w:t>
            </w:r>
          </w:p>
        </w:tc>
      </w:tr>
      <w:tr>
        <w:tc>
          <w:tcPr>
            <w:tcW w:type="dxa" w:w="11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2</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East US 2</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eastus2</w:t>
            </w:r>
          </w:p>
        </w:tc>
        <w:tc>
          <w:tcPr>
            <w:tcW w:type="dxa" w:w="3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Alternativa principal</w:t>
            </w:r>
          </w:p>
        </w:tc>
      </w:tr>
      <w:tr>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3</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South Central US</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southcentralus</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Alternativa cercana a México/LATAM</w:t>
            </w:r>
          </w:p>
        </w:tc>
      </w:tr>
      <w:tr>
        <w:tc>
          <w:tcPr>
            <w:tcW w:type="dxa" w:w="11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4</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Central US</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centralus</w:t>
            </w:r>
          </w:p>
        </w:tc>
        <w:tc>
          <w:tcPr>
            <w:tcW w:type="dxa" w:w="3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Alternativa para pruebas</w:t>
            </w:r>
          </w:p>
        </w:tc>
      </w:tr>
      <w:tr>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5</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West US 2</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westus2</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Alternativa oeste de Estados Unidos</w:t>
            </w:r>
          </w:p>
        </w:tc>
      </w:tr>
      <w:tr>
        <w:tc>
          <w:tcPr>
            <w:tcW w:type="dxa" w:w="11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6</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Canada Central</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canadacentral</w:t>
            </w:r>
          </w:p>
        </w:tc>
        <w:tc>
          <w:tcPr>
            <w:tcW w:type="dxa" w:w="3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Alternativa Canadá</w:t>
            </w:r>
          </w:p>
        </w:tc>
      </w:tr>
      <w:tr>
        <w:tc>
          <w:tcPr>
            <w:tcW w:type="dxa" w:w="11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7</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Brazil South</w:t>
            </w:r>
          </w:p>
        </w:tc>
        <w:tc>
          <w:tcPr>
            <w:tcW w:type="dxa" w:w="2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brazilsouth</w:t>
            </w:r>
          </w:p>
        </w:tc>
        <w:tc>
          <w:tcPr>
            <w:tcW w:type="dxa" w:w="38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Alternativa LATAM, requiere validación de SKUs</w:t>
            </w:r>
          </w:p>
        </w:tc>
      </w:tr>
      <w:tr>
        <w:tc>
          <w:tcPr>
            <w:tcW w:type="dxa" w:w="11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8</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Mexico Central</w:t>
            </w:r>
          </w:p>
        </w:tc>
        <w:tc>
          <w:tcPr>
            <w:tcW w:type="dxa" w:w="2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mexicocentral</w:t>
            </w:r>
          </w:p>
        </w:tc>
        <w:tc>
          <w:tcPr>
            <w:tcW w:type="dxa" w:w="38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Alternativa México, requiere validación completa</w:t>
            </w:r>
          </w:p>
        </w:tc>
      </w:tr>
    </w:tbl>
    <w:p>
      <w:pPr>
        <w:pStyle w:val="Heading1"/>
      </w:pPr>
      <w:r>
        <w:t xml:space="preserve">7. Requerimientos de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Requerimiento</w:t>
            </w:r>
          </w:p>
        </w:tc>
        <w:tc>
          <w:tcPr>
            <w:tcW w:type="dxa" w:w="57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Valor recomendado / origen</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Tipo de conectividad</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VPN Site-to-Site IPsec/IKEv2</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Rango IP Azure (dev)</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10.240.0.0/20</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Rango IP Azure (test)</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10.240.16.0/20</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Rango IP Azure (prod)</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10.240.32.0/20</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CIDR Huawei</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 proporcionar por el cliente</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IP pública del VPN Huawei</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 proporcionar por el cliente</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Llave compartida (shared key) VPN</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 proporcionar por el cliente, por canal seguro</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No traslape de rangos IP</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Azure, Huawei y red corporativa no deben compartir rangos</w:t>
            </w:r>
          </w:p>
        </w:tc>
      </w:tr>
    </w:tbl>
    <w:p>
      <w:pPr>
        <w:pStyle w:val="Heading1"/>
      </w:pPr>
      <w:r>
        <w:t xml:space="preserve">8. Requerimientos de Microsoft 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Requerimiento</w:t>
            </w:r>
          </w:p>
        </w:tc>
        <w:tc>
          <w:tcPr>
            <w:tcW w:type="dxa" w:w="57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Detalle</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SharePoint Online</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Sitio y biblioteca de documentos para contratos PDF</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Carpeta origen</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Ruta donde se colocarán los contratos</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Documentos de prueba</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Contratos dummy, sin información sensible</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Microsoft Graph</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Acceso para leer archivos y metadatos</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Permiso recomendado</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Sites.Selected</w:t>
            </w:r>
          </w:p>
        </w:tc>
      </w:tr>
      <w:tr>
        <w:tc>
          <w:tcPr>
            <w:tcW w:type="dxa" w:w="36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Permiso alternativo (demo)</w:t>
            </w:r>
          </w:p>
        </w:tc>
        <w:tc>
          <w:tcPr>
            <w:tcW w:type="dxa" w:w="57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Sites.Read.All</w:t>
            </w:r>
          </w:p>
        </w:tc>
      </w:tr>
      <w:tr>
        <w:tc>
          <w:tcPr>
            <w:tcW w:type="dxa" w:w="36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Consentimiento de administrador</w:t>
            </w:r>
          </w:p>
        </w:tc>
        <w:tc>
          <w:tcPr>
            <w:tcW w:type="dxa" w:w="57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Requerido si se usan permisos de tipo aplicación</w:t>
            </w:r>
          </w:p>
        </w:tc>
      </w:tr>
    </w:tbl>
    <w:p>
      <w:pPr>
        <w:pStyle w:val="Heading1"/>
      </w:pPr>
      <w:r>
        <w:t xml:space="preserve">9. Información y accesos requeridos del cliente</w:t>
      </w:r>
    </w:p>
    <w:p>
      <w:pPr>
        <w:spacing w:after="120"/>
      </w:pPr>
      <w:r>
        <w:t xml:space="preserve">Para iniciar el despliegue, se solicita al cliente proporcionar o confirmar lo siguiente:</w:t>
      </w:r>
    </w:p>
    <w:p>
      <w:pPr>
        <w:pStyle w:val="ListParagraph"/>
        <w:numPr>
          <w:ilvl w:val="0"/>
          <w:numId w:val="3"/>
        </w:numPr>
        <w:spacing w:after="60"/>
      </w:pPr>
      <w:r>
        <w:t xml:space="preserve">Suscripción de Azure dedicada o controlada para el proyecto, con presupuesto o alerta de costos definida.</w:t>
      </w:r>
    </w:p>
    <w:p>
      <w:pPr>
        <w:pStyle w:val="ListParagraph"/>
        <w:numPr>
          <w:ilvl w:val="0"/>
          <w:numId w:val="3"/>
        </w:numPr>
        <w:spacing w:after="60"/>
      </w:pPr>
      <w:r>
        <w:t xml:space="preserve">Acceso con rol Owner temporal (o equivalente) para la configuración inicial de red, identidad y RBAC.</w:t>
      </w:r>
    </w:p>
    <w:p>
      <w:pPr>
        <w:pStyle w:val="ListParagraph"/>
        <w:numPr>
          <w:ilvl w:val="0"/>
          <w:numId w:val="3"/>
        </w:numPr>
        <w:spacing w:after="60"/>
      </w:pPr>
      <w:r>
        <w:t xml:space="preserve">Confirmación de la región Azure a utilizar (recomendado: East US).</w:t>
      </w:r>
    </w:p>
    <w:p>
      <w:pPr>
        <w:pStyle w:val="ListParagraph"/>
        <w:numPr>
          <w:ilvl w:val="0"/>
          <w:numId w:val="3"/>
        </w:numPr>
        <w:spacing w:after="60"/>
      </w:pPr>
      <w:r>
        <w:t xml:space="preserve">Datos de conectividad Huawei: CIDR remoto, IP pública del VPN Gateway y llave compartida (por canal seguro).</w:t>
      </w:r>
    </w:p>
    <w:p>
      <w:pPr>
        <w:pStyle w:val="ListParagraph"/>
        <w:numPr>
          <w:ilvl w:val="0"/>
          <w:numId w:val="3"/>
        </w:numPr>
        <w:spacing w:after="60"/>
      </w:pPr>
      <w:r>
        <w:t xml:space="preserve">Sitio y biblioteca de SharePoint Online con los contratos de prueba, y aprobación de los permisos de Microsoft Graph.</w:t>
      </w:r>
    </w:p>
    <w:p>
      <w:pPr>
        <w:pStyle w:val="ListParagraph"/>
        <w:numPr>
          <w:ilvl w:val="0"/>
          <w:numId w:val="3"/>
        </w:numPr>
        <w:spacing w:after="60"/>
      </w:pPr>
      <w:r>
        <w:t xml:space="preserve">Convenciones de nombres, etiquetas (tags) obligatorias y políticas de gobierno a respetar (si el cliente tiene estándares propios).</w:t>
      </w:r>
    </w:p>
    <w:p>
      <w:pPr>
        <w:pStyle w:val="ListParagraph"/>
        <w:numPr>
          <w:ilvl w:val="0"/>
          <w:numId w:val="3"/>
        </w:numPr>
        <w:spacing w:after="60"/>
      </w:pPr>
      <w:r>
        <w:t xml:space="preserve">Confirmación sobre la inclusión de Key Vault y/o Application Insights como dependencias adicionales aprobadas.</w:t>
      </w:r>
    </w:p>
    <w:p>
      <w:pPr>
        <w:pStyle w:val="ListParagraph"/>
        <w:numPr>
          <w:ilvl w:val="0"/>
          <w:numId w:val="3"/>
        </w:numPr>
        <w:spacing w:after="60"/>
      </w:pPr>
      <w:r>
        <w:t xml:space="preserve">Confirmación del modelo de despliegue de Document Intelligence (recurso Cognitive Services independiente vs. cuenta de Microsoft Foundry) para definir el modelo de RBAC aplicable (ver sección 9.1).</w:t>
      </w:r>
    </w:p>
    <w:p>
      <w:pPr>
        <w:pStyle w:val="Heading2"/>
      </w:pPr>
      <w:r>
        <w:t xml:space="preserve">9.1 Requerimientos de resource group y permisos (RBAC de Microsoft Foundry)</w:t>
      </w:r>
    </w:p>
    <w:p>
      <w:pPr>
        <w:spacing w:after="120"/>
      </w:pPr>
      <w:r>
        <w:t xml:space="preserve">Si Azure AI Document Intelligence se despliega como parte de una cuenta de Microsoft Foundry (AI Services multi-servicio con proyectos), aplican los siguientes conceptos de RBAC, adicionales a los roles clásicos de Azure (Owner, Contributor, Reader). Referencia: Role-based access control for Microsoft Foundry (Microsoft Learn).</w:t>
      </w:r>
    </w:p>
    <w:p>
      <w:pPr>
        <w:spacing w:after="120"/>
      </w:pPr>
      <w:r>
        <w:rPr>
          <w:b/>
          <w:bCs/>
          <w:sz w:val="20"/>
          <w:szCs w:val="20"/>
        </w:rPr>
        <w:t xml:space="preserve">Alcances (scopes) de asignación de roles en Foundry: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Alcance</w:t>
            </w:r>
          </w:p>
        </w:tc>
        <w:tc>
          <w:tcPr>
            <w:tcW w:type="dxa" w:w="61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Descripción</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Subscription</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Alcance más amplio; normalmente reservado para el equipo de IT/Landing Zone</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Resource Group</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rg-lectura-contratos-integration-&lt;env&gt; — grupo de recursos que contendrá la cuenta Foundry/AI Services</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resource (cuenta)</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Límite administrativo, de seguridad y monitoreo del entorno Foundry</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Foundry project</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Sub-alcance dentro del recurso Foundry para organizar el trabajo y controlar el acceso a APIs y herramientas</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Agente individual</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Alcance más granular; controla el acceso al endpoint de un agente específico</w:t>
            </w:r>
          </w:p>
        </w:tc>
      </w:tr>
    </w:tbl>
    <w:p>
      <w:pPr>
        <w:spacing w:after="120"/>
      </w:pPr>
      <w:r>
        <w:rPr>
          <w:b/>
          <w:bCs/>
          <w:sz w:val="20"/>
          <w:szCs w:val="20"/>
        </w:rPr>
        <w:t xml:space="preserve">Roles integrados (built-in) de Foundry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Rol</w:t>
            </w:r>
          </w:p>
        </w:tc>
        <w:tc>
          <w:tcPr>
            <w:tcW w:type="dxa" w:w="41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Descripción</w:t>
            </w:r>
          </w:p>
        </w:tc>
        <w:tc>
          <w:tcPr>
            <w:tcW w:type="dxa" w:w="28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Uso recomendado en este proyecto</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User</w:t>
            </w:r>
          </w:p>
        </w:tc>
        <w:tc>
          <w:tcPr>
            <w:tcW w:type="dxa" w:w="4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Acceso de lectura al proyecto/recurso y permisos de construcción y prueba</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Equipo de AI/documentos que configura y prueba la extracción</w:t>
            </w:r>
          </w:p>
        </w:tc>
      </w:tr>
      <w:tr>
        <w:tc>
          <w:tcPr>
            <w:tcW w:type="dxa" w:w="2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Foundry Project Manager</w:t>
            </w:r>
          </w:p>
        </w:tc>
        <w:tc>
          <w:tcPr>
            <w:tcW w:type="dxa" w:w="4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Gestiona proyectos Foundry; puede construir y asignar Foundry User a otros</w:t>
            </w:r>
          </w:p>
        </w:tc>
        <w:tc>
          <w:tcPr>
            <w:tcW w:type="dxa" w:w="28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Líder técnico del equipo de integración/AI</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Account Owner</w:t>
            </w:r>
          </w:p>
        </w:tc>
        <w:tc>
          <w:tcPr>
            <w:tcW w:type="dxa" w:w="4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Administra la cuenta completa: despliega modelos, audita conexiones y cómputo; puede asignar Foundry User</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Responsable de la solución en el resource group de integración</w:t>
            </w:r>
          </w:p>
        </w:tc>
      </w:tr>
      <w:tr>
        <w:tc>
          <w:tcPr>
            <w:tcW w:type="dxa" w:w="2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Foundry Owner</w:t>
            </w:r>
          </w:p>
        </w:tc>
        <w:tc>
          <w:tcPr>
            <w:tcW w:type="dxa" w:w="4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Control total (gestión + construcción); puede asignar Foundry User, ACR y roles de monitoreo</w:t>
            </w:r>
          </w:p>
        </w:tc>
        <w:tc>
          <w:tcPr>
            <w:tcW w:type="dxa" w:w="28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Solo para configuración inicial o soporte crítico</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Agent Consumer</w:t>
            </w:r>
          </w:p>
        </w:tc>
        <w:tc>
          <w:tcPr>
            <w:tcW w:type="dxa" w:w="4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Mínimo privilegio: solo invoca el endpoint de un agente, sin crearlo/modificarlo</w:t>
            </w:r>
          </w:p>
        </w:tc>
        <w:tc>
          <w:tcPr>
            <w:tcW w:type="dxa" w:w="28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Sistemas o cuentas de servicio que solo consumen el resultado (integración con Huawei)</w:t>
            </w:r>
          </w:p>
        </w:tc>
      </w:tr>
    </w:tbl>
    <w:p>
      <w:pPr>
        <w:spacing w:after="120"/>
      </w:pPr>
      <w:r>
        <w:rPr>
          <w:i/>
          <w:iCs/>
          <w:color w:val="B45309"/>
          <w:sz w:val="20"/>
          <w:szCs w:val="20"/>
        </w:rPr>
        <w:t xml:space="preserve">Importante: no usar los roles que inician con "Cognitive Services" (p. ej. Cognitive Services Contributor) para escenarios de Foundry; están pensados para acceso directo a recursos de AI Services, no al modelo de proyectos de Foundry. Tampoco usar "Azure AI Developer" para Foundry, ya que aplica a Machine Learning workspaces/hubs, no a proyectos Foundry.</w:t>
      </w:r>
    </w:p>
    <w:p>
      <w:pPr>
        <w:spacing w:after="120"/>
      </w:pPr>
      <w:r>
        <w:rPr>
          <w:b/>
          <w:bCs/>
          <w:sz w:val="20"/>
          <w:szCs w:val="20"/>
        </w:rPr>
        <w:t xml:space="preserve">Asignaciones mínimas para iniciar:</w:t>
      </w:r>
    </w:p>
    <w:p>
      <w:pPr>
        <w:pStyle w:val="ListParagraph"/>
        <w:numPr>
          <w:ilvl w:val="0"/>
          <w:numId w:val="2"/>
        </w:numPr>
        <w:spacing w:after="60"/>
      </w:pPr>
      <w:r>
        <w:t xml:space="preserve">Asignar el rol Foundry User al principal de usuario que configurará el flujo (en el recurso Foundry o en el resource group de integración).</w:t>
      </w:r>
    </w:p>
    <w:p>
      <w:pPr>
        <w:pStyle w:val="ListParagraph"/>
        <w:numPr>
          <w:ilvl w:val="0"/>
          <w:numId w:val="2"/>
        </w:numPr>
        <w:spacing w:after="60"/>
      </w:pPr>
      <w:r>
        <w:t xml:space="preserve">Asignar el rol Foundry User a la Managed Identity de Azure Logic Apps para que pueda invocar Document Intelligence/Foundry en tiempo de ejecución.</w:t>
      </w:r>
    </w:p>
    <w:p>
      <w:pPr>
        <w:pStyle w:val="ListParagraph"/>
        <w:numPr>
          <w:ilvl w:val="0"/>
          <w:numId w:val="2"/>
        </w:numPr>
        <w:spacing w:after="60"/>
      </w:pPr>
      <w:r>
        <w:t xml:space="preserve">Si el usuario que crea el proyecto ya tiene rol Owner a nivel de subscription o resource group, ambas asignaciones pueden completarse automáticamente al crear el proyecto.</w:t>
      </w:r>
    </w:p>
    <w:p>
      <w:pPr>
        <w:spacing w:after="120"/>
      </w:pPr>
      <w:r>
        <w:rPr>
          <w:b/>
          <w:bCs/>
          <w:sz w:val="20"/>
          <w:szCs w:val="20"/>
        </w:rPr>
        <w:t xml:space="preserve">Mapeo sugerido de RBAC empresarial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Persona / Identidad</w:t>
            </w:r>
          </w:p>
        </w:tc>
        <w:tc>
          <w:tcPr>
            <w:tcW w:type="dxa" w:w="34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Rol y alcance</w:t>
            </w:r>
          </w:p>
        </w:tc>
        <w:tc>
          <w:tcPr>
            <w:tcW w:type="dxa" w:w="35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Propósito</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IT admin / Landing Zone</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Owner en subscription</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Garantiza estándares empresariales y delega roles de administración de Foundry</w:t>
            </w:r>
          </w:p>
        </w:tc>
      </w:tr>
      <w:tr>
        <w:tc>
          <w:tcPr>
            <w:tcW w:type="dxa" w:w="2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Responsable de integración</w:t>
            </w:r>
          </w:p>
        </w:tc>
        <w:tc>
          <w:tcPr>
            <w:tcW w:type="dxa" w:w="3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Foundry Account Owner en el recurso Foundry (rg-integration)</w:t>
            </w:r>
          </w:p>
        </w:tc>
        <w:tc>
          <w:tcPr>
            <w:tcW w:type="dxa" w:w="35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Despliega y audita el recurso Foundry/AI Services, asigna Foundry User a su equipo</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Desarrollador del flujo (Logic Apps)</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User en el proyecto Foundry</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Construye y prueba la extracción de variables contractuales</w:t>
            </w:r>
          </w:p>
        </w:tc>
      </w:tr>
      <w:tr>
        <w:tc>
          <w:tcPr>
            <w:tcW w:type="dxa" w:w="2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Managed Identity de Logic Apps</w:t>
            </w:r>
          </w:p>
        </w:tc>
        <w:tc>
          <w:tcPr>
            <w:tcW w:type="dxa" w:w="34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Foundry User en el recurso/proyecto Foundry</w:t>
            </w:r>
          </w:p>
        </w:tc>
        <w:tc>
          <w:tcPr>
            <w:tcW w:type="dxa" w:w="35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Permite la invocación de Document Intelligence en tiempo de ejecución sin usar claves</w:t>
            </w:r>
          </w:p>
        </w:tc>
      </w:tr>
      <w:tr>
        <w:tc>
          <w:tcPr>
            <w:tcW w:type="dxa" w:w="2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Integración con Huawei (si aplica)</w:t>
            </w:r>
          </w:p>
        </w:tc>
        <w:tc>
          <w:tcPr>
            <w:tcW w:type="dxa" w:w="34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Foundry Agent Consumer a nivel de proyecto o agente</w:t>
            </w:r>
          </w:p>
        </w:tc>
        <w:tc>
          <w:tcPr>
            <w:tcW w:type="dxa" w:w="35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Consumo del resultado final sin permisos de construcción</w:t>
            </w:r>
          </w:p>
        </w:tc>
      </w:tr>
    </w:tbl>
    <w:p>
      <w:pPr>
        <w:spacing w:after="120"/>
      </w:pPr>
      <w:r>
        <w:rPr>
          <w:b/>
          <w:bCs/>
          <w:sz w:val="20"/>
          <w:szCs w:val="20"/>
        </w:rPr>
        <w:t xml:space="preserve">Notas y limitaciones relevantes:</w:t>
      </w:r>
    </w:p>
    <w:p>
      <w:pPr>
        <w:pStyle w:val="ListParagraph"/>
        <w:numPr>
          <w:ilvl w:val="0"/>
          <w:numId w:val="3"/>
        </w:numPr>
        <w:spacing w:after="60"/>
      </w:pPr>
      <w:r>
        <w:t xml:space="preserve">Se recomienda autenticación con Microsoft Entra ID (RBAC) en lugar de claves; con autenticación por clave se obtiene acceso completo sin restricciones de rol.</w:t>
      </w:r>
    </w:p>
    <w:p>
      <w:pPr>
        <w:pStyle w:val="ListParagraph"/>
        <w:numPr>
          <w:ilvl w:val="0"/>
          <w:numId w:val="3"/>
        </w:numPr>
        <w:spacing w:after="60"/>
      </w:pPr>
      <w:r>
        <w:t xml:space="preserve">Se requiere el rol Contributor a nivel subscription para ver y purgar cuentas Foundry eliminadas.</w:t>
      </w:r>
    </w:p>
    <w:p>
      <w:pPr>
        <w:pStyle w:val="ListParagraph"/>
        <w:numPr>
          <w:ilvl w:val="0"/>
          <w:numId w:val="3"/>
        </w:numPr>
        <w:spacing w:after="60"/>
      </w:pPr>
      <w:r>
        <w:t xml:space="preserve">Los usuarios con rol Contributor pueden desplegar modelos en Foundry.</w:t>
      </w:r>
    </w:p>
    <w:p>
      <w:pPr>
        <w:pStyle w:val="ListParagraph"/>
        <w:numPr>
          <w:ilvl w:val="0"/>
          <w:numId w:val="3"/>
        </w:numPr>
        <w:spacing w:after="60"/>
      </w:pPr>
      <w:r>
        <w:t xml:space="preserve">Para crear roles personalizados sobre el recurso, se requiere el rol Owner en dicho recurso.</w:t>
      </w:r>
    </w:p>
    <w:p>
      <w:pPr>
        <w:pStyle w:val="ListParagraph"/>
        <w:numPr>
          <w:ilvl w:val="0"/>
          <w:numId w:val="3"/>
        </w:numPr>
        <w:spacing w:after="60"/>
      </w:pPr>
      <w:r>
        <w:t xml:space="preserve">Si se necesita un rol personalizado más restrictivo que Foundry User, se puede definir un rol custom a nivel de subscription.</w:t>
      </w:r>
    </w:p>
    <w:p>
      <w:pPr>
        <w:pStyle w:val="Heading1"/>
      </w:pPr>
      <w:r>
        <w:t xml:space="preserve">10. Validaciones previas al despliegue</w:t>
      </w:r>
    </w:p>
    <w:p>
      <w:pPr>
        <w:spacing w:after="120"/>
      </w:pPr>
      <w:r>
        <w:t xml:space="preserve">Antes de iniciar el despliegue se validará lo siguiente:</w:t>
      </w:r>
    </w:p>
    <w:p>
      <w:pPr>
        <w:pStyle w:val="ListParagraph"/>
        <w:numPr>
          <w:ilvl w:val="0"/>
          <w:numId w:val="4"/>
        </w:numPr>
        <w:spacing w:after="60"/>
      </w:pPr>
      <w:r>
        <w:t xml:space="preserve">La región seleccionada pertenece al continente americano.</w:t>
      </w:r>
    </w:p>
    <w:p>
      <w:pPr>
        <w:pStyle w:val="ListParagraph"/>
        <w:numPr>
          <w:ilvl w:val="0"/>
          <w:numId w:val="4"/>
        </w:numPr>
        <w:spacing w:after="60"/>
      </w:pPr>
      <w:r>
        <w:t xml:space="preserve">Todos los servicios requeridos están disponibles en la región elegida.</w:t>
      </w:r>
    </w:p>
    <w:p>
      <w:pPr>
        <w:pStyle w:val="ListParagraph"/>
        <w:numPr>
          <w:ilvl w:val="0"/>
          <w:numId w:val="4"/>
        </w:numPr>
        <w:spacing w:after="60"/>
      </w:pPr>
      <w:r>
        <w:t xml:space="preserve">Los resource providers de Azure están registrados en la suscripción.</w:t>
      </w:r>
    </w:p>
    <w:p>
      <w:pPr>
        <w:pStyle w:val="ListParagraph"/>
        <w:numPr>
          <w:ilvl w:val="0"/>
          <w:numId w:val="4"/>
        </w:numPr>
        <w:spacing w:after="60"/>
      </w:pPr>
      <w:r>
        <w:t xml:space="preserve">Existen cuotas suficientes para VPN Gateway, IP pública y Azure AI Services.</w:t>
      </w:r>
    </w:p>
    <w:p>
      <w:pPr>
        <w:pStyle w:val="ListParagraph"/>
        <w:numPr>
          <w:ilvl w:val="0"/>
          <w:numId w:val="4"/>
        </w:numPr>
        <w:spacing w:after="60"/>
      </w:pPr>
      <w:r>
        <w:t xml:space="preserve">Los rangos IP de Azure no se traslapan con Huawei ni con la red corporativa.</w:t>
      </w:r>
    </w:p>
    <w:p>
      <w:pPr>
        <w:pStyle w:val="ListParagraph"/>
        <w:numPr>
          <w:ilvl w:val="0"/>
          <w:numId w:val="4"/>
        </w:numPr>
        <w:spacing w:after="60"/>
      </w:pPr>
      <w:r>
        <w:t xml:space="preserve">La IP pública del gateway Huawei fue proporcionada.</w:t>
      </w:r>
    </w:p>
    <w:p>
      <w:pPr>
        <w:pStyle w:val="ListParagraph"/>
        <w:numPr>
          <w:ilvl w:val="0"/>
          <w:numId w:val="4"/>
        </w:numPr>
        <w:spacing w:after="60"/>
      </w:pPr>
      <w:r>
        <w:t xml:space="preserve">La llave compartida (shared key) de la VPN fue entregada por un canal seguro.</w:t>
      </w:r>
    </w:p>
    <w:p>
      <w:pPr>
        <w:pStyle w:val="ListParagraph"/>
        <w:numPr>
          <w:ilvl w:val="0"/>
          <w:numId w:val="4"/>
        </w:numPr>
        <w:spacing w:after="60"/>
      </w:pPr>
      <w:r>
        <w:t xml:space="preserve">Existen permisos suficientes para crear recursos y asignar roles (RBAC).</w:t>
      </w:r>
    </w:p>
    <w:p>
      <w:pPr>
        <w:pStyle w:val="ListParagraph"/>
        <w:numPr>
          <w:ilvl w:val="0"/>
          <w:numId w:val="4"/>
        </w:numPr>
        <w:spacing w:after="60"/>
      </w:pPr>
      <w:r>
        <w:t xml:space="preserve">SharePoint Online cuenta con la biblioteca y los contratos PDF de prueba.</w:t>
      </w:r>
    </w:p>
    <w:p>
      <w:pPr>
        <w:pStyle w:val="ListParagraph"/>
        <w:numPr>
          <w:ilvl w:val="0"/>
          <w:numId w:val="4"/>
        </w:numPr>
        <w:spacing w:after="60"/>
      </w:pPr>
      <w:r>
        <w:t xml:space="preserve">Los permisos de Microsoft Graph fueron aprobados por el administrador.</w:t>
      </w:r>
    </w:p>
    <w:p>
      <w:pPr>
        <w:pStyle w:val="ListParagraph"/>
        <w:numPr>
          <w:ilvl w:val="0"/>
          <w:numId w:val="4"/>
        </w:numPr>
        <w:spacing w:after="60"/>
      </w:pPr>
      <w:r>
        <w:t xml:space="preserve">Se confirmó el modelo de despliegue de Document Intelligence (independiente vs. Microsoft Foundry) y las asignaciones de rol correspondientes.</w:t>
      </w:r>
    </w:p>
    <w:p>
      <w:pPr>
        <w:pStyle w:val="Heading1"/>
      </w:pPr>
      <w:r>
        <w:t xml:space="preserve">11. Entregables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Entregable</w:t>
            </w:r>
          </w:p>
        </w:tc>
        <w:tc>
          <w:tcPr>
            <w:tcW w:type="dxa" w:w="6160"/>
            <w:tcBorders>
              <w:top w:val="single" w:color="CBD5E1" w:sz="2"/>
              <w:left w:val="single" w:color="CBD5E1" w:sz="2"/>
              <w:bottom w:val="single" w:color="CBD5E1" w:sz="2"/>
              <w:right w:val="single" w:color="CBD5E1" w:sz="2"/>
            </w:tcBorders>
            <w:shd w:fill="1F4E79" w:val="clear"/>
            <w:tcMar>
              <w:top w:type="dxa" w:w="80"/>
              <w:left w:type="dxa" w:w="120"/>
              <w:bottom w:type="dxa" w:w="80"/>
              <w:right w:type="dxa" w:w="120"/>
            </w:tcMar>
            <w:vAlign w:val="center"/>
          </w:tcPr>
          <w:p>
            <w:r>
              <w:rPr>
                <w:b/>
                <w:bCs/>
                <w:color w:val="FFFFFF"/>
                <w:sz w:val="20"/>
                <w:szCs w:val="20"/>
              </w:rPr>
              <w:t xml:space="preserve">Descripción</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Infraestructura como código</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Bicep modular para red, VPN, Logic Apps, AI y políticas</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Scripts de despliegue</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PowerShell para validación, what-if y despliegue</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Documentación técnica</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Arquitectura, prerequisitos, red, seguridad y validación regional</w:t>
            </w:r>
          </w:p>
        </w:tc>
      </w:tr>
      <w:tr>
        <w:tc>
          <w:tcPr>
            <w:tcW w:type="dxa" w:w="320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Diagramas</w:t>
            </w:r>
          </w:p>
        </w:tc>
        <w:tc>
          <w:tcPr>
            <w:tcW w:type="dxa" w:w="6160"/>
            <w:tcBorders>
              <w:top w:val="single" w:color="CBD5E1" w:sz="2"/>
              <w:left w:val="single" w:color="CBD5E1" w:sz="2"/>
              <w:bottom w:val="single" w:color="CBD5E1" w:sz="2"/>
              <w:right w:val="single" w:color="CBD5E1" w:sz="2"/>
            </w:tcBorders>
            <w:shd w:fill="F2F6FA" w:val="clear"/>
            <w:tcMar>
              <w:top w:type="dxa" w:w="80"/>
              <w:left w:type="dxa" w:w="120"/>
              <w:bottom w:type="dxa" w:w="80"/>
              <w:right w:type="dxa" w:w="120"/>
            </w:tcMar>
            <w:vAlign w:val="center"/>
          </w:tcPr>
          <w:p>
            <w:r>
              <w:rPr>
                <w:b w:val="false"/>
                <w:bCs w:val="false"/>
                <w:sz w:val="20"/>
                <w:szCs w:val="20"/>
              </w:rPr>
              <w:t xml:space="preserve">Diagramas de arquitectura, red y despliegue</w:t>
            </w:r>
          </w:p>
        </w:tc>
      </w:tr>
      <w:tr>
        <w:tc>
          <w:tcPr>
            <w:tcW w:type="dxa" w:w="320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Guía de ejecución (README)</w:t>
            </w:r>
          </w:p>
        </w:tc>
        <w:tc>
          <w:tcPr>
            <w:tcW w:type="dxa" w:w="6160"/>
            <w:tcBorders>
              <w:top w:val="single" w:color="CBD5E1" w:sz="2"/>
              <w:left w:val="single" w:color="CBD5E1" w:sz="2"/>
              <w:bottom w:val="single" w:color="CBD5E1" w:sz="2"/>
              <w:right w:val="single" w:color="CBD5E1" w:sz="2"/>
            </w:tcBorders>
            <w:shd w:fill="FFFFFF" w:val="clear"/>
            <w:tcMar>
              <w:top w:type="dxa" w:w="80"/>
              <w:left w:type="dxa" w:w="120"/>
              <w:bottom w:type="dxa" w:w="80"/>
              <w:right w:type="dxa" w:w="120"/>
            </w:tcMar>
            <w:vAlign w:val="center"/>
          </w:tcPr>
          <w:p>
            <w:r>
              <w:rPr>
                <w:b w:val="false"/>
                <w:bCs w:val="false"/>
                <w:sz w:val="20"/>
                <w:szCs w:val="20"/>
              </w:rPr>
              <w:t xml:space="preserve">Guía para validar y desplegar la solución</w:t>
            </w:r>
          </w:p>
        </w:tc>
      </w:tr>
    </w:tbl>
    <w:p>
      <w:pPr>
        <w:pStyle w:val="Heading1"/>
      </w:pPr>
      <w:r>
        <w:t xml:space="preserve">12. Consideraciones importantes</w:t>
      </w:r>
    </w:p>
    <w:p>
      <w:pPr>
        <w:pStyle w:val="ListParagraph"/>
        <w:numPr>
          <w:ilvl w:val="0"/>
          <w:numId w:val="3"/>
        </w:numPr>
        <w:spacing w:after="60"/>
      </w:pPr>
      <w:r>
        <w:t xml:space="preserve">Esta fase no desplegará recursos en Huawei Cloud; la conexión se modela desde Azure mediante Local Network Gateway y VPN Connection.</w:t>
      </w:r>
    </w:p>
    <w:p>
      <w:pPr>
        <w:pStyle w:val="ListParagraph"/>
        <w:numPr>
          <w:ilvl w:val="0"/>
          <w:numId w:val="3"/>
        </w:numPr>
        <w:spacing w:after="60"/>
      </w:pPr>
      <w:r>
        <w:t xml:space="preserve">Todos los recursos de Azure se desplegarán únicamente en regiones del continente americano.</w:t>
      </w:r>
    </w:p>
    <w:p>
      <w:pPr>
        <w:pStyle w:val="ListParagraph"/>
        <w:numPr>
          <w:ilvl w:val="0"/>
          <w:numId w:val="3"/>
        </w:numPr>
        <w:spacing w:after="60"/>
      </w:pPr>
      <w:r>
        <w:t xml:space="preserve">No se almacenarán secretos, contratos reales ni datos sensibles en el repositorio del proyecto.</w:t>
      </w:r>
    </w:p>
    <w:p>
      <w:pPr>
        <w:pStyle w:val="ListParagraph"/>
        <w:numPr>
          <w:ilvl w:val="0"/>
          <w:numId w:val="3"/>
        </w:numPr>
        <w:spacing w:after="60"/>
      </w:pPr>
      <w:r>
        <w:t xml:space="preserve">Cualquier componente adicional fuera del diagrama aprobado deberá ser validado y aprobado explícitamente por el cliente.</w:t>
      </w:r>
    </w:p>
    <w:p>
      <w:pPr>
        <w:pStyle w:val="ListParagraph"/>
        <w:numPr>
          <w:ilvl w:val="0"/>
          <w:numId w:val="3"/>
        </w:numPr>
        <w:spacing w:after="60"/>
      </w:pPr>
      <w:r>
        <w:t xml:space="preserve">Si se utiliza Logic Apps Standard, podrían requerirse dependencias técnicas adicionales, las cuales se documentarán antes del despliegue.</w:t>
      </w:r>
    </w:p>
    <w:p>
      <w:pPr>
        <w:pStyle w:val="ListParagraph"/>
        <w:numPr>
          <w:ilvl w:val="0"/>
          <w:numId w:val="3"/>
        </w:numPr>
        <w:spacing w:after="60"/>
      </w:pPr>
      <w:r>
        <w:t xml:space="preserve">Si Document Intelligence se despliega como cuenta de Microsoft Foundry, se debe seguir el modelo de RBAC descrito en la sección 9.1, evitando roles de Cognitive Services o Azure AI Developer para estos escenarios.</w:t>
      </w:r>
    </w:p>
    <w:p>
      <w:pPr>
        <w:pBdr>
          <w:top w:val="single" w:color="1F4E79" w:sz="6" w:space="8"/>
        </w:pBdr>
        <w:spacing w:before="400"/>
      </w:pPr>
      <w:r>
        <w:rPr>
          <w:i/>
          <w:iCs/>
          <w:color w:val="444444"/>
          <w:sz w:val="20"/>
          <w:szCs w:val="20"/>
        </w:rPr>
        <w:t xml:space="preserve">Quedamos atentos a la confirmación de la información solicitada en la sección 9 para continuar con la planeación del despliegue.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Lectura Masiva de Contratos · Requerimientos y Validaciones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4E79"/>
      <w:sz w:val="44"/>
      <w:szCs w:val="44"/>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2026-07-23T04:04:12.362Z</dcterms:created>
  <dcterms:modified xsi:type="dcterms:W3CDTF">2026-07-23T04:04:12.368Z</dcterms:modified>
</cp:coreProperties>
</file>

<file path=docProps/custom.xml><?xml version="1.0" encoding="utf-8"?>
<Properties xmlns="http://schemas.openxmlformats.org/officeDocument/2006/custom-properties" xmlns:vt="http://schemas.openxmlformats.org/officeDocument/2006/docPropsVTypes"/>
</file>