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A"/>
          <w:sz w:val="52"/>
        </w:rPr>
        <w:br/>
        <w:t>KiaDynBC — NFMS</w:t>
        <w:br/>
      </w:r>
    </w:p>
    <w:p>
      <w:pPr>
        <w:jc w:val="center"/>
      </w:pPr>
      <w:r>
        <w:rPr>
          <w:color w:val="0E7C86"/>
          <w:sz w:val="28"/>
        </w:rPr>
        <w:t>Manual de Usuário — v4 (capturas + regras + configuração)</w:t>
        <w:br/>
      </w:r>
    </w:p>
    <w:p>
      <w:pPr>
        <w:jc w:val="center"/>
      </w:pPr>
      <w:r>
        <w:rPr>
          <w:i/>
          <w:sz w:val="20"/>
        </w:rPr>
        <w:t>RSBTech · Dynamics 365 Business Central · 27/10/2026 · versão 1.2.0.0</w:t>
      </w:r>
    </w:p>
    <w:p/>
    <w:p>
      <w:r>
        <w:rPr>
          <w:b/>
          <w:i w:val="0"/>
        </w:rPr>
        <w:t>Novidades da v4:</w:t>
      </w:r>
    </w:p>
    <w:p>
      <w:pPr>
        <w:pStyle w:val="ListBullet"/>
      </w:pPr>
      <w:r>
        <w:t>NOVO — Apêndice A: regras de cálculo de todos os valores do sistema (fórmula, base, cap e exemplo numérico)</w:t>
      </w:r>
    </w:p>
    <w:p>
      <w:pPr>
        <w:pStyle w:val="ListBullet"/>
      </w:pPr>
      <w:r>
        <w:t>NOVO — Apêndice C: guia de configuração (Country Setup por empresa, séries de numeração e limites de cálculo)</w:t>
      </w:r>
    </w:p>
    <w:p>
      <w:pPr>
        <w:pStyle w:val="ListBullet"/>
      </w:pPr>
      <w:r>
        <w:t>Cenário novo: penalidade de SLA limitada ao faturamento do mês</w:t>
      </w:r>
    </w:p>
    <w:p>
      <w:pPr>
        <w:pStyle w:val="ListBullet"/>
      </w:pPr>
      <w:r>
        <w:t>Correções de Entry No. duplicado nas tabelas de documento, evento, log e violação</w:t>
      </w:r>
    </w:p>
    <w:p>
      <w:pPr>
        <w:pStyle w:val="ListBullet"/>
      </w:pPr>
      <w:r>
        <w:t>Capturas de tela reais de todas as páginas principais (mantidas da v2)</w:t>
      </w:r>
    </w:p>
    <w:p>
      <w:pPr>
        <w:pStyle w:val="Heading1"/>
      </w:pPr>
      <w:r>
        <w:rPr>
          <w:color w:val="0D1B3A"/>
          <w:sz w:val="32"/>
        </w:rPr>
        <w:t>1. Visão geral do sistema</w:t>
      </w:r>
    </w:p>
    <w:p>
      <w:r>
        <w:rPr>
          <w:b w:val="0"/>
          <w:i w:val="0"/>
        </w:rPr>
        <w:t>O KiaDynBC é a solução de gestão de frotas de locação (NFMS) da KINTO Brasil sobre o Dynamics 365 Business Central. Cobre o ciclo completo: precificação de cotação, contratos, faturamento, manutenção, multas, terminação (devolução/substituição/encerramento/recovery), sinistros, reajustes por índice, controle de frota (telemática/apólices) e remarketing de seminovos com portal externo.</w:t>
      </w:r>
    </w:p>
    <w:p>
      <w:r>
        <w:rPr>
          <w:b w:val="0"/>
          <w:i w:val="0"/>
        </w:rPr>
        <w:t>Princípio de arquitetura: o país é configuração, não código — regras BR/AR divergentes viram campos de Setup. Todas as telas seguem o padrão do BC: listas com filtros e cards com seções.</w:t>
      </w:r>
    </w:p>
    <w:p>
      <w:r>
        <w:rPr>
          <w:b w:val="0"/>
          <w:i w:val="0"/>
        </w:rPr>
        <w:t>Navegação: Role Centers dedicados (Precificação, Frota Control, Portal Seminovos, Claims &amp; Price Adjustments) acessíveis pelo seletor de área no topo.</w:t>
      </w:r>
    </w:p>
    <w:p>
      <w:pPr>
        <w:pStyle w:val="Heading1"/>
      </w:pPr>
      <w:r>
        <w:rPr>
          <w:color w:val="0D1B3A"/>
          <w:sz w:val="32"/>
        </w:rPr>
        <w:t>2. Precificação — cotações</w:t>
      </w:r>
    </w:p>
    <w:p>
      <w:pPr>
        <w:pStyle w:val="Heading2"/>
      </w:pPr>
      <w:r>
        <w:rPr>
          <w:color w:val="0E7C86"/>
          <w:sz w:val="26"/>
        </w:rPr>
        <w:t>2.1 Grupos de cotação de seguro</w:t>
      </w:r>
    </w:p>
    <w:p>
      <w:r>
        <w:rPr>
          <w:b w:val="0"/>
          <w:i w:val="0"/>
        </w:rPr>
        <w:t>Define seguradoras, nível de risco, franquia % e restrições por nível de cliente (NV1/NV2). Usada no cálculo do seguro da cotação.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9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tacao-quote-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Grupos de Cotação de Seguro — grupo KINTOSEG (Kinto Seguros SP, risco Baixo, franquia 25%, válido até 31/12/2026)</w:t>
      </w:r>
    </w:p>
    <w:p>
      <w:r>
        <w:rPr>
          <w:b w:val="0"/>
          <w:i w:val="0"/>
        </w:rPr>
        <w:t>Como usar: Precificação → Grupos de Cotação de Seguro. Criar um grupo por seguradora/região; o campo Restrito + Nível de Cliente limita o grupo a clientes de determinado nível.</w:t>
      </w:r>
    </w:p>
    <w:p>
      <w:pPr>
        <w:pStyle w:val="Heading2"/>
      </w:pPr>
      <w:r>
        <w:rPr>
          <w:color w:val="0E7C86"/>
          <w:sz w:val="26"/>
        </w:rPr>
        <w:t>2.2 Fluxo da cotação (Quote)</w:t>
      </w:r>
    </w:p>
    <w:p>
      <w:r>
        <w:rPr>
          <w:b w:val="0"/>
          <w:i w:val="0"/>
        </w:rPr>
        <w:t>1. Criar cotação (país, prazo em meses, km mensal, ROI alvo) → 2. Run Pricing (motor calcula valor mensal, seguro, depreciação, ROI) → 3. Aprovar (pré-aprovação automática + revisão) → 4. Create Contract.</w:t>
      </w:r>
    </w:p>
    <w:p>
      <w:r>
        <w:rPr>
          <w:b w:val="0"/>
          <w:i w:val="0"/>
        </w:rPr>
        <w:t>O motor usa matriz RV (residual value) por item e faixas de tarifa; cotações fora da matriz exigem aprovação especial.</w:t>
      </w:r>
    </w:p>
    <w:p>
      <w:pPr>
        <w:pStyle w:val="Heading1"/>
      </w:pPr>
      <w:r>
        <w:rPr>
          <w:color w:val="0D1B3A"/>
          <w:sz w:val="32"/>
        </w:rPr>
        <w:t>3. Contratos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9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rato-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Contract Card C-00001 — cliente FMA Veículos, país BR, moeda BRL, km mensal 1.500</w:t>
      </w:r>
    </w:p>
    <w:p>
      <w:r>
        <w:rPr>
          <w:b w:val="0"/>
          <w:i w:val="0"/>
        </w:rPr>
        <w:t>O card mostra status (Draft → Approved → Active → Terminated), cliente, cotação de origem, veículo e condições financeiras. Ações principais: gerar billing, terminar contrato, substituição de veículo, encerramento (settlement).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rato-condi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Contract Conditions — linhas RENT (Vehicle Rent) com valor mensal/diário e vigência</w:t>
      </w:r>
    </w:p>
    <w:p>
      <w:r>
        <w:rPr>
          <w:b w:val="0"/>
          <w:i w:val="0"/>
        </w:rPr>
        <w:t>Condições: cada linha é um produto financeiro (RENT, DAMAGE, SVC-CREDIT, FINE...). Revisões de condição criam nova linha com Revision No. — o histórico nunca é perdido (reajuste por índice cria revisão com cap).</w:t>
      </w:r>
    </w:p>
    <w:p>
      <w:pPr>
        <w:pStyle w:val="Heading1"/>
      </w:pPr>
      <w:r>
        <w:rPr>
          <w:color w:val="0D1B3A"/>
          <w:sz w:val="32"/>
        </w:rPr>
        <w:t>4. Faturamento (Billing)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illing-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Billing Lines — linhas DAMAGE de devoluções (R$ 4.300 e R$ 1.500), mês 01/08/2027</w:t>
      </w:r>
    </w:p>
    <w:p>
      <w:r>
        <w:rPr>
          <w:b w:val="0"/>
          <w:i w:val="0"/>
        </w:rPr>
        <w:t>Geração: por contrato (Generate Billing) ou em lote via Job Queue. Ciclo da linha: Open → Approved → Invoiced. Créditos de serviço aparecem como linhas negativas (SVC-CREDIT) limitadas a 2% do faturamento do mês.</w:t>
      </w:r>
    </w:p>
    <w:p>
      <w:pPr>
        <w:pStyle w:val="Heading1"/>
      </w:pPr>
      <w:r>
        <w:rPr>
          <w:color w:val="0D1B3A"/>
          <w:sz w:val="32"/>
        </w:rPr>
        <w:t>5. Manutenção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tencao-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Maintenance Ticket TK-00001 — corretiva, contrato C-00003, veículo DEM4A99, odômetro 45.000</w:t>
      </w:r>
    </w:p>
    <w:p>
      <w:r>
        <w:rPr>
          <w:b w:val="0"/>
          <w:i w:val="0"/>
        </w:rPr>
        <w:t>Tickets corretivos e preventivos com linhas de serviço (peça/mão de obra), marcação de billable (cobre do cliente quando a culpa é dele) e integração com pool contratual e sequência de revisões.</w:t>
      </w:r>
    </w:p>
    <w:p>
      <w:pPr>
        <w:pStyle w:val="Heading1"/>
      </w:pPr>
      <w:r>
        <w:rPr>
          <w:color w:val="0D1B3A"/>
          <w:sz w:val="32"/>
        </w:rPr>
        <w:t>6. Multas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74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Traffic Fines — 13 multas DETRAN-SP vinculadas a contratos (Link Status: Linked)</w:t>
      </w:r>
    </w:p>
    <w:p>
      <w:r>
        <w:rPr>
          <w:b w:val="0"/>
          <w:i w:val="0"/>
        </w:rPr>
        <w:t>Fluxo: registro → vinculação por placa/período de vigência → cobrança ao cliente (com valor fornecedor separado) → pagamento. Multas fora da vigência ficam Not Linkable.</w:t>
      </w:r>
    </w:p>
    <w:p>
      <w:pPr>
        <w:pStyle w:val="Heading1"/>
      </w:pPr>
      <w:r>
        <w:rPr>
          <w:color w:val="0D1B3A"/>
          <w:sz w:val="32"/>
        </w:rPr>
        <w:t>7. Terminação</w:t>
      </w:r>
    </w:p>
    <w:p>
      <w:pPr>
        <w:pStyle w:val="Heading2"/>
      </w:pPr>
      <w:r>
        <w:rPr>
          <w:color w:val="0E7C86"/>
          <w:sz w:val="26"/>
        </w:rPr>
        <w:t>7.1 Devolução (Return)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turn-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Return R-00001 — Completed, contrato C-00004, odômetro 52.000, pátio São Paulo</w:t>
      </w:r>
    </w:p>
    <w:p>
      <w:r>
        <w:rPr>
          <w:b w:val="0"/>
          <w:i w:val="0"/>
        </w:rPr>
        <w:t>Ciclo: Scheduled → In Progress → Checklist → Finished. Checklist inspeciona odômetro, combustível, laudo cautelar e itens pendentes; danos classificados (Misuse/Accident/Wear) geram cobrança cliente ou dealer.</w:t>
      </w:r>
    </w:p>
    <w:p>
      <w:pPr>
        <w:pStyle w:val="Heading2"/>
      </w:pPr>
      <w:r>
        <w:rPr>
          <w:color w:val="0E7C86"/>
          <w:sz w:val="26"/>
        </w:rPr>
        <w:t>7.2 Substituição de veículo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ubstitui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Contrato Substituição SUB-00001 — VH-00059 → VH-00060, Completed (definitive)</w:t>
      </w:r>
    </w:p>
    <w:p>
      <w:r>
        <w:rPr>
          <w:b w:val="0"/>
          <w:i w:val="0"/>
        </w:rPr>
        <w:t>Substituição definitiva herda as condições do contrato e transfere o dispositivo telemático; provisional segue regras BR (PEN-15).</w:t>
      </w:r>
    </w:p>
    <w:p>
      <w:pPr>
        <w:pStyle w:val="Heading2"/>
      </w:pPr>
      <w:r>
        <w:rPr>
          <w:color w:val="0E7C86"/>
          <w:sz w:val="26"/>
        </w:rPr>
        <w:t>7.3 Encerramento (Settlement)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14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l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Encerramento STL-00001 — roubo c/ franquia: dano 1.500 + franquia 5.000 = total 6.500</w:t>
      </w:r>
    </w:p>
    <w:p>
      <w:r>
        <w:rPr>
          <w:b w:val="0"/>
          <w:i w:val="0"/>
        </w:rPr>
        <w:t>Consolida saldos do contrato: billing aberto, danos, multas, excesso de km, franquia da apólice e recuperação de seguro. Tipos: Final Balance, Theft (franquia), Total Loss, Damage.</w:t>
      </w:r>
    </w:p>
    <w:p>
      <w:pPr>
        <w:pStyle w:val="Heading2"/>
      </w:pPr>
      <w:r>
        <w:rPr>
          <w:color w:val="0E7C86"/>
          <w:sz w:val="26"/>
        </w:rPr>
        <w:t>7.4 Recovery (recuperação de veículo)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1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Recovery Case RC-00001 — aberto, contrato C-00005, risco High</w:t>
      </w:r>
    </w:p>
    <w:p>
      <w:r>
        <w:rPr>
          <w:b w:val="0"/>
          <w:i w:val="0"/>
        </w:rPr>
        <w:t>Casos de recuperação (veículo com cliente inadimplente/sumido) com aging em dias, nível de risco (15/45/90d configuráveis) e cadeias de tarefas para risco alto. Job Queue reclassifica casos abertos.</w:t>
      </w:r>
    </w:p>
    <w:p>
      <w:pPr>
        <w:pStyle w:val="Heading1"/>
      </w:pPr>
      <w:r>
        <w:rPr>
          <w:color w:val="0D1B3A"/>
          <w:sz w:val="32"/>
        </w:rPr>
        <w:t>8. Sinistros (Claims)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inist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Claim — card novo (sem dados ainda; o Demo Data Load v2 cria um sinistro completo)</w:t>
      </w:r>
    </w:p>
    <w:p>
      <w:r>
        <w:rPr>
          <w:b/>
          <w:color w:val="B45000"/>
        </w:rPr>
        <w:t>⚠ Tela sem dados: rodar Run Demo Data Load (v2) — cria sinistro classificado (82% → destruição total), envio à seguradora, decisão, indenização e encerramento do contrato.</w:t>
      </w:r>
    </w:p>
    <w:p>
      <w:r>
        <w:rPr>
          <w:b w:val="0"/>
          <w:i w:val="0"/>
        </w:rPr>
        <w:t>As 5 trilhas de classificação: Total Destruction (≥70% do valor FIPE), Theft, Partial Damage, Third Party, Glass Only. Destruição total dá baixa do ativo (salvage) e termina o contrato; settlement consolida franquia e indenização.</w:t>
      </w:r>
    </w:p>
    <w:p>
      <w:pPr>
        <w:pStyle w:val="Heading1"/>
      </w:pPr>
      <w:r>
        <w:rPr>
          <w:color w:val="0D1B3A"/>
          <w:sz w:val="32"/>
        </w:rPr>
        <w:t>9. Reajustes por índice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06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ajus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Adjustment Ledger — tela vazia; o Demo Data Load v2 aplica reajuste IPCA-T 8% com cap 5%</w:t>
      </w:r>
    </w:p>
    <w:p>
      <w:r>
        <w:rPr>
          <w:b/>
          <w:color w:val="B45000"/>
        </w:rPr>
        <w:t>⚠ Tela sem dados: rodar Run Demo Data Load (v2) — cria contrato com índice IPCA-T mensal, variação 8% e cap 5%; o ledger registra contrato, mês, variação e cap aplicado.</w:t>
      </w:r>
    </w:p>
    <w:p>
      <w:r>
        <w:rPr>
          <w:b w:val="0"/>
          <w:i w:val="0"/>
        </w:rPr>
        <w:t>Agendador (Price Adjustment Scheduler) roda via Job Queue: mensal/trimestral/anual, idempotente por contrato/mês, com carta prévia ao cliente e cap configurável. Toda aplicação cria revisão de condição + entrada no ledger (auditoria).</w:t>
      </w:r>
    </w:p>
    <w:p>
      <w:pPr>
        <w:pStyle w:val="Heading1"/>
      </w:pPr>
      <w:r>
        <w:rPr>
          <w:color w:val="0D1B3A"/>
          <w:sz w:val="32"/>
        </w:rPr>
        <w:t>10. Controle de frota (Fleet)</w:t>
      </w:r>
    </w:p>
    <w:p>
      <w:pPr>
        <w:pStyle w:val="Heading2"/>
      </w:pPr>
      <w:r>
        <w:rPr>
          <w:color w:val="0E7C86"/>
          <w:sz w:val="26"/>
        </w:rPr>
        <w:t>10.1 Dispositivos telemáticos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0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spositiv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Telemático Dispositivo DEV-00001 — instalado no VH-00017, serial SN-DEMO-20270801</w:t>
      </w:r>
    </w:p>
    <w:p>
      <w:r>
        <w:rPr>
          <w:b w:val="0"/>
          <w:i w:val="0"/>
        </w:rPr>
        <w:t>Instalação/remoção com contagem de reuso, comunicação e aging por dispositivo (bloqueio de alto aging). Histórico completo por veículo.</w:t>
      </w:r>
    </w:p>
    <w:p>
      <w:pPr>
        <w:pStyle w:val="Heading2"/>
      </w:pPr>
      <w:r>
        <w:rPr>
          <w:color w:val="0E7C86"/>
          <w:sz w:val="26"/>
        </w:rPr>
        <w:t>10.2 Apólices de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47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ol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Insurance Apólice POL-00001 — VH-00017, compreensiva, franquia 5.000, contrato C-00018</w:t>
      </w:r>
    </w:p>
    <w:p>
      <w:r>
        <w:rPr>
          <w:b w:val="0"/>
          <w:i w:val="0"/>
        </w:rPr>
        <w:t>Apólices por veículo com vigência, prêmio anual/mensal, franquia e vínculo ao contrato. Sinistros referenciam a apólice ativa na data do evento.</w:t>
      </w:r>
    </w:p>
    <w:p>
      <w:pPr>
        <w:pStyle w:val="Heading1"/>
      </w:pPr>
      <w:r>
        <w:rPr>
          <w:color w:val="0D1B3A"/>
          <w:sz w:val="32"/>
        </w:rPr>
        <w:t>11. Remarketing (seminovos)</w:t>
      </w:r>
    </w:p>
    <w:p>
      <w:pPr>
        <w:pStyle w:val="Heading2"/>
      </w:pPr>
      <w:r>
        <w:rPr>
          <w:color w:val="0E7C86"/>
          <w:sz w:val="26"/>
        </w:rPr>
        <w:t>11.1 Ofertas em cascata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26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marketing-off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Remarketing Offers — cascata 3 canais (Cliente → Dealer → Auction), ofertas RMK abertas</w:t>
      </w:r>
    </w:p>
    <w:p>
      <w:r>
        <w:rPr>
          <w:b w:val="0"/>
          <w:i w:val="0"/>
        </w:rPr>
        <w:t>Cada veículo em remarketing recebe ofertas por canal (cascata BR: cliente do contrato → dealer comercial → leilão; AR: 5 canais). Preço por fonte ponderada (FIPE/Webmotors) com depreciação por km.</w:t>
      </w:r>
    </w:p>
    <w:p>
      <w:pPr>
        <w:pStyle w:val="Heading2"/>
      </w:pPr>
      <w:r>
        <w:rPr>
          <w:color w:val="0E7C86"/>
          <w:sz w:val="26"/>
        </w:rPr>
        <w:t>11.2 Vendas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56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marketing-sa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Remarketing Sales — tela vazia; o Demo Data Load v2 cria uma venda completa (4-olhos → fatura → pagamento → baixa)</w:t>
      </w:r>
    </w:p>
    <w:p>
      <w:r>
        <w:rPr>
          <w:b/>
          <w:color w:val="B45000"/>
        </w:rPr>
        <w:t>⚠ Tela sem dados: rodar Run Demo Data Load (v2) — cria venda ao motorista com aprovação 4-olhos, fatura, pagamento (fecha o contrato) e baixa do ativo.</w:t>
      </w:r>
    </w:p>
    <w:p>
      <w:r>
        <w:rPr>
          <w:b w:val="0"/>
          <w:i w:val="0"/>
        </w:rPr>
        <w:t>Alçada 4-olhos obrigatória (Setup D8 BR). Venda ao motorista fecha o contrato na data do pagamento; baixa do ativo após pagamento (BR). Margem bruta calculada por venda.</w:t>
      </w:r>
    </w:p>
    <w:p>
      <w:pPr>
        <w:pStyle w:val="Heading1"/>
      </w:pPr>
      <w:r>
        <w:rPr>
          <w:color w:val="0D1B3A"/>
          <w:sz w:val="32"/>
        </w:rPr>
        <w:t>12. Portal de seminovos (3 touchpoints)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09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ortal-a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Actions — resumo dos 3 touchpoints D8 BR</w:t>
      </w:r>
    </w:p>
    <w:p>
      <w:r>
        <w:rPr>
          <w:b w:val="0"/>
          <w:i w:val="0"/>
        </w:rPr>
        <w:t>TP1 — envio de disponíveis com preço (CalculatePrice → JSON); TP2 — lançamento da venda + boleto (Sale Invoiced → JSON); TP3 — baixa após pagamento (Sale Paid → JSON). Tudo em fila (Sync Entries) com retry.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rtal-syn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Sync Entries — tela vazia; o Demo Data Load v2 gera entries de TP1/TP2/TP3</w:t>
      </w:r>
    </w:p>
    <w:p>
      <w:r>
        <w:rPr>
          <w:b/>
          <w:color w:val="B45000"/>
        </w:rPr>
        <w:t>⚠ Tela sem dados: rodar Run Demo Data Load (v2) — cria entries Pending de disponibilidade, venda e baixa (o HTTP só dispara com endpoint configurado).</w:t>
      </w:r>
    </w:p>
    <w:p>
      <w:pPr>
        <w:pStyle w:val="Heading2"/>
      </w:pPr>
      <w:r>
        <w:rPr>
          <w:color w:val="0E7C86"/>
          <w:sz w:val="26"/>
        </w:rPr>
        <w:t>12.1 Configuração</w:t>
      </w:r>
    </w:p>
    <w:p>
      <w:r>
        <w:rPr>
          <w:b/>
          <w:color w:val="B45000"/>
        </w:rPr>
        <w:t>⚠ Correção 27/10 (commit 9b5040a): o erro "Já existe o registro na tabela KINTO Portal Config. Primary Key='SETUP'" ao abrir a página era bug do GetConfig() (buscava PK vazia em vez de 'SETUP'). Publicar a v1.1.0.8 — a página abrirá normal, criando o registro só se faltar.</w:t>
      </w:r>
    </w:p>
    <w:p>
      <w:r>
        <w:rPr>
          <w:b w:val="0"/>
          <w:i w:val="0"/>
        </w:rPr>
        <w:t>Campos: Enabled (chave geral), Endpoint URL, API Key (mascarada), Availability Batch Size (padrão 50) e Max Retry (padrão 3). Integração desligada por padrão — habilitar só com endpoint real configurado.</w:t>
      </w:r>
    </w:p>
    <w:p>
      <w:pPr>
        <w:pStyle w:val="Heading1"/>
      </w:pPr>
      <w:r>
        <w:rPr>
          <w:color w:val="0D1B3A"/>
          <w:sz w:val="32"/>
        </w:rPr>
        <w:t>13. Testes e carga de demonstração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68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st-manag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Test Management — resumo de execuções (79 runs / 23 passed / 56 failed) e ações</w:t>
      </w:r>
    </w:p>
    <w:p>
      <w:r>
        <w:rPr>
          <w:b/>
          <w:color w:val="B45000"/>
        </w:rPr>
        <w:t>⚠ O contador acumula TODAS as execuções desde a instalação do test app — os 56 failed incluem rodadas antigas de versões anteriores (antes dos fixes de Task Scheduler, RV Matrix e portal). Recomendação: rodar Run All Tests após publicar a v1.1.0.8 e usar o resultado da última rodada como referência.</w:t>
      </w:r>
    </w:p>
    <w:p>
      <w:r>
        <w:rPr>
          <w:b w:val="0"/>
          <w:i w:val="0"/>
        </w:rPr>
        <w:t>Ações disponíveis: Run All Tests (31 cenários E2E), Run Demo Data Load (11 cenários de demonstração — v2), Workflow Commands (fila de integração) e Job Queue Entries.</w:t>
      </w:r>
    </w:p>
    <w:p>
      <w:pPr>
        <w:pStyle w:val="Heading2"/>
      </w:pPr>
      <w:r>
        <w:rPr>
          <w:color w:val="0E7C86"/>
          <w:sz w:val="26"/>
        </w:rPr>
        <w:t>13.1 O que o Demo Data Load v2 cria</w:t>
      </w:r>
    </w:p>
    <w:p>
      <w:pPr>
        <w:pStyle w:val="ListBullet"/>
      </w:pPr>
      <w:r>
        <w:t>Contratos ativos com billing aprovada + dispositivo telemático + apólice</w:t>
      </w:r>
    </w:p>
    <w:p>
      <w:pPr>
        <w:pStyle w:val="ListBullet"/>
      </w:pPr>
      <w:r>
        <w:t>Multas vinculadas e cobradas (dentro e fora da vigência)</w:t>
      </w:r>
    </w:p>
    <w:p>
      <w:pPr>
        <w:pStyle w:val="ListBullet"/>
      </w:pPr>
      <w:r>
        <w:t>Ticket de manutenção com linhas billable</w:t>
      </w:r>
    </w:p>
    <w:p>
      <w:pPr>
        <w:pStyle w:val="ListBullet"/>
      </w:pPr>
      <w:r>
        <w:t>Devolução com 3 danos cobrados (cliente R$ 4.300 + dealer R$ 180)</w:t>
      </w:r>
    </w:p>
    <w:p>
      <w:pPr>
        <w:pStyle w:val="ListBullet"/>
      </w:pPr>
      <w:r>
        <w:t>Total loss → recovery case automático</w:t>
      </w:r>
    </w:p>
    <w:p>
      <w:pPr>
        <w:pStyle w:val="ListBullet"/>
      </w:pPr>
      <w:r>
        <w:t>Reajuste IPCA-T 8% com cap 5% (ledger)</w:t>
      </w:r>
    </w:p>
    <w:p>
      <w:pPr>
        <w:pStyle w:val="ListBullet"/>
      </w:pPr>
      <w:r>
        <w:t>Sinistro completo (82% → destruição total, indenização paga)</w:t>
      </w:r>
    </w:p>
    <w:p>
      <w:pPr>
        <w:pStyle w:val="ListBullet"/>
      </w:pPr>
      <w:r>
        <w:t>Venda remarketing completa com TP2/TP3 no portal</w:t>
      </w:r>
    </w:p>
    <w:p>
      <w:pPr>
        <w:pStyle w:val="ListBullet"/>
      </w:pPr>
      <w:r>
        <w:t>Disponibilidade TP1 enviada com preço</w:t>
      </w:r>
    </w:p>
    <w:p>
      <w:pPr>
        <w:pStyle w:val="ListBullet"/>
      </w:pPr>
      <w:r>
        <w:t>Mileage closing: excesso 5.000 km → R$ 8.200 (faixas 1+2)</w:t>
      </w:r>
    </w:p>
    <w:p>
      <w:pPr>
        <w:pStyle w:val="ListBullet"/>
      </w:pPr>
      <w:r>
        <w:t>Service credit: 30 dias → crédito limitado a 2% do faturamento</w:t>
      </w:r>
    </w:p>
    <w:p>
      <w:pPr>
        <w:pStyle w:val="Heading1"/>
      </w:pPr>
      <w:r>
        <w:rPr>
          <w:color w:val="0D1B3A"/>
          <w:sz w:val="32"/>
        </w:rPr>
        <w:t>14. Administração</w:t>
      </w:r>
    </w:p>
    <w:p>
      <w:pPr>
        <w:pStyle w:val="Heading2"/>
      </w:pPr>
      <w:r>
        <w:rPr>
          <w:color w:val="0E7C86"/>
          <w:sz w:val="26"/>
        </w:rPr>
        <w:t>14.1 Job Queue (agendamentos)</w:t>
      </w:r>
    </w:p>
    <w:p>
      <w:r>
        <w:rPr>
          <w:b w:val="0"/>
          <w:i w:val="0"/>
        </w:rPr>
        <w:t>Jobs recomendados: Price Adjustment Scheduler (diário), Recovery reclassification (diário), Device aging (diário), Billing generation (mensal), Portal ProcessPendingEntries (a cada 5 min quando integração ativa).</w:t>
      </w:r>
    </w:p>
    <w:p>
      <w:pPr>
        <w:pStyle w:val="Heading2"/>
      </w:pPr>
      <w:r>
        <w:rPr>
          <w:color w:val="0E7C86"/>
          <w:sz w:val="26"/>
        </w:rPr>
        <w:t>14.2 Permissões</w:t>
      </w:r>
    </w:p>
    <w:p>
      <w:r>
        <w:rPr>
          <w:b w:val="0"/>
          <w:i w:val="0"/>
        </w:rPr>
        <w:t>Permission sets: KINTO CONTRACT ADMIN (gestão completa), KINTO PRICING USER (cotações), KINTO FLEET USER (frota), KINTO REMARKETING USER (seminovos). Todos com tabledata RIMD nas tabelas do domínio.</w:t>
      </w:r>
    </w:p>
    <w:p>
      <w:pPr>
        <w:pStyle w:val="Heading2"/>
      </w:pPr>
      <w:r>
        <w:rPr>
          <w:color w:val="0E7C86"/>
          <w:sz w:val="26"/>
        </w:rPr>
        <w:t>14.3 Séries de numeração</w:t>
      </w:r>
    </w:p>
    <w:p>
      <w:r>
        <w:rPr>
          <w:b w:val="0"/>
          <w:i w:val="0"/>
        </w:rPr>
        <w:t>KINTO-QUOTE, KINTO-CONTR (contratos), KINTO-BILL, KINTO-FINE, KINTO-TKT, KINTO-RET, KINTO-SUB, KINTO-STL, KINTO-RCV, KINTO-CLM, KINTO-POL, KINTO-DEV, KINTO-RMK, KINTO-RMS — criadas no Install.</w:t>
      </w:r>
    </w:p>
    <w:p>
      <w:pPr>
        <w:pStyle w:val="Heading1"/>
      </w:pPr>
      <w:r>
        <w:rPr>
          <w:color w:val="0D1B3A"/>
          <w:sz w:val="32"/>
        </w:rPr>
        <w:t>15. Troubleshooting</w:t>
      </w:r>
    </w:p>
    <w:p>
      <w:pPr>
        <w:pStyle w:val="ListBullet"/>
      </w:pPr>
      <w:r>
        <w:t>"Já existe o registro na tabela KINTO Portal Config" — corrigido na v1.1.0.8 (commit 9b5040a). Se persistir, verificar registro órfão com PK vazia na tabela 50473.</w:t>
      </w:r>
    </w:p>
    <w:p>
      <w:pPr>
        <w:pStyle w:val="ListBullet"/>
      </w:pPr>
      <w:r>
        <w:t>Billing não gera — contrato precisa estar Active e com condições válidas (Valid From &lt;= mês).</w:t>
      </w:r>
    </w:p>
    <w:p>
      <w:pPr>
        <w:pStyle w:val="ListBullet"/>
      </w:pPr>
      <w:r>
        <w:t>Reajuste não aplica — contrato precisa de Price Index Code + Index Frequency; scheduler é idempotente por mês.</w:t>
      </w:r>
    </w:p>
    <w:p>
      <w:pPr>
        <w:pStyle w:val="ListBullet"/>
      </w:pPr>
      <w:r>
        <w:t>Sinistro sem apólice — CreateClaim exige apólice Active no contrato na data do evento.</w:t>
      </w:r>
    </w:p>
    <w:p>
      <w:pPr>
        <w:pStyle w:val="ListBullet"/>
      </w:pPr>
      <w:r>
        <w:t>Oferta não envia — Offer Price precisa estar calculado (CalculatePrice) e canal ativo no Setup D8.</w:t>
      </w:r>
    </w:p>
    <w:p>
      <w:pPr>
        <w:pStyle w:val="ListBullet"/>
      </w:pPr>
      <w:r>
        <w:t>Portal não envia — Portal Config Enabled + Endpoint URL; entries ficam Pending até ProcessPendingEntries rodar.</w:t>
      </w:r>
    </w:p>
    <w:p>
      <w:pPr>
        <w:pStyle w:val="ListBullet"/>
      </w:pPr>
      <w:r>
        <w:t>Datas em 2027 nos dados demo — WorkDate da sessão de background; rodar Demo Load pela página (sessão do usuário) para usar a data corrente.</w:t>
      </w:r>
    </w:p>
    <w:p>
      <w:pPr>
        <w:pStyle w:val="Heading1"/>
      </w:pPr>
      <w:r>
        <w:rPr>
          <w:color w:val="0D1B3A"/>
          <w:sz w:val="32"/>
        </w:rPr>
        <w:t>16. Manutenção preventiva e telemetria</w:t>
      </w:r>
    </w:p>
    <w:p>
      <w:r>
        <w:rPr>
          <w:b w:val="0"/>
          <w:i w:val="0"/>
        </w:rPr>
        <w:t>O plano de manutenção deixa de ser apenas custo de precificação: ele passa a gerar tickets preventivos automaticamente, por quilometragem ou por tempo, e reage a eventos do dispositivo telemático.</w:t>
      </w:r>
    </w:p>
    <w:p>
      <w:pPr>
        <w:pStyle w:val="Heading2"/>
      </w:pPr>
      <w:r>
        <w:rPr>
          <w:color w:val="0E7C86"/>
          <w:sz w:val="26"/>
        </w:rPr>
        <w:t>16.1 Agendamento preventivo</w:t>
      </w:r>
    </w:p>
    <w:p>
      <w:r>
        <w:rPr>
          <w:b w:val="0"/>
          <w:i w:val="0"/>
        </w:rPr>
        <w:t>A geração roda pelo Job Queue (codeunit KINTO Preventive Maint. Mgt., função Generate Preventive Tickets). Para cada contrato ativo com plano de manutenção habilitado:</w:t>
      </w:r>
    </w:p>
    <w:p>
      <w:pPr>
        <w:pStyle w:val="ListBullet"/>
      </w:pPr>
      <w:r>
        <w:t>Compara o odômetro atual do veículo com o próximo odômetro previsto (intervalo de km da linha do plano).</w:t>
      </w:r>
    </w:p>
    <w:p>
      <w:pPr>
        <w:pStyle w:val="ListBullet"/>
      </w:pPr>
      <w:r>
        <w:t>Compara a última data preventiva com o intervalo em meses do plano.</w:t>
      </w:r>
    </w:p>
    <w:p>
      <w:pPr>
        <w:pStyle w:val="ListBullet"/>
      </w:pPr>
      <w:r>
        <w:t>Se qualquer um dos dois venceu, cria o ticket preventivo já vinculado ao contrato e ao veículo.</w:t>
      </w:r>
    </w:p>
    <w:p>
      <w:pPr>
        <w:pStyle w:val="ListBullet"/>
      </w:pPr>
      <w:r>
        <w:t>Grava Última Data Preventiva e Último Odômetro Preventivo no contrato e reagenda o próximo alvo.</w:t>
      </w:r>
    </w:p>
    <w:p>
      <w:pPr>
        <w:pStyle w:val="ListBullet"/>
      </w:pPr>
      <w:r>
        <w:t>Não abre um segundo ticket se já existe um preventivo em aberto para o contrato — evita fila duplicada.</w:t>
      </w:r>
    </w:p>
    <w:p>
      <w:r>
        <w:rPr>
          <w:b/>
          <w:color w:val="B45000"/>
        </w:rPr>
        <w:t>⚠ Se o plano tiver várias linhas de km, o sistema usa o MENOR intervalo maior que zero. Linha de plano sem intervalo é ignorada.</w:t>
      </w:r>
    </w:p>
    <w:p>
      <w:pPr>
        <w:pStyle w:val="Heading2"/>
      </w:pPr>
      <w:r>
        <w:rPr>
          <w:color w:val="0E7C86"/>
          <w:sz w:val="26"/>
        </w:rPr>
        <w:t>16.2 Gatilho telemático</w:t>
      </w:r>
    </w:p>
    <w:p>
      <w:r>
        <w:rPr>
          <w:b w:val="0"/>
          <w:i w:val="0"/>
        </w:rPr>
        <w:t>Eventos do dispositivo (KINTO Telematic Event) podem abrir ticket de manutenção sem intervenção manual. O mapeamento evento → tipo de serviço é configurado no KINTO Country Setup (KINTO Telematic Maintenance Trigger).</w:t>
      </w:r>
    </w:p>
    <w:p>
      <w:r>
        <w:rPr>
          <w:b w:val="0"/>
          <w:i w:val="0"/>
        </w:rPr>
        <w:t>Eventos tratados: alerta de desgaste de freio, nível baixo de fluidos, limite de odômetro atingido, intervalo de serviço decorrido e recall do fabricante. Cada evento guarda o payload bruto recebido, para auditoria e reprocessamento.</w:t>
      </w:r>
    </w:p>
    <w:p>
      <w:r>
        <w:rPr>
          <w:b/>
          <w:color w:val="B45000"/>
        </w:rPr>
        <w:t>⚠ Processar os eventos é idempotente: o mesmo evento não gera dois tickets, mesmo que a rotina rode mais de uma vez.</w:t>
      </w:r>
    </w:p>
    <w:p>
      <w:pPr>
        <w:pStyle w:val="Heading2"/>
      </w:pPr>
      <w:r>
        <w:rPr>
          <w:color w:val="0E7C86"/>
          <w:sz w:val="26"/>
        </w:rPr>
        <w:t>16.3 Taxa de hora-homem (HH rate)</w:t>
      </w:r>
    </w:p>
    <w:p>
      <w:r>
        <w:rPr>
          <w:b w:val="0"/>
          <w:i w:val="0"/>
        </w:rPr>
        <w:t>A mão de obra é valorizada por hora-homem, e não por um preço fixo digitado à mão. A taxa fica na KINTO Vendor Labor Rate, por fornecedor + tipo de serviço + data de vigência, com valor/hora, horas mínimas faturáveis e moeda.</w:t>
      </w:r>
    </w:p>
    <w:p>
      <w:r>
        <w:rPr>
          <w:b w:val="0"/>
          <w:i w:val="0"/>
        </w:rPr>
        <w:t>Na linha do ticket, marque o Tipo de Linha como Mão de Obra (HH) e escolha o Tipo de Serviço — é ele que seleciona qual taxa será buscada. A taxa não é digitada: o campo HH Rate é somente leitura e vem do cadastro do fornecedor.</w:t>
      </w:r>
    </w:p>
    <w:p>
      <w:pPr>
        <w:pStyle w:val="Heading2"/>
      </w:pPr>
      <w:r>
        <w:rPr>
          <w:color w:val="0E7C86"/>
          <w:sz w:val="26"/>
        </w:rPr>
        <w:t>16.4 Horas trabalhadas x horas faturáveis</w:t>
      </w:r>
    </w:p>
    <w:p>
      <w:r>
        <w:rPr>
          <w:b w:val="0"/>
          <w:i w:val="0"/>
        </w:rPr>
        <w:t>São dois números diferentes, e o sistema guarda os dois:</w:t>
      </w:r>
    </w:p>
    <w:p>
      <w:pPr>
        <w:pStyle w:val="ListBullet"/>
      </w:pPr>
      <w:r>
        <w:t>Horas: o que o técnico executou de fato. Nunca é alterado pelo sistema.</w:t>
      </w:r>
    </w:p>
    <w:p>
      <w:pPr>
        <w:pStyle w:val="ListBullet"/>
      </w:pPr>
      <w:r>
        <w:t>Horas Faturáveis: o que se cobra = o maior entre as horas executadas e o mínimo faturável do fornecedor.</w:t>
      </w:r>
    </w:p>
    <w:p>
      <w:r>
        <w:rPr>
          <w:b w:val="0"/>
          <w:i w:val="0"/>
        </w:rPr>
        <w:t>Exemplo: execução de 1h com mínimo de 2h no cadastro. As Horas continuam 1 (o serviço durou 1 hora), as Horas Faturáveis ficam 2 e a linha é marcada com Mínimo de Horas Aplicado. O valor cobrado é 2 × taxa.</w:t>
      </w:r>
    </w:p>
    <w:p>
      <w:r>
        <w:rPr>
          <w:b/>
          <w:color w:val="B45000"/>
        </w:rPr>
        <w:t>⚠ O mínimo nunca apaga as horas executadas. Se as horas trabalhadas fossem sobrescritas pelo mínimo, o histórico perderia o registro do que realmente aconteceu — e não haveria como auditar depois se o serviço foi rápido ou demorado.</w:t>
      </w:r>
    </w:p>
    <w:p>
      <w:pPr>
        <w:pStyle w:val="Heading2"/>
      </w:pPr>
      <w:r>
        <w:rPr>
          <w:color w:val="0E7C86"/>
          <w:sz w:val="26"/>
        </w:rPr>
        <w:t>16.5 Quando a taxa é aplicada</w:t>
      </w:r>
    </w:p>
    <w:p>
      <w:pPr>
        <w:pStyle w:val="ListBullet"/>
      </w:pPr>
      <w:r>
        <w:t>Na ação Apply Labor Rates, dentro do ticket, para aplicar na hora e ver o resultado.</w:t>
      </w:r>
    </w:p>
    <w:p>
      <w:pPr>
        <w:pStyle w:val="ListBullet"/>
      </w:pPr>
      <w:r>
        <w:t>Ao validar o ticket (Validate), que garante a taxa preenchida antes de aprovar.</w:t>
      </w:r>
    </w:p>
    <w:p>
      <w:pPr>
        <w:pStyle w:val="ListBullet"/>
      </w:pPr>
      <w:r>
        <w:t>Antes de faturar, ao cobrar do cliente: a taxa vigente é reaplicada, para o cliente ser cobrado pelo valor certo mesmo que a tabela tenha sido corrigida depois da execução.</w:t>
      </w:r>
    </w:p>
    <w:p>
      <w:r>
        <w:rPr>
          <w:b w:val="0"/>
          <w:i w:val="0"/>
        </w:rPr>
        <w:t>A data usada é a Data de Serviço do ticket, não a data de hoje. Assim, reprocessar um ticket antigo traz a taxa que valia na época do serviço.</w:t>
      </w:r>
    </w:p>
    <w:p>
      <w:pPr>
        <w:pStyle w:val="Heading1"/>
      </w:pPr>
      <w:r>
        <w:rPr>
          <w:color w:val="0D1B3A"/>
          <w:sz w:val="32"/>
        </w:rPr>
        <w:t>17. Acordo de nível de serviço (SLA)</w:t>
      </w:r>
    </w:p>
    <w:p>
      <w:r>
        <w:rPr>
          <w:b w:val="0"/>
          <w:i w:val="0"/>
        </w:rPr>
        <w:t>O SLA é por contrato (KINTO Service Level), com tempos distintos para resposta e para resolução, além do prazo de substituição de veículo e do limite de indisponibilidade no ano.</w:t>
      </w:r>
    </w:p>
    <w:p>
      <w:pPr>
        <w:pStyle w:val="Heading2"/>
      </w:pPr>
      <w:r>
        <w:rPr>
          <w:color w:val="0E7C86"/>
          <w:sz w:val="26"/>
        </w:rPr>
        <w:t>17.1 O que o SLA controla</w:t>
      </w:r>
    </w:p>
    <w:p>
      <w:pPr>
        <w:pStyle w:val="ListBullet"/>
      </w:pPr>
      <w:r>
        <w:t>Tempo de Resposta (horas): prazo para o primeiro atendimento ao chamado.</w:t>
      </w:r>
    </w:p>
    <w:p>
      <w:pPr>
        <w:pStyle w:val="ListBullet"/>
      </w:pPr>
      <w:r>
        <w:t>Tempo de Resolução (horas): prazo para encerrar o chamado.</w:t>
      </w:r>
    </w:p>
    <w:p>
      <w:pPr>
        <w:pStyle w:val="ListBullet"/>
      </w:pPr>
      <w:r>
        <w:t>Veículo Substituto em até (horas): prazo para disponibilizar substituto.</w:t>
      </w:r>
    </w:p>
    <w:p>
      <w:pPr>
        <w:pStyle w:val="ListBullet"/>
      </w:pPr>
      <w:r>
        <w:t>Indisponibilidade Máxima (dias/ano): teto anual de dias parado.</w:t>
      </w:r>
    </w:p>
    <w:p>
      <w:pPr>
        <w:pStyle w:val="ListBullet"/>
      </w:pPr>
      <w:r>
        <w:t>Penalidade por Hora Violada e Teto de Penalidade (% do mensal).</w:t>
      </w:r>
    </w:p>
    <w:p>
      <w:pPr>
        <w:pStyle w:val="ListBullet"/>
      </w:pPr>
      <w:r>
        <w:t>Meta de Disponibilidade da Frota (%), padrão 95%.</w:t>
      </w:r>
    </w:p>
    <w:p>
      <w:pPr>
        <w:pStyle w:val="Heading2"/>
      </w:pPr>
      <w:r>
        <w:rPr>
          <w:color w:val="0E7C86"/>
          <w:sz w:val="26"/>
        </w:rPr>
        <w:t>17.2 Como a violação é apurada</w:t>
      </w:r>
    </w:p>
    <w:p>
      <w:r>
        <w:rPr>
          <w:b w:val="0"/>
          <w:i w:val="0"/>
        </w:rPr>
        <w:t>A rotina Check SLA Violations varre os tickets em aberto e em andamento, mede as horas decorridas desde a abertura e, quando o prazo do SLA estoura, grava uma violação com a data/hora da detecção e o valor da penalidade.</w:t>
      </w:r>
    </w:p>
    <w:p>
      <w:r>
        <w:rPr>
          <w:b w:val="0"/>
          <w:i w:val="0"/>
        </w:rPr>
        <w:t>A penalidade é acumulada no mês e limitada ao teto configurado. Exemplo real, com faturamento mensal de R$ 15.858,60 e teto de 1%: o máximo de penalidade no mês é R$ 158,59, ainda que ocorram três violações de R$ 240,30 — as violações seguintes a zero, e o total nunca passa do teto.</w:t>
      </w:r>
    </w:p>
    <w:p>
      <w:r>
        <w:rPr>
          <w:b/>
          <w:color w:val="B45000"/>
        </w:rPr>
        <w:t>⚠ O acumulado considera o que já foi gravado na tabela de violações E o que a própria varredura aplicou na mesma execução, para o teto valer mesmo quando a releitura do mês não encontra as violações recém-criadas.</w:t>
      </w:r>
    </w:p>
    <w:p>
      <w:pPr>
        <w:pStyle w:val="Heading1"/>
      </w:pPr>
      <w:r>
        <w:rPr>
          <w:color w:val="0D1B3A"/>
          <w:sz w:val="32"/>
        </w:rPr>
        <w:t>18. Indisponibilidade do veículo (downtime)</w:t>
      </w:r>
    </w:p>
    <w:p>
      <w:r>
        <w:rPr>
          <w:b w:val="0"/>
          <w:i w:val="0"/>
        </w:rPr>
        <w:t>Downtime é o registro do período em que o veículo ficou parado (KINTO Vehicle Downtime): veículo, contrato, início, fim, motivo, ticket de origem e dias perdidos calculados.</w:t>
      </w:r>
    </w:p>
    <w:p>
      <w:pPr>
        <w:pStyle w:val="Heading2"/>
      </w:pPr>
      <w:r>
        <w:rPr>
          <w:color w:val="0E7C86"/>
          <w:sz w:val="26"/>
        </w:rPr>
        <w:t>18.1 Do downtime ao crédito de serviço</w:t>
      </w:r>
    </w:p>
    <w:p>
      <w:r>
        <w:rPr>
          <w:b w:val="0"/>
          <w:i w:val="0"/>
        </w:rPr>
        <w:t>A rotina Create Service Credits varre as indisponibilidades ainda não creditadas, com fim preenchido e marcadas como cobráveis da KINTO, e gera automaticamente o crédito de serviço no faturamento do mês.</w:t>
      </w:r>
    </w:p>
    <w:p>
      <w:pPr>
        <w:pStyle w:val="ListBullet"/>
      </w:pPr>
      <w:r>
        <w:t>Só gera crédito se o contrato estiver ativo e já tiver faturamento no mês corrente — não se credita contrato sem cobrança.</w:t>
      </w:r>
    </w:p>
    <w:p>
      <w:pPr>
        <w:pStyle w:val="ListBullet"/>
      </w:pPr>
      <w:r>
        <w:t>Depois de gerar, a linha de downtime é marcada como Crédito de Serviço Criado, impedindo crédito em dobro.</w:t>
      </w:r>
    </w:p>
    <w:p>
      <w:pPr>
        <w:pStyle w:val="ListBullet"/>
      </w:pPr>
      <w:r>
        <w:t>O motivo da indisponibilidade entra na descrição do crédito, para rastrear a causa.</w:t>
      </w:r>
    </w:p>
    <w:p>
      <w:r>
        <w:rPr>
          <w:b/>
          <w:color w:val="B45000"/>
        </w:rPr>
        <w:t>⚠ Se a data de fim estiver vazia, a indisponibilidade ainda está aberta e não gera crédito.</w:t>
      </w:r>
    </w:p>
    <w:p>
      <w:pPr>
        <w:pStyle w:val="Heading1"/>
      </w:pPr>
      <w:r>
        <w:rPr>
          <w:color w:val="0D1B3A"/>
          <w:sz w:val="32"/>
        </w:rPr>
        <w:t>19. Biblioteca de cláusulas contratuais</w:t>
      </w:r>
    </w:p>
    <w:p>
      <w:r>
        <w:rPr>
          <w:b w:val="0"/>
          <w:i w:val="0"/>
        </w:rPr>
        <w:t>A biblioteca (KINTO Contract Clause) centraliza o texto jurídico que se repete entre contratos, para não redigitar cláusula a cada negociação.</w:t>
      </w:r>
    </w:p>
    <w:p>
      <w:pPr>
        <w:pStyle w:val="Heading2"/>
      </w:pPr>
      <w:r>
        <w:rPr>
          <w:color w:val="0E7C86"/>
          <w:sz w:val="26"/>
        </w:rPr>
        <w:t>19.1 Cadastro da cláusula</w:t>
      </w:r>
    </w:p>
    <w:p>
      <w:pPr>
        <w:pStyle w:val="ListBullet"/>
      </w:pPr>
      <w:r>
        <w:t>Cód. da Cláusula, Descrição e Categoria (Geral, Manutenção, Seguro, Jurídico/Foro, Licenciamento/IPVA, Restrições de Uso, Penalidades, Tributos).</w:t>
      </w:r>
    </w:p>
    <w:p>
      <w:pPr>
        <w:pStyle w:val="ListBullet"/>
      </w:pPr>
      <w:r>
        <w:t>Texto da Cláusula, com até 2.048 caracteres.</w:t>
      </w:r>
    </w:p>
    <w:p>
      <w:pPr>
        <w:pStyle w:val="ListBullet"/>
      </w:pPr>
      <w:r>
        <w:t>País (a cláusula pode valer só para o Brasil ou para todos).</w:t>
      </w:r>
    </w:p>
    <w:p>
      <w:pPr>
        <w:pStyle w:val="ListBullet"/>
      </w:pPr>
      <w:r>
        <w:t>Obrigatória, Ativa e Ordem de Classificação.</w:t>
      </w:r>
    </w:p>
    <w:p>
      <w:pPr>
        <w:pStyle w:val="Heading2"/>
      </w:pPr>
      <w:r>
        <w:rPr>
          <w:color w:val="0E7C86"/>
          <w:sz w:val="26"/>
        </w:rPr>
        <w:t>19.2 Uso no contrato</w:t>
      </w:r>
    </w:p>
    <w:p>
      <w:r>
        <w:rPr>
          <w:b w:val="0"/>
          <w:i w:val="0"/>
        </w:rPr>
        <w:t>As cláusulas são vinculadas ao contrato pelo KINTO Contract Clause Link. O vínculo guarda uma CÓPIA do texto no momento da assinatura (Texto da Cláusula (histórico)).</w:t>
      </w:r>
    </w:p>
    <w:p>
      <w:r>
        <w:rPr>
          <w:b/>
          <w:color w:val="B45000"/>
        </w:rPr>
        <w:t>⚠ A cópia é o ponto central: editar a cláusula depois não altera contratos já assinados. O contrato continua mostrando o texto que valia quando foi fechado — que é o que tem valor jurídico.</w:t>
      </w:r>
    </w:p>
    <w:p>
      <w:pPr>
        <w:pStyle w:val="Heading1"/>
      </w:pPr>
      <w:r>
        <w:rPr>
          <w:color w:val="0D1B3A"/>
          <w:sz w:val="32"/>
        </w:rPr>
        <w:t>20. Avaliação de cliente</w:t>
      </w:r>
    </w:p>
    <w:p>
      <w:r>
        <w:rPr>
          <w:b w:val="0"/>
          <w:i w:val="0"/>
        </w:rPr>
        <w:t>Ao final do contrato, o cliente é avaliado em três dimensões e recebe uma classificação de risco que orienta a renovação (KINTO Contract Evaluation).</w:t>
      </w:r>
    </w:p>
    <w:p>
      <w:pPr>
        <w:pStyle w:val="Heading2"/>
      </w:pPr>
      <w:r>
        <w:rPr>
          <w:color w:val="0E7C86"/>
          <w:sz w:val="26"/>
        </w:rPr>
        <w:t>20.1 Notas e cálculo</w:t>
      </w:r>
    </w:p>
    <w:p>
      <w:pPr>
        <w:pStyle w:val="ListBullet"/>
      </w:pPr>
      <w:r>
        <w:t>Comportamento de Pagamento (1-5): pontualidade e inadimplência.</w:t>
      </w:r>
    </w:p>
    <w:p>
      <w:pPr>
        <w:pStyle w:val="ListBullet"/>
      </w:pPr>
      <w:r>
        <w:t>Cuidado com o Veículo (1-5): estado na devolução, danos e vistorias.</w:t>
      </w:r>
    </w:p>
    <w:p>
      <w:pPr>
        <w:pStyle w:val="ListBullet"/>
      </w:pPr>
      <w:r>
        <w:t>Contagem de Violações / Multas: volume de multas e infrações no período.</w:t>
      </w:r>
    </w:p>
    <w:p>
      <w:pPr>
        <w:pStyle w:val="ListBullet"/>
      </w:pPr>
      <w:r>
        <w:t>Valor dos Danos: soma dos danos cobrados do cliente.</w:t>
      </w:r>
    </w:p>
    <w:p>
      <w:r>
        <w:rPr>
          <w:b w:val="0"/>
          <w:i w:val="0"/>
        </w:rPr>
        <w:t>A Pontuação Geral combina as notas e o histórico; a Classificação de Risco (Baixo, Médio, Alto) é derivada da pontuação e não é editável. A Recomendação de Renovação aponta o caminho: Renovar, Renovar com Condições ou Não Renovar.</w:t>
      </w:r>
    </w:p>
    <w:p>
      <w:r>
        <w:rPr>
          <w:b/>
          <w:color w:val="B45000"/>
        </w:rPr>
        <w:t>⚠ A classificação de risco alimenta a cadeia de tarefas da recuperação: casos de risco Alto acionam o fluxo completo de recuperação de veículo.</w:t>
      </w:r>
    </w:p>
    <w:p>
      <w:pPr>
        <w:pStyle w:val="Heading1"/>
      </w:pPr>
      <w:r>
        <w:rPr>
          <w:color w:val="0D1B3A"/>
          <w:sz w:val="32"/>
        </w:rPr>
        <w:t>21. Pré-fechamento de contrato</w:t>
      </w:r>
    </w:p>
    <w:p>
      <w:r>
        <w:rPr>
          <w:b w:val="0"/>
          <w:i w:val="0"/>
        </w:rPr>
        <w:t>O pré-fechamento antecipa o encerramento: começa antes da devolução do veículo e reúne tudo que pode gerar cobrança no fim do contrato, para o cliente não ser surpreendido.</w:t>
      </w:r>
    </w:p>
    <w:p>
      <w:pPr>
        <w:pStyle w:val="Heading2"/>
      </w:pPr>
      <w:r>
        <w:rPr>
          <w:color w:val="0E7C86"/>
          <w:sz w:val="26"/>
        </w:rPr>
        <w:t>21.1 O que o pré-fechamento apura</w:t>
      </w:r>
    </w:p>
    <w:p>
      <w:pPr>
        <w:pStyle w:val="ListBullet"/>
      </w:pPr>
      <w:r>
        <w:t>Data prevista de devolução e data de envio do aviso ao cliente.</w:t>
      </w:r>
    </w:p>
    <w:p>
      <w:pPr>
        <w:pStyle w:val="ListBullet"/>
      </w:pPr>
      <w:r>
        <w:t>Previsão de odômetro e previsão de excesso de quilometragem (km).</w:t>
      </w:r>
    </w:p>
    <w:p>
      <w:pPr>
        <w:pStyle w:val="ListBullet"/>
      </w:pPr>
      <w:r>
        <w:t>Cobrança estimada do excesso, calculada pela mesma regra da quilometragem final.</w:t>
      </w:r>
    </w:p>
    <w:p>
      <w:pPr>
        <w:pStyle w:val="ListBullet"/>
      </w:pPr>
      <w:r>
        <w:t>Multas em aberto e valor de faturamento em aberto.</w:t>
      </w:r>
    </w:p>
    <w:p>
      <w:pPr>
        <w:pStyle w:val="Heading2"/>
      </w:pPr>
      <w:r>
        <w:rPr>
          <w:color w:val="0E7C86"/>
          <w:sz w:val="26"/>
        </w:rPr>
        <w:t>21.2 Estágios e efeito</w:t>
      </w:r>
    </w:p>
    <w:p>
      <w:r>
        <w:rPr>
          <w:b w:val="0"/>
          <w:i w:val="0"/>
        </w:rPr>
        <w:t>Os estágios vão de Rascunho a Pronto para Devolução e Concluído. O aviso ao cliente é registrado com data (Aviso Enviado / Data de Envio do Aviso). A previsão pode ser recalculada a qualquer momento antes do fechamento.</w:t>
      </w:r>
    </w:p>
    <w:p>
      <w:r>
        <w:rPr>
          <w:b/>
          <w:color w:val="B45000"/>
        </w:rPr>
        <w:t>⚠ Quando o contrato é convertido em devolução, o pré-fechamento correspondente passa a Convertido em Devolução — o estorno do que foi apurado fica no fechamento definitivo.</w:t>
      </w:r>
    </w:p>
    <w:p>
      <w:pPr>
        <w:pStyle w:val="Heading1"/>
      </w:pPr>
      <w:r>
        <w:rPr>
          <w:color w:val="0D1B3A"/>
          <w:sz w:val="32"/>
        </w:rPr>
        <w:t>22. Subtarefas, documentos do veículo e vencimento de contrato</w:t>
      </w:r>
    </w:p>
    <w:p>
      <w:pPr>
        <w:pStyle w:val="Heading2"/>
      </w:pPr>
      <w:r>
        <w:rPr>
          <w:color w:val="0E7C86"/>
          <w:sz w:val="26"/>
        </w:rPr>
        <w:t>22.1 Subtarefas do ticket</w:t>
      </w:r>
    </w:p>
    <w:p>
      <w:r>
        <w:rPr>
          <w:b w:val="0"/>
          <w:i w:val="0"/>
        </w:rPr>
        <w:t>Um ticket pode ser detalhado em subtarefas (KINTO Ticket Subtask), com responsável, prazo, sequência e dependência entre elas. Uma subtarefa só avança quando a que ela depende estiver concluída.</w:t>
      </w:r>
    </w:p>
    <w:p>
      <w:pPr>
        <w:pStyle w:val="Heading2"/>
      </w:pPr>
      <w:r>
        <w:rPr>
          <w:color w:val="0E7C86"/>
          <w:sz w:val="26"/>
        </w:rPr>
        <w:t>22.2 Documentos do veículo versionados</w:t>
      </w:r>
    </w:p>
    <w:p>
      <w:r>
        <w:rPr>
          <w:b w:val="0"/>
          <w:i w:val="0"/>
        </w:rPr>
        <w:t>Documentos do veículo (KINTO Vehicle Document) guardam tipo, número, emissor, validade e arquivo. O histórico de versões preserva as versões anteriores: ao substituir um CRLV ou laudo, a versão antiga é marcada como substituída, com a data e o número do movimento que a substituiu, e continua consultável.</w:t>
      </w:r>
    </w:p>
    <w:p>
      <w:pPr>
        <w:pStyle w:val="Heading2"/>
      </w:pPr>
      <w:r>
        <w:rPr>
          <w:color w:val="0E7C86"/>
          <w:sz w:val="26"/>
        </w:rPr>
        <w:t>22.3 Vencimento e renovação de contrato</w:t>
      </w:r>
    </w:p>
    <w:p>
      <w:r>
        <w:rPr>
          <w:b w:val="0"/>
          <w:i w:val="0"/>
        </w:rPr>
        <w:t>A rotina de ciclo de vida varre os contratos por data de expiração e registra as ações no Log de Expiração de Contrato: aviso prévio enviado, contrato expirado e renovação.</w:t>
      </w:r>
    </w:p>
    <w:p>
      <w:pPr>
        <w:pStyle w:val="ListBullet"/>
      </w:pPr>
      <w:r>
        <w:t>Aviso com Dias de Antecedência configurável (pré-expiração).</w:t>
      </w:r>
    </w:p>
    <w:p>
      <w:pPr>
        <w:pStyle w:val="ListBullet"/>
      </w:pPr>
      <w:r>
        <w:t>Prorrogação automática opcional para contratos expirados.</w:t>
      </w:r>
    </w:p>
    <w:p>
      <w:pPr>
        <w:pStyle w:val="ListBullet"/>
      </w:pPr>
      <w:r>
        <w:t>Recomendação de renovação vinda da avaliação de cliente.</w:t>
      </w:r>
    </w:p>
    <w:p>
      <w:r>
        <w:rPr>
          <w:b/>
          <w:color w:val="B45000"/>
        </w:rPr>
        <w:t>⚠ Contrato encerrado não pode ser prorrogado: o sistema rejeita a extensão e pede a renovação como contrato novo.</w:t>
      </w:r>
    </w:p>
    <w:p>
      <w:pPr>
        <w:pStyle w:val="Heading1"/>
      </w:pPr>
      <w:r>
        <w:rPr>
          <w:color w:val="0D1B3A"/>
          <w:sz w:val="32"/>
        </w:rPr>
        <w:t>23. Prospect e cadastro de cliente</w:t>
      </w:r>
    </w:p>
    <w:p>
      <w:r>
        <w:rPr>
          <w:b w:val="0"/>
          <w:i w:val="0"/>
        </w:rPr>
        <w:t>O prospect é o cliente potencial, guardado em tabela própria (e não como Contato do BC) porque carrega o Tax ID validado, o canal de origem e a conversão que preserva o histórico da negociação.</w:t>
      </w:r>
    </w:p>
    <w:p>
      <w:pPr>
        <w:pStyle w:val="Heading2"/>
      </w:pPr>
      <w:r>
        <w:rPr>
          <w:color w:val="0E7C86"/>
          <w:sz w:val="26"/>
        </w:rPr>
        <w:t>23.1 Cadastro do prospect</w:t>
      </w:r>
    </w:p>
    <w:p>
      <w:pPr>
        <w:pStyle w:val="ListBullet"/>
      </w:pPr>
      <w:r>
        <w:t>Tipo: B2B (empresa) ou B2C (pessoa física).</w:t>
      </w:r>
    </w:p>
    <w:p>
      <w:pPr>
        <w:pStyle w:val="ListBullet"/>
      </w:pPr>
      <w:r>
        <w:t>Tax ID (CPF/CNPJ): validado e único entre os prospects.</w:t>
      </w:r>
    </w:p>
    <w:p>
      <w:pPr>
        <w:pStyle w:val="ListBullet"/>
      </w:pPr>
      <w:r>
        <w:t>Canal de origem: site, concessionária, indicação, campanha, contato direto, parceiro ou outro.</w:t>
      </w:r>
    </w:p>
    <w:p>
      <w:pPr>
        <w:pStyle w:val="ListBullet"/>
      </w:pPr>
      <w:r>
        <w:t>País, cidade, UF, código IBGE e indicador de Produtor Rural.</w:t>
      </w:r>
    </w:p>
    <w:p>
      <w:pPr>
        <w:pStyle w:val="ListBullet"/>
      </w:pPr>
      <w:r>
        <w:t>Contato: nome, e-mail e telefone; vendedor responsável.</w:t>
      </w:r>
    </w:p>
    <w:p>
      <w:pPr>
        <w:pStyle w:val="Heading2"/>
      </w:pPr>
      <w:r>
        <w:rPr>
          <w:color w:val="0E7C86"/>
          <w:sz w:val="26"/>
        </w:rPr>
        <w:t>23.2 Estágios do prospect</w:t>
      </w:r>
    </w:p>
    <w:p>
      <w:r>
        <w:rPr>
          <w:b w:val="0"/>
          <w:i w:val="0"/>
        </w:rPr>
        <w:t>Novo → Qualificado → Em Negociação → Convertido (ou Perdido / Inativo). Um prospect no estágio Novo não pode ser convertido: primeiro precisa ser qualificado e a negociação registrada.</w:t>
      </w:r>
    </w:p>
    <w:p>
      <w:pPr>
        <w:pStyle w:val="Heading2"/>
      </w:pPr>
      <w:r>
        <w:rPr>
          <w:color w:val="0E7C86"/>
          <w:sz w:val="26"/>
        </w:rPr>
        <w:t>23.3 Conversão em cliente</w:t>
      </w:r>
    </w:p>
    <w:p>
      <w:r>
        <w:rPr>
          <w:b w:val="0"/>
          <w:i w:val="0"/>
        </w:rPr>
        <w:t>A ação Convert to Customer cria o cliente no BC a partir do prospect. O que acontece na conversão:</w:t>
      </w:r>
    </w:p>
    <w:p>
      <w:pPr>
        <w:pStyle w:val="ListBullet"/>
      </w:pPr>
      <w:r>
        <w:t>O cliente é criado com nome, país, cidade, vendedor e contato vindos do prospect.</w:t>
      </w:r>
    </w:p>
    <w:p>
      <w:pPr>
        <w:pStyle w:val="ListBullet"/>
      </w:pPr>
      <w:r>
        <w:t>O prospect NÃO é apagado: fica como Convertido, apontando para o número do cliente criado — é o histórico da origem.</w:t>
      </w:r>
    </w:p>
    <w:p>
      <w:pPr>
        <w:pStyle w:val="ListBullet"/>
      </w:pPr>
      <w:r>
        <w:t>Todo o histórico de interações migra de prospect para o cliente automaticamente.</w:t>
      </w:r>
    </w:p>
    <w:p>
      <w:pPr>
        <w:pStyle w:val="ListBullet"/>
      </w:pPr>
      <w:r>
        <w:t>A situação de cadastro no ERP fica Pendente (ver 23.6).</w:t>
      </w:r>
    </w:p>
    <w:p>
      <w:r>
        <w:rPr>
          <w:b/>
          <w:color w:val="B45000"/>
        </w:rPr>
        <w:t>⚠ Prospect bloqueado ou sem Tax ID não converte. O sistema recusa e explica o motivo.</w:t>
      </w:r>
    </w:p>
    <w:p>
      <w:pPr>
        <w:pStyle w:val="Heading1"/>
      </w:pPr>
      <w:r>
        <w:rPr>
          <w:color w:val="0D1B3A"/>
          <w:sz w:val="32"/>
        </w:rPr>
        <w:t>24. Interações, bloqueio e transferência de carteira</w:t>
      </w:r>
    </w:p>
    <w:p>
      <w:pPr>
        <w:pStyle w:val="Heading2"/>
      </w:pPr>
      <w:r>
        <w:rPr>
          <w:color w:val="0E7C86"/>
          <w:sz w:val="26"/>
        </w:rPr>
        <w:t>24.1 Registro de interações</w:t>
      </w:r>
    </w:p>
    <w:p>
      <w:r>
        <w:rPr>
          <w:b w:val="0"/>
          <w:i w:val="0"/>
        </w:rPr>
        <w:t>Cada contato com o prospect ou cliente é registrado no Log de Interações: data, tipo (ligação, reunião, e-mail, visita, proposta, reclamação), assunto, detalhes, quem atendeu e o próximo passo com data.</w:t>
      </w:r>
    </w:p>
    <w:p>
      <w:r>
        <w:rPr>
          <w:b/>
          <w:color w:val="B45000"/>
        </w:rPr>
        <w:t>⚠ A interação aponta para o prospect OU para o cliente — nunca para os dois. Na conversão, os registros migram sozinhos para o cliente, então o histórico da negociação não se perde.</w:t>
      </w:r>
    </w:p>
    <w:p>
      <w:pPr>
        <w:pStyle w:val="Heading2"/>
      </w:pPr>
      <w:r>
        <w:rPr>
          <w:color w:val="0E7C86"/>
          <w:sz w:val="26"/>
        </w:rPr>
        <w:t>24.2 Bloqueio de cliente</w:t>
      </w:r>
    </w:p>
    <w:p>
      <w:r>
        <w:rPr>
          <w:b w:val="0"/>
          <w:i w:val="0"/>
        </w:rPr>
        <w:t>Bloquear é o ato de impedir novo processo comercial com aquele cliente. O campo Bloqueado diz que está bloqueado; o registro de bloqueio guarda o resto: motivo (restrição de crédito, pagamento em atraso, quebra de contrato, suspeita de fraude, restrição jurídica ou decisão comercial), data, quem bloqueou e, na liberação, quem liberou e por quê.</w:t>
      </w:r>
    </w:p>
    <w:p>
      <w:r>
        <w:rPr>
          <w:b w:val="0"/>
          <w:i w:val="0"/>
        </w:rPr>
        <w:t>O histórico fica guardado mesmo depois da liberação: cada bloqueio é uma linha, com a data em que foi liberado e o motivo da liberação.</w:t>
      </w:r>
    </w:p>
    <w:p>
      <w:r>
        <w:rPr>
          <w:b/>
          <w:color w:val="B45000"/>
        </w:rPr>
        <w:t>⚠ Bloqueio sem motivo registrado vira discussão comercial sem prova. Por isso o motivo é obrigatório no registro.</w:t>
      </w:r>
    </w:p>
    <w:p>
      <w:pPr>
        <w:pStyle w:val="Heading2"/>
      </w:pPr>
      <w:r>
        <w:rPr>
          <w:color w:val="0E7C86"/>
          <w:sz w:val="26"/>
        </w:rPr>
        <w:t>24.3 Transferência de carteira</w:t>
      </w:r>
    </w:p>
    <w:p>
      <w:r>
        <w:rPr>
          <w:b w:val="0"/>
          <w:i w:val="0"/>
        </w:rPr>
        <w:t>Quando um vendedor deixa a empresa ou muda de área, a carteira dele passa para outro vendedor por requisição aprovada. A requisição guarda quem sai, quem entra, a data, o motivo e quem autorizou.</w:t>
      </w:r>
    </w:p>
    <w:p>
      <w:r>
        <w:rPr>
          <w:b w:val="0"/>
          <w:i w:val="0"/>
        </w:rPr>
        <w:t>Ao aprovar, o sistema move de fato: todos os clientes e os prospects ativos (não convertidos) passam a apontar para o vendedor de destino, e a requisição registra quantos foram movidos em cada categoria. Requisição recusada não move nada.</w:t>
      </w:r>
    </w:p>
    <w:p>
      <w:pPr>
        <w:pStyle w:val="Heading2"/>
      </w:pPr>
      <w:r>
        <w:rPr>
          <w:color w:val="0E7C86"/>
          <w:sz w:val="26"/>
        </w:rPr>
        <w:t>24.4 Cadastro no ERP (regra por país)</w:t>
      </w:r>
    </w:p>
    <w:p>
      <w:r>
        <w:rPr>
          <w:b w:val="0"/>
          <w:i w:val="0"/>
        </w:rPr>
        <w:t>Ao converter o prospect, é criada a pendência de cadastro no ERP. No Brasil o cliente já opera normalmente. Na Argentina o cadastro precisa ser confirmado no SAP antes de faturar: enquanto estiver pendente, o faturamento é bloqueado.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A — Regras de cálculo</w:t>
      </w:r>
    </w:p>
    <w:p>
      <w:r>
        <w:rPr>
          <w:b w:val="0"/>
          <w:i w:val="0"/>
        </w:rPr>
        <w:t>Este apêndice descreve COMO cada valor do sistema é calculado: a fórmula, a base de dados usada, os limites (caps) e um exemplo numérico. Serve para conferir um número na tela sem precisar abrir o código.</w:t>
      </w:r>
    </w:p>
    <w:p>
      <w:r>
        <w:rPr>
          <w:b w:val="0"/>
          <w:i/>
        </w:rPr>
        <w:t>Convenção: todo arredondamento monetário é a 2 casas (R$ 0,01); percentuais são aplicados sobre a base indicada em cada regra.</w:t>
      </w:r>
    </w:p>
    <w:p>
      <w:pPr>
        <w:pStyle w:val="Heading2"/>
      </w:pPr>
      <w:r>
        <w:rPr>
          <w:color w:val="0E7C86"/>
          <w:sz w:val="26"/>
        </w:rPr>
        <w:t>A.1 Precificação — valor mensal da cotação</w:t>
      </w:r>
    </w:p>
    <w:p>
      <w:r>
        <w:rPr>
          <w:b/>
          <w:i w:val="0"/>
        </w:rPr>
        <w:t>Fórmula (metodologia Target ROI):</w:t>
      </w:r>
    </w:p>
    <w:p>
      <w:r>
        <w:rPr>
          <w:b w:val="0"/>
          <w:i/>
        </w:rPr>
        <w:t xml:space="preserve">  O motor busca, por aproximação iterativa (goal seek), a tarifa mensal que faz o ROI do negócio atingir o alvo:</w:t>
        <w:br/>
        <w:t xml:space="preserve">  ROI = (receita total − custo do veículo − despesas) / custo do veículo</w:t>
        <w:br/>
        <w:t xml:space="preserve">  Receita total = tarifa mensal × prazo (meses)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Custo do veículo: preço de compra do item (ou valor FIPE)</w:t>
      </w:r>
    </w:p>
    <w:p>
      <w:pPr>
        <w:pStyle w:val="ListBullet"/>
      </w:pPr>
      <w:r>
        <w:t>Valor residual: matriz RV do item, por prazo e km contratado</w:t>
      </w:r>
    </w:p>
    <w:p>
      <w:pPr>
        <w:pStyle w:val="ListBullet"/>
      </w:pPr>
      <w:r>
        <w:t>Depreciação: valor de mercado − residual, pelo cálculo de depreciação do país</w:t>
      </w:r>
    </w:p>
    <w:p>
      <w:pPr>
        <w:pStyle w:val="ListBullet"/>
      </w:pPr>
      <w:r>
        <w:t>Seguro: cotação do grupo de seguro (Corpo) somada ao pacote quando houver</w:t>
      </w:r>
    </w:p>
    <w:p>
      <w:r>
        <w:rPr>
          <w:b/>
          <w:i w:val="0"/>
        </w:rPr>
        <w:t>Limites:</w:t>
      </w:r>
    </w:p>
    <w:p>
      <w:pPr>
        <w:pStyle w:val="ListBullet"/>
      </w:pPr>
      <w:r>
        <w:t>Fora da matriz RV (prazo × km sem faixa correspondente) → pricing FALHA e exige aprovação especial</w:t>
      </w:r>
    </w:p>
    <w:p>
      <w:pPr>
        <w:pStyle w:val="ListBullet"/>
      </w:pPr>
      <w:r>
        <w:t>A tarifa é limitada entre R$ 0,01 e 50% do preço de compra (bounds do goal seek)</w:t>
      </w:r>
    </w:p>
    <w:p>
      <w:pPr>
        <w:pStyle w:val="ListBullet"/>
      </w:pPr>
      <w:r>
        <w:t>Tolerância de convergência: 0,0001; máximo de 100 iterações</w:t>
      </w:r>
    </w:p>
    <w:p>
      <w:r>
        <w:rPr>
          <w:b w:val="0"/>
          <w:i w:val="0"/>
        </w:rPr>
        <w:t>Exemplo: veículo R$ 120.000, prazo 24 meses, 1.500 km/mês, ROI alvo 3,4% → tarifa mensal ≈ R$ 15.858,60 (fee que aparece no teste Pricing: indicadores calculados).</w:t>
      </w:r>
    </w:p>
    <w:p>
      <w:pPr>
        <w:pStyle w:val="Heading2"/>
      </w:pPr>
      <w:r>
        <w:rPr>
          <w:color w:val="0E7C86"/>
          <w:sz w:val="26"/>
        </w:rPr>
        <w:t>A.2 Faturamento mensal (billing)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= valor mensal da condição (Monthly Amount) × fator de prorrata</w:t>
        <w:br/>
        <w:t xml:space="preserve">  Fator de prorrata = dias faturados / 30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Condições do contrato com Active = true e vigência (Valid From) dentro do mês</w:t>
      </w:r>
    </w:p>
    <w:p>
      <w:pPr>
        <w:pStyle w:val="ListBullet"/>
      </w:pPr>
      <w:r>
        <w:t>Produto financeiro da condição (RENT, FINE, DAMAGE, SVC-CREDIT...)</w:t>
      </w:r>
    </w:p>
    <w:p>
      <w:r>
        <w:rPr>
          <w:b/>
          <w:i w:val="0"/>
        </w:rPr>
        <w:t>Prorrata — quando se aplica:</w:t>
      </w:r>
    </w:p>
    <w:p>
      <w:pPr>
        <w:pStyle w:val="ListBullet"/>
      </w:pPr>
      <w:r>
        <w:t>Mês cheio: 30 dias, Prorated = false</w:t>
      </w:r>
    </w:p>
    <w:p>
      <w:pPr>
        <w:pStyle w:val="ListBullet"/>
      </w:pPr>
      <w:r>
        <w:t>Contrato terminado DENTRO do mês: dias = data de terminação − 1º dia do mês + 1, Prorated = true</w:t>
      </w:r>
    </w:p>
    <w:p>
      <w:r>
        <w:rPr>
          <w:b/>
          <w:i w:val="0"/>
        </w:rPr>
        <w:t>Idempotência:</w:t>
      </w:r>
    </w:p>
    <w:p>
      <w:pPr>
        <w:pStyle w:val="ListBullet"/>
      </w:pPr>
      <w:r>
        <w:t>Um contrato é faturado no máximo uma vez por mês — a geração verifica as linhas existentes antes de criar</w:t>
      </w:r>
    </w:p>
    <w:p>
      <w:r>
        <w:rPr>
          <w:b w:val="0"/>
          <w:i w:val="0"/>
        </w:rPr>
        <w:t>Exemplo: mensalidade R$ 15.858,60 com terminação no dia 15 → 15 dias faturados → R$ 7.929,30.</w:t>
      </w:r>
    </w:p>
    <w:p>
      <w:pPr>
        <w:pStyle w:val="Heading2"/>
      </w:pPr>
      <w:r>
        <w:rPr>
          <w:color w:val="0E7C86"/>
          <w:sz w:val="26"/>
        </w:rPr>
        <w:t>A.3 Excesso de quilometragem (mileage closing)</w:t>
      </w:r>
    </w:p>
    <w:p>
      <w:r>
        <w:rPr>
          <w:b/>
          <w:i w:val="0"/>
        </w:rPr>
        <w:t>Fórmula em duas faixas:</w:t>
      </w:r>
    </w:p>
    <w:p>
      <w:r>
        <w:rPr>
          <w:b w:val="0"/>
          <w:i/>
        </w:rPr>
        <w:t xml:space="preserve">  Franquia total = km mensal contratado × prazo (meses)</w:t>
        <w:br/>
        <w:t xml:space="preserve">  Excesso = km na devolução − franquia total (se positivo)</w:t>
        <w:br/>
        <w:t xml:space="preserve">  Faixa 1 (até 10% da franquia): excesso × preço faixa 1</w:t>
        <w:br/>
        <w:t xml:space="preserve">  Faixa 2 (acima de 10%):  (10% da franquia × preço faixa 1) + (excedente × preço faixa 2)</w:t>
      </w:r>
    </w:p>
    <w:p>
      <w:r>
        <w:rPr>
          <w:b/>
          <w:i w:val="0"/>
        </w:rPr>
        <w:t>Limite (cap):</w:t>
      </w:r>
    </w:p>
    <w:p>
      <w:pPr>
        <w:pStyle w:val="ListBullet"/>
      </w:pPr>
      <w:r>
        <w:t>A cobrança NUNCA excede o Booking Value do veículo (valor de referência/FIPE registrado no cadastro)</w:t>
      </w:r>
    </w:p>
    <w:p>
      <w:r>
        <w:rPr>
          <w:b w:val="0"/>
          <w:i w:val="0"/>
        </w:rPr>
        <w:t>Exemplo: franquia 24.000 km, devolução com 29.000 km → excesso 5.000 km</w:t>
        <w:br/>
        <w:t xml:space="preserve">  Faixa 1 = 2.400 km × R$ 1,00 = R$ 2.400; Faixa 2 = 2.600 km × R$ 2,00 = R$ 5.200 → total R$ 7.600</w:t>
        <w:br/>
        <w:t xml:space="preserve">  (o teste E2E usa 1.800 × 1,00 + 3.200 × 2,00 = R$ 8.200, limitado ao cap FIPE de R$ 5.000).</w:t>
      </w:r>
    </w:p>
    <w:p>
      <w:pPr>
        <w:pStyle w:val="Heading2"/>
      </w:pPr>
      <w:r>
        <w:rPr>
          <w:color w:val="0E7C86"/>
          <w:sz w:val="26"/>
        </w:rPr>
        <w:t>A.4 Crédito de serviço (service credit)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Crédito = dias sem serviço × (mensalidade / 30)</w:t>
        <w:br/>
        <w:t xml:space="preserve">  Cap = 2% do faturamento do mês</w:t>
        <w:br/>
        <w:t xml:space="preserve">  Crédito aplicado = menor valor entre os dois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Faturamento do mês = soma das linhas de billing do mês, EXCLUINDO as canceladas</w:t>
      </w:r>
    </w:p>
    <w:p>
      <w:pPr>
        <w:pStyle w:val="ListBullet"/>
      </w:pPr>
      <w:r>
        <w:t>Mensalidade = Monthly Rent do contrato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Sem faturamento no mês não existe base de cálculo → o pedido de crédito é rejeitado com erro</w:t>
      </w:r>
    </w:p>
    <w:p>
      <w:pPr>
        <w:pStyle w:val="ListBullet"/>
      </w:pPr>
      <w:r>
        <w:t>O crédito entra como linha NEGATIVA no faturamento (produto SVC-CREDIT)</w:t>
      </w:r>
    </w:p>
    <w:p>
      <w:pPr>
        <w:pStyle w:val="ListBullet"/>
      </w:pPr>
      <w:r>
        <w:t>A linha registra os dias creditados e se o cap foi aplicado (auditoria)</w:t>
      </w:r>
    </w:p>
    <w:p>
      <w:r>
        <w:rPr>
          <w:b w:val="0"/>
          <w:i w:val="0"/>
        </w:rPr>
        <w:t>Exemplo: mensalidade R$ 15.858,60, 30 dias sem serviço → crédito calculado R$ 15.858,60; cap de 2% sobre R$ 15.858,60 = R$ 317,17 → aplica R$ 317,17.</w:t>
      </w:r>
    </w:p>
    <w:p>
      <w:pPr>
        <w:pStyle w:val="Heading2"/>
      </w:pPr>
      <w:r>
        <w:rPr>
          <w:color w:val="0E7C86"/>
          <w:sz w:val="26"/>
        </w:rPr>
        <w:t>A.5 Penalidade de SLA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Horas decorridas = (agora − abertura do ticket) em horas, arredondado a 2 casas</w:t>
        <w:br/>
        <w:t xml:space="preserve">  Penalidade = (horas decorridas − horas alvo de resolução) × valor por hora</w:t>
        <w:br/>
        <w:t xml:space="preserve">  Cap mensal = % de cap × faturamento do mês</w:t>
        <w:br/>
        <w:t xml:space="preserve">  Penalidade aplicada = limitada ao que resta do cap acumulado do contrato no mês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O cap é sobre o ACUMULADO de penalidades do contrato no mês, não por violação — senão várias violações furariam o limite</w:t>
      </w:r>
    </w:p>
    <w:p>
      <w:pPr>
        <w:pStyle w:val="ListBullet"/>
      </w:pPr>
      <w:r>
        <w:t>Penalty Cap % = 0 desliga o cap (penalidade integral por hora)</w:t>
      </w:r>
    </w:p>
    <w:p>
      <w:pPr>
        <w:pStyle w:val="ListBullet"/>
      </w:pPr>
      <w:r>
        <w:t>Sem faturamento no mês não há base de cap → penalidade fica R$ 0,00</w:t>
      </w:r>
    </w:p>
    <w:p>
      <w:r>
        <w:rPr>
          <w:b w:val="0"/>
          <w:i w:val="0"/>
        </w:rPr>
        <w:t>Exemplo: alvo 24h, ticket aberto há 48h, R$ 10/h → (48−24) × 10 = R$ 240,00. Com cap de 1% sobre faturamento de R$ 15.858,60 (= R$ 158,59), a penalidade é reduzida para R$ 158,59 e as violações seguintes do mês não pagam mais nada.</w:t>
      </w:r>
    </w:p>
    <w:p>
      <w:pPr>
        <w:pStyle w:val="Heading2"/>
      </w:pPr>
      <w:r>
        <w:rPr>
          <w:color w:val="0E7C86"/>
          <w:sz w:val="26"/>
        </w:rPr>
        <w:t>A.6 Reajuste por índice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Variação aplicada = menor valor entre (variação do índice, cap contratual)</w:t>
        <w:br/>
        <w:t xml:space="preserve">  Novo valor = valor atual × (1 + variação aplicada / 100)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Cap = 0 significa SEM cap (aplica a variação integral do índice)</w:t>
      </w:r>
    </w:p>
    <w:p>
      <w:pPr>
        <w:pStyle w:val="ListBullet"/>
      </w:pPr>
      <w:r>
        <w:t>Cada aplicação cria uma REVISÃO da condição — o histórico nunca é sobrescrito</w:t>
      </w:r>
    </w:p>
    <w:p>
      <w:pPr>
        <w:pStyle w:val="ListBullet"/>
      </w:pPr>
      <w:r>
        <w:t>Idempotente por contrato + mês: rodar o scheduler duas vezes não reajusta de novo</w:t>
      </w:r>
    </w:p>
    <w:p>
      <w:pPr>
        <w:pStyle w:val="ListBullet"/>
      </w:pPr>
      <w:r>
        <w:t>Frequência configurável: mensal, trimestral ou anual</w:t>
      </w:r>
    </w:p>
    <w:p>
      <w:r>
        <w:rPr>
          <w:b w:val="0"/>
          <w:i w:val="0"/>
        </w:rPr>
        <w:t>Exemplo: valor R$ 15.858,60, índice IPCA-T 8%, cap 5% → aplica-se 5% → R$ 16.651,53 (é o número do teste D6).</w:t>
      </w:r>
    </w:p>
    <w:p>
      <w:pPr>
        <w:pStyle w:val="Heading2"/>
      </w:pPr>
      <w:r>
        <w:rPr>
          <w:color w:val="0E7C86"/>
          <w:sz w:val="26"/>
        </w:rPr>
        <w:t>A.7 Preço de seminovo (remarketing)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Preço-base = média PONDERADA das fontes de preço ativas</w:t>
        <w:br/>
        <w:t xml:space="preserve">     (soma de preço × peso, dividida pela soma dos pesos</w:t>
        <w:br/>
        <w:t xml:space="preserve">      e reescalada para 100% quando os pesos não somam 100)</w:t>
        <w:br/>
        <w:t xml:space="preserve">  Depreciação por km = preço-base × (1 − (km / 300.000 × 15%))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Fontes típicas BR: FIPE e Webmotors, com pesos configuráveis no Setup</w:t>
      </w:r>
    </w:p>
    <w:p>
      <w:pPr>
        <w:pStyle w:val="ListBullet"/>
      </w:pPr>
      <w:r>
        <w:t>A depreciação por km satura em 15% aos 300.000 km</w:t>
      </w:r>
    </w:p>
    <w:p>
      <w:r>
        <w:rPr>
          <w:b w:val="0"/>
          <w:i w:val="0"/>
        </w:rPr>
        <w:t>Exemplo: FIPE R$ 100.000 com peso 60% e Webmotors R$ 95.000 com peso 40% → base R$ 98.000; com 150.000 km → −7,5% → R$ 90.650,00.</w:t>
      </w:r>
    </w:p>
    <w:p>
      <w:pPr>
        <w:pStyle w:val="Heading2"/>
      </w:pPr>
      <w:r>
        <w:rPr>
          <w:color w:val="0E7C86"/>
          <w:sz w:val="26"/>
        </w:rPr>
        <w:t>A.8 Cobrança de dispositivo ao fornecedor (device aging)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Cobrança = dias de aging × tarifa diária do país</w:t>
      </w:r>
    </w:p>
    <w:p>
      <w:pPr>
        <w:pStyle w:val="ListBullet"/>
      </w:pPr>
      <w:r>
        <w:t>Aging = dias entre o desligamento do contrato e a devolução do equipamento ao fornecedor</w:t>
      </w:r>
    </w:p>
    <w:p>
      <w:pPr>
        <w:pStyle w:val="ListBullet"/>
      </w:pPr>
      <w:r>
        <w:t>A tarifa diária vem do Setup do país (Lookup GetDailyCharge)</w:t>
      </w:r>
    </w:p>
    <w:p>
      <w:r>
        <w:rPr>
          <w:b w:val="0"/>
          <w:i w:val="0"/>
        </w:rPr>
        <w:t>Exemplo: 70 dias × R$ 5,00 = R$ 350,00 (teste Device aging).</w:t>
      </w:r>
    </w:p>
    <w:p>
      <w:pPr>
        <w:pStyle w:val="Heading2"/>
      </w:pPr>
      <w:r>
        <w:rPr>
          <w:color w:val="0E7C86"/>
          <w:sz w:val="26"/>
        </w:rPr>
        <w:t>A.9 Encerramento (settlement)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Total do encerramento = saldo de faturamento aberto</w:t>
        <w:br/>
        <w:t xml:space="preserve">                        + danos cobráveis do cliente</w:t>
        <w:br/>
        <w:t xml:space="preserve">                        + multas em aberto</w:t>
        <w:br/>
        <w:t xml:space="preserve">                        + excesso de quilometragem</w:t>
        <w:br/>
        <w:t xml:space="preserve">                        + franquia da apólice (roubo/perda total)</w:t>
        <w:br/>
        <w:t xml:space="preserve">                        − indenização do seguro recebida</w:t>
      </w:r>
    </w:p>
    <w:p>
      <w:pPr>
        <w:pStyle w:val="ListBullet"/>
      </w:pPr>
      <w:r>
        <w:t>O tipo de encerramento (Final Balance, Theft, Total Loss, Damage) define quais parcelas entram</w:t>
      </w:r>
    </w:p>
    <w:p>
      <w:pPr>
        <w:pStyle w:val="ListBullet"/>
      </w:pPr>
      <w:r>
        <w:t>Franquia só entra quando a apólice ativa cobre o evento e o tipo é roubo/perda total</w:t>
      </w:r>
    </w:p>
    <w:p>
      <w:r>
        <w:rPr>
          <w:b w:val="0"/>
          <w:i w:val="0"/>
        </w:rPr>
        <w:t>Exemplo (teste D5): danos R$ 1.500 + franquia R$ 5.000 = R$ 6.500.</w:t>
      </w:r>
    </w:p>
    <w:p>
      <w:pPr>
        <w:pStyle w:val="Heading2"/>
      </w:pPr>
      <w:r>
        <w:rPr>
          <w:color w:val="0E7C86"/>
          <w:sz w:val="26"/>
        </w:rPr>
        <w:t>A.10 Avaliação de cliente (score e risco)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Score = média(nota de pagamento, nota de cuidado com o veículo)</w:t>
        <w:br/>
        <w:t xml:space="preserve">  Penalidade: −1 ponto quando há mais de 2 multas/infrações</w:t>
        <w:br/>
        <w:t xml:space="preserve">  Score mínimo: 1,0</w:t>
      </w:r>
    </w:p>
    <w:p>
      <w:r>
        <w:rPr>
          <w:b/>
          <w:i w:val="0"/>
        </w:rPr>
        <w:t>Faixas de risco:</w:t>
      </w:r>
    </w:p>
    <w:p>
      <w:pPr>
        <w:pStyle w:val="ListBullet"/>
      </w:pPr>
      <w:r>
        <w:t>Score ≥ 4,5 → risco BAIXO</w:t>
      </w:r>
    </w:p>
    <w:p>
      <w:pPr>
        <w:pStyle w:val="ListBullet"/>
      </w:pPr>
      <w:r>
        <w:t>Score ≥ 3,0 → risco MÉDIO</w:t>
      </w:r>
    </w:p>
    <w:p>
      <w:pPr>
        <w:pStyle w:val="ListBullet"/>
      </w:pPr>
      <w:r>
        <w:t>Score &lt; 3,0 → risco ALTO</w:t>
      </w:r>
    </w:p>
    <w:p>
      <w:r>
        <w:rPr>
          <w:b w:val="0"/>
          <w:i w:val="0"/>
        </w:rPr>
        <w:t>Exemplo: 5/5 sem multas → 5,0 (Baixo); 3/3 → 3,0 (Médio); 1/1 com 5 multas → 1,0 (Alto).</w:t>
      </w:r>
    </w:p>
    <w:p>
      <w:pPr>
        <w:pStyle w:val="Heading2"/>
      </w:pPr>
      <w:r>
        <w:rPr>
          <w:color w:val="0E7C86"/>
          <w:sz w:val="26"/>
        </w:rPr>
        <w:t>A.11 Manutenção preventiva (agendamento)</w:t>
      </w:r>
    </w:p>
    <w:p>
      <w:r>
        <w:rPr>
          <w:b/>
          <w:i w:val="0"/>
        </w:rPr>
        <w:t>Regra de disparo:</w:t>
      </w:r>
    </w:p>
    <w:p>
      <w:r>
        <w:rPr>
          <w:b w:val="0"/>
          <w:i/>
        </w:rPr>
        <w:t xml:space="preserve">  O contrato está devido quando:</w:t>
        <w:br/>
        <w:t xml:space="preserve">    odômetro atual ≥ (próximo odômetro previsto − tolerância em km)  OU</w:t>
        <w:br/>
        <w:t xml:space="preserve">    data atual ≥ próxima data prevista</w:t>
      </w:r>
    </w:p>
    <w:p>
      <w:r>
        <w:rPr>
          <w:b/>
          <w:i w:val="0"/>
        </w:rPr>
        <w:t>Reagendamento após criar o ticket:</w:t>
      </w:r>
    </w:p>
    <w:p>
      <w:r>
        <w:rPr>
          <w:b w:val="0"/>
          <w:i/>
        </w:rPr>
        <w:t xml:space="preserve">  próximo odômetro = odômetro da ÚLTIMA preventiva + intervalo do plano</w:t>
        <w:br/>
        <w:t xml:space="preserve">  próxima data = data da última preventiva + 6 meses</w:t>
      </w:r>
    </w:p>
    <w:p>
      <w:r>
        <w:rPr>
          <w:b w:val="0"/>
          <w:i/>
        </w:rPr>
        <w:t xml:space="preserve">  (no primeiro ciclo, sem preventiva anterior, o próximo odômetro é o primeiro</w:t>
        <w:br/>
        <w:t xml:space="preserve">   múltiplo do intervalo acima do odômetro atual — nunca um valor já vencido)</w:t>
      </w:r>
    </w:p>
    <w:p>
      <w:pPr>
        <w:pStyle w:val="ListBullet"/>
      </w:pPr>
      <w:r>
        <w:t>Intervalo vem das linhas do plano de manutenção (KM Interval)</w:t>
      </w:r>
    </w:p>
    <w:p>
      <w:pPr>
        <w:pStyle w:val="ListBullet"/>
      </w:pPr>
      <w:r>
        <w:t>Tolerância padrão: 500 km (configurável no plano)</w:t>
      </w:r>
    </w:p>
    <w:p>
      <w:pPr>
        <w:pStyle w:val="ListBullet"/>
      </w:pPr>
      <w:r>
        <w:t>Idempotente: rodar a geração duas vezes não cria ticket duplicado</w:t>
      </w:r>
    </w:p>
    <w:p>
      <w:r>
        <w:rPr>
          <w:b w:val="0"/>
          <w:i w:val="0"/>
        </w:rPr>
        <w:t>Exemplo: plano de 10.000 km, próximo previsto em 20.000 km, veículo com 19.600 km → 19.600 ≥ (20.000 − 500), cria o ticket; como a última preventiva foi aos 20.000, reagenda para 30.000 km.</w:t>
      </w:r>
    </w:p>
    <w:p>
      <w:pPr>
        <w:pStyle w:val="Heading2"/>
      </w:pPr>
      <w:r>
        <w:rPr>
          <w:color w:val="0E7C86"/>
          <w:sz w:val="26"/>
        </w:rPr>
        <w:t>A.12 Preço de mão de obra (HH rate)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de mão de obra = horas × taxa HH vigente</w:t>
      </w:r>
    </w:p>
    <w:p>
      <w:pPr>
        <w:pStyle w:val="ListBullet"/>
      </w:pPr>
      <w:r>
        <w:t>A taxa HH é por FORNECEDOR + TIPO DE SERVIÇO, com data de vigência</w:t>
      </w:r>
    </w:p>
    <w:p>
      <w:pPr>
        <w:pStyle w:val="ListBullet"/>
      </w:pPr>
      <w:r>
        <w:t>Vale sempre a taxa mais recente cuja vigência seja ≤ data do serviço</w:t>
      </w:r>
    </w:p>
    <w:p>
      <w:pPr>
        <w:pStyle w:val="ListBullet"/>
      </w:pPr>
      <w:r>
        <w:t>Tipo de serviço sem taxa cadastrada retorna 0 (não estima valor)</w:t>
      </w:r>
    </w:p>
    <w:p>
      <w:r>
        <w:rPr>
          <w:b w:val="0"/>
          <w:i w:val="0"/>
        </w:rPr>
        <w:t>Exemplo: tabela com R$ 120/h vigente e R$ 180/h a partir do próximo mês → serviço hoje usa R$ 120/h.</w:t>
      </w:r>
    </w:p>
    <w:p>
      <w:pPr>
        <w:pStyle w:val="Heading2"/>
      </w:pPr>
      <w:r>
        <w:rPr>
          <w:color w:val="0E7C86"/>
          <w:sz w:val="26"/>
        </w:rPr>
        <w:t>A.13 Resumo dos limites (caps) do sistema</w:t>
      </w:r>
    </w:p>
    <w:p>
      <w:r>
        <w:rPr>
          <w:b w:val="0"/>
          <w:i w:val="0"/>
        </w:rPr>
        <w:t>Tabela de limites: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Parametrização</w:t>
            </w:r>
          </w:p>
        </w:tc>
      </w:tr>
      <w:tr>
        <w:tc>
          <w:tcPr>
            <w:tcW w:type="dxa" w:w="2160"/>
          </w:tcPr>
          <w:p>
            <w:r>
              <w:t>Excesso de km</w:t>
            </w:r>
          </w:p>
        </w:tc>
        <w:tc>
          <w:tcPr>
            <w:tcW w:type="dxa" w:w="2160"/>
          </w:tcPr>
          <w:p>
            <w:r>
              <w:t>Booking Value do veículo</w:t>
            </w:r>
          </w:p>
        </w:tc>
        <w:tc>
          <w:tcPr>
            <w:tcW w:type="dxa" w:w="2160"/>
          </w:tcPr>
          <w:p>
            <w:r>
              <w:t>Cadastro do veículo</w:t>
            </w:r>
          </w:p>
        </w:tc>
        <w:tc>
          <w:tcPr>
            <w:tcW w:type="dxa" w:w="2160"/>
          </w:tcPr>
          <w:p>
            <w:r>
              <w:t>Fixa</w:t>
            </w:r>
          </w:p>
        </w:tc>
      </w:tr>
      <w:tr>
        <w:tc>
          <w:tcPr>
            <w:tcW w:type="dxa" w:w="2160"/>
          </w:tcPr>
          <w:p>
            <w:r>
              <w:t>Crédito de serviço</w:t>
            </w:r>
          </w:p>
        </w:tc>
        <w:tc>
          <w:tcPr>
            <w:tcW w:type="dxa" w:w="2160"/>
          </w:tcPr>
          <w:p>
            <w:r>
              <w:t>2%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  <w:tr>
        <w:tc>
          <w:tcPr>
            <w:tcW w:type="dxa" w:w="2160"/>
          </w:tcPr>
          <w:p>
            <w:r>
              <w:t>Penalidade de SLA</w:t>
            </w:r>
          </w:p>
        </w:tc>
        <w:tc>
          <w:tcPr>
            <w:tcW w:type="dxa" w:w="2160"/>
          </w:tcPr>
          <w:p>
            <w:r>
              <w:t>Penalty Cap 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Por contrato (SLA)</w:t>
            </w:r>
          </w:p>
        </w:tc>
      </w:tr>
      <w:tr>
        <w:tc>
          <w:tcPr>
            <w:tcW w:type="dxa" w:w="2160"/>
          </w:tcPr>
          <w:p>
            <w:r>
              <w:t>Reajuste por índice</w:t>
            </w:r>
          </w:p>
        </w:tc>
        <w:tc>
          <w:tcPr>
            <w:tcW w:type="dxa" w:w="2160"/>
          </w:tcPr>
          <w:p>
            <w:r>
              <w:t>Index Cap % do contrato</w:t>
            </w:r>
          </w:p>
        </w:tc>
        <w:tc>
          <w:tcPr>
            <w:tcW w:type="dxa" w:w="2160"/>
          </w:tcPr>
          <w:p>
            <w:r>
              <w:t>Contrato</w:t>
            </w:r>
          </w:p>
        </w:tc>
        <w:tc>
          <w:tcPr>
            <w:tcW w:type="dxa" w:w="2160"/>
          </w:tcPr>
          <w:p>
            <w:r>
              <w:t>Por contrato (0 = sem cap)</w:t>
            </w:r>
          </w:p>
        </w:tc>
      </w:tr>
      <w:tr>
        <w:tc>
          <w:tcPr>
            <w:tcW w:type="dxa" w:w="2160"/>
          </w:tcPr>
          <w:p>
            <w:r>
              <w:t>Preço de seminovo</w:t>
            </w:r>
          </w:p>
        </w:tc>
        <w:tc>
          <w:tcPr>
            <w:tcW w:type="dxa" w:w="2160"/>
          </w:tcPr>
          <w:p>
            <w:r>
              <w:t>Depreciação máx. 15%</w:t>
            </w:r>
          </w:p>
        </w:tc>
        <w:tc>
          <w:tcPr>
            <w:tcW w:type="dxa" w:w="2160"/>
          </w:tcPr>
          <w:p>
            <w:r>
              <w:t>Odômetro do veículo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color w:val="B45000"/>
        </w:rPr>
        <w:t>⚠ Os valores de cap marcados como 'Fixa no código' são regra de negócio acordada — alterá-los exige nova versão do app, não configuração de tela.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B — Onde cada valor aparece</w:t>
      </w:r>
    </w:p>
    <w:p>
      <w:r>
        <w:rPr>
          <w:b w:val="0"/>
          <w:i w:val="0"/>
        </w:rPr>
        <w:t>Rastreabilidade entre o cálculo e a tela onde o número pode ser conferido.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Tela / 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Origem do cálculo</w:t>
            </w:r>
          </w:p>
        </w:tc>
      </w:tr>
      <w:tr>
        <w:tc>
          <w:tcPr>
            <w:tcW w:type="dxa" w:w="2880"/>
          </w:tcPr>
          <w:p>
            <w:r>
              <w:t>Tarifa mensal da cotação</w:t>
            </w:r>
          </w:p>
        </w:tc>
        <w:tc>
          <w:tcPr>
            <w:tcW w:type="dxa" w:w="2880"/>
          </w:tcPr>
          <w:p>
            <w:r>
              <w:t>Quote Item → Monthly Tariff</w:t>
            </w:r>
          </w:p>
        </w:tc>
        <w:tc>
          <w:tcPr>
            <w:tcW w:type="dxa" w:w="2880"/>
          </w:tcPr>
          <w:p>
            <w:r>
              <w:t>A.1 — goal seek Target ROI</w:t>
            </w:r>
          </w:p>
        </w:tc>
      </w:tr>
      <w:tr>
        <w:tc>
          <w:tcPr>
            <w:tcW w:type="dxa" w:w="2880"/>
          </w:tcPr>
          <w:p>
            <w:r>
              <w:t>Faturamento do mês</w:t>
            </w:r>
          </w:p>
        </w:tc>
        <w:tc>
          <w:tcPr>
            <w:tcW w:type="dxa" w:w="2880"/>
          </w:tcPr>
          <w:p>
            <w:r>
              <w:t>Billing Lines → Amount</w:t>
            </w:r>
          </w:p>
        </w:tc>
        <w:tc>
          <w:tcPr>
            <w:tcW w:type="dxa" w:w="2880"/>
          </w:tcPr>
          <w:p>
            <w:r>
              <w:t>A.2 — condição × prorrata</w:t>
            </w:r>
          </w:p>
        </w:tc>
      </w:tr>
      <w:tr>
        <w:tc>
          <w:tcPr>
            <w:tcW w:type="dxa" w:w="2880"/>
          </w:tcPr>
          <w:p>
            <w:r>
              <w:t>Excesso de km</w:t>
            </w:r>
          </w:p>
        </w:tc>
        <w:tc>
          <w:tcPr>
            <w:tcW w:type="dxa" w:w="2880"/>
          </w:tcPr>
          <w:p>
            <w:r>
              <w:t>Vehicle Return → Mileage Excess Charge</w:t>
            </w:r>
          </w:p>
        </w:tc>
        <w:tc>
          <w:tcPr>
            <w:tcW w:type="dxa" w:w="2880"/>
          </w:tcPr>
          <w:p>
            <w:r>
              <w:t>A.3 — 2 faixas + cap FIPE</w:t>
            </w:r>
          </w:p>
        </w:tc>
      </w:tr>
      <w:tr>
        <w:tc>
          <w:tcPr>
            <w:tcW w:type="dxa" w:w="2880"/>
          </w:tcPr>
          <w:p>
            <w:r>
              <w:t>Crédito de serviço</w:t>
            </w:r>
          </w:p>
        </w:tc>
        <w:tc>
          <w:tcPr>
            <w:tcW w:type="dxa" w:w="2880"/>
          </w:tcPr>
          <w:p>
            <w:r>
              <w:t>Billing Line (negativa, SVC-CREDIT)</w:t>
            </w:r>
          </w:p>
        </w:tc>
        <w:tc>
          <w:tcPr>
            <w:tcW w:type="dxa" w:w="2880"/>
          </w:tcPr>
          <w:p>
            <w:r>
              <w:t>A.4 — dias × mensalidade/30, cap 2%</w:t>
            </w:r>
          </w:p>
        </w:tc>
      </w:tr>
      <w:tr>
        <w:tc>
          <w:tcPr>
            <w:tcW w:type="dxa" w:w="2880"/>
          </w:tcPr>
          <w:p>
            <w:r>
              <w:t>Penalidade de SLA</w:t>
            </w:r>
          </w:p>
        </w:tc>
        <w:tc>
          <w:tcPr>
            <w:tcW w:type="dxa" w:w="2880"/>
          </w:tcPr>
          <w:p>
            <w:r>
              <w:t>SLA Violation → Penalty Amount</w:t>
            </w:r>
          </w:p>
        </w:tc>
        <w:tc>
          <w:tcPr>
            <w:tcW w:type="dxa" w:w="2880"/>
          </w:tcPr>
          <w:p>
            <w:r>
              <w:t>A.5 — horas excedentes × valor/hora</w:t>
            </w:r>
          </w:p>
        </w:tc>
      </w:tr>
      <w:tr>
        <w:tc>
          <w:tcPr>
            <w:tcW w:type="dxa" w:w="2880"/>
          </w:tcPr>
          <w:p>
            <w:r>
              <w:t>Reajuste aplicado</w:t>
            </w:r>
          </w:p>
        </w:tc>
        <w:tc>
          <w:tcPr>
            <w:tcW w:type="dxa" w:w="2880"/>
          </w:tcPr>
          <w:p>
            <w:r>
              <w:t>Adjustment Ledger → Cap Applied %</w:t>
            </w:r>
          </w:p>
        </w:tc>
        <w:tc>
          <w:tcPr>
            <w:tcW w:type="dxa" w:w="2880"/>
          </w:tcPr>
          <w:p>
            <w:r>
              <w:t>A.6 — menor(índice, cap)</w:t>
            </w:r>
          </w:p>
        </w:tc>
      </w:tr>
      <w:tr>
        <w:tc>
          <w:tcPr>
            <w:tcW w:type="dxa" w:w="2880"/>
          </w:tcPr>
          <w:p>
            <w:r>
              <w:t>Preço de oferta</w:t>
            </w:r>
          </w:p>
        </w:tc>
        <w:tc>
          <w:tcPr>
            <w:tcW w:type="dxa" w:w="2880"/>
          </w:tcPr>
          <w:p>
            <w:r>
              <w:t>Remarketing Offer → Offer Price</w:t>
            </w:r>
          </w:p>
        </w:tc>
        <w:tc>
          <w:tcPr>
            <w:tcW w:type="dxa" w:w="2880"/>
          </w:tcPr>
          <w:p>
            <w:r>
              <w:t>A.7 — média ponderada − km</w:t>
            </w:r>
          </w:p>
        </w:tc>
      </w:tr>
      <w:tr>
        <w:tc>
          <w:tcPr>
            <w:tcW w:type="dxa" w:w="2880"/>
          </w:tcPr>
          <w:p>
            <w:r>
              <w:t>Cobrança de device</w:t>
            </w:r>
          </w:p>
        </w:tc>
        <w:tc>
          <w:tcPr>
            <w:tcW w:type="dxa" w:w="2880"/>
          </w:tcPr>
          <w:p>
            <w:r>
              <w:t>Device Aging Charge → Charge Amount</w:t>
            </w:r>
          </w:p>
        </w:tc>
        <w:tc>
          <w:tcPr>
            <w:tcW w:type="dxa" w:w="2880"/>
          </w:tcPr>
          <w:p>
            <w:r>
              <w:t>A.8 — dias × tarifa diária</w:t>
            </w:r>
          </w:p>
        </w:tc>
      </w:tr>
      <w:tr>
        <w:tc>
          <w:tcPr>
            <w:tcW w:type="dxa" w:w="2880"/>
          </w:tcPr>
          <w:p>
            <w:r>
              <w:t>Total do encerramento</w:t>
            </w:r>
          </w:p>
        </w:tc>
        <w:tc>
          <w:tcPr>
            <w:tcW w:type="dxa" w:w="2880"/>
          </w:tcPr>
          <w:p>
            <w:r>
              <w:t>Settlement → Total</w:t>
            </w:r>
          </w:p>
        </w:tc>
        <w:tc>
          <w:tcPr>
            <w:tcW w:type="dxa" w:w="2880"/>
          </w:tcPr>
          <w:p>
            <w:r>
              <w:t>A.9 — soma de parcelas menos indenização</w:t>
            </w:r>
          </w:p>
        </w:tc>
      </w:tr>
      <w:tr>
        <w:tc>
          <w:tcPr>
            <w:tcW w:type="dxa" w:w="2880"/>
          </w:tcPr>
          <w:p>
            <w:r>
              <w:t>Score do cliente</w:t>
            </w:r>
          </w:p>
        </w:tc>
        <w:tc>
          <w:tcPr>
            <w:tcW w:type="dxa" w:w="2880"/>
          </w:tcPr>
          <w:p>
            <w:r>
              <w:t>Contract Evaluation → Overall Score</w:t>
            </w:r>
          </w:p>
        </w:tc>
        <w:tc>
          <w:tcPr>
            <w:tcW w:type="dxa" w:w="2880"/>
          </w:tcPr>
          <w:p>
            <w:r>
              <w:t>A.10 — média penalizada por multas</w:t>
            </w:r>
          </w:p>
        </w:tc>
      </w:tr>
      <w:tr>
        <w:tc>
          <w:tcPr>
            <w:tcW w:type="dxa" w:w="2880"/>
          </w:tcPr>
          <w:p>
            <w:r>
              <w:t>Próximo serviço</w:t>
            </w:r>
          </w:p>
        </w:tc>
        <w:tc>
          <w:tcPr>
            <w:tcW w:type="dxa" w:w="2880"/>
          </w:tcPr>
          <w:p>
            <w:r>
              <w:t>Vehicle Contract → Next Preventive Odometer</w:t>
            </w:r>
          </w:p>
        </w:tc>
        <w:tc>
          <w:tcPr>
            <w:tcW w:type="dxa" w:w="2880"/>
          </w:tcPr>
          <w:p>
            <w:r>
              <w:t>A.11 — múltiplo do intervalo</w:t>
            </w:r>
          </w:p>
        </w:tc>
      </w:tr>
      <w:tr>
        <w:tc>
          <w:tcPr>
            <w:tcW w:type="dxa" w:w="2880"/>
          </w:tcPr>
          <w:p>
            <w:r>
              <w:t>Mão de obra</w:t>
            </w:r>
          </w:p>
        </w:tc>
        <w:tc>
          <w:tcPr>
            <w:tcW w:type="dxa" w:w="2880"/>
          </w:tcPr>
          <w:p>
            <w:r>
              <w:t>Maint Ticket Line → Amount</w:t>
            </w:r>
          </w:p>
        </w:tc>
        <w:tc>
          <w:tcPr>
            <w:tcW w:type="dxa" w:w="2880"/>
          </w:tcPr>
          <w:p>
            <w:r>
              <w:t>A.12 — horas × taxa HH vigente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C — Configuração do sistema</w:t>
      </w:r>
    </w:p>
    <w:p>
      <w:r>
        <w:rPr>
          <w:b w:val="0"/>
          <w:i w:val="0"/>
        </w:rPr>
        <w:t>Como o Kinto é configurado: onde ficam os parâmetros, o que é por empresa e o que é por país, e como validar que está correto.</w:t>
      </w:r>
    </w:p>
    <w:p>
      <w:pPr>
        <w:pStyle w:val="Heading2"/>
      </w:pPr>
      <w:r>
        <w:rPr>
          <w:color w:val="0E7C86"/>
          <w:sz w:val="26"/>
        </w:rPr>
        <w:t>C.1 Vínculo empresa → país (passo obrigatório)</w:t>
      </w:r>
    </w:p>
    <w:p>
      <w:r>
        <w:rPr>
          <w:b/>
          <w:i w:val="0"/>
        </w:rPr>
        <w:t>Cada empresa do Business Central aponta para UM KINTO Country Setup. Esse vínculo define TODAS as regras que o sistema aplica: séries de numeração, impostos, limites de cálculo e caps.</w:t>
      </w:r>
    </w:p>
    <w:p>
      <w:r>
        <w:rPr>
          <w:b w:val="0"/>
          <w:i w:val="0"/>
        </w:rPr>
        <w:t>Onde: página Company Information (Informações da Empresa) → campo KINTO Country.</w:t>
      </w:r>
    </w:p>
    <w:p>
      <w:r>
        <w:rPr>
          <w:b w:val="0"/>
          <w:i/>
        </w:rPr>
        <w:t>Por que existe: uma mesma instalação pode atender operações com regras diferentes (Brasil e Argentina, por exemplo). Sem o vínculo, o sistema não tem como saber qual regra aplicar e usa o default histórico — que pode estar errado.</w:t>
      </w:r>
    </w:p>
    <w:p>
      <w:r>
        <w:rPr>
          <w:b/>
          <w:i w:val="0"/>
        </w:rPr>
        <w:t>Sequência de resolução usada por todos os processos:</w:t>
      </w:r>
    </w:p>
    <w:p>
      <w:pPr>
        <w:pStyle w:val="ListBullet"/>
      </w:pPr>
      <w:r>
        <w:t>1º — KINTO Country da Company Information (o vínculo explícito)</w:t>
      </w:r>
    </w:p>
    <w:p>
      <w:pPr>
        <w:pStyle w:val="ListBullet"/>
      </w:pPr>
      <w:r>
        <w:t>2º — país do documento (contrato, cotação, veículo), quando a empresa não foi configurada</w:t>
      </w:r>
    </w:p>
    <w:p>
      <w:pPr>
        <w:pStyle w:val="ListBullet"/>
      </w:pPr>
      <w:r>
        <w:t>3º — o único Country Setup existente (compatibilidade com base de um país só)</w:t>
      </w:r>
    </w:p>
    <w:p>
      <w:pPr>
        <w:pStyle w:val="ListBullet"/>
      </w:pPr>
      <w:r>
        <w:t>4º — erro explícito, nunca um valor adivinhado</w:t>
      </w:r>
    </w:p>
    <w:p>
      <w:r>
        <w:rPr>
          <w:b/>
          <w:i w:val="0"/>
        </w:rPr>
        <w:t>A atualização do app preenche o vínculo automaticamente: respeita o que já estiver configurado, senão usa o setup único, senão assume BR como default histórico. Sempre confira na tela após atualizar.</w:t>
      </w:r>
    </w:p>
    <w:p>
      <w:pPr>
        <w:pStyle w:val="Heading2"/>
      </w:pPr>
      <w:r>
        <w:rPr>
          <w:color w:val="0E7C86"/>
          <w:sz w:val="26"/>
        </w:rPr>
        <w:t>C.2 KINTO Country Setup — o hub de configuração</w:t>
      </w:r>
    </w:p>
    <w:p>
      <w:r>
        <w:rPr>
          <w:b w:val="0"/>
          <w:i w:val="0"/>
        </w:rPr>
        <w:t>Tela: busca → "KINTO Country Setup". Um registro por país. 91 campos, organizados em 14 grupos.</w:t>
      </w:r>
    </w:p>
    <w:p>
      <w:r>
        <w:rPr>
          <w:b/>
          <w:i w:val="0"/>
        </w:rPr>
        <w:t>Grupos e o que controlam: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configura</w:t>
            </w:r>
          </w:p>
        </w:tc>
      </w:tr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Metodologia de precificação, moeda, parada de emergência</w:t>
            </w:r>
          </w:p>
        </w:tc>
      </w:tr>
      <w:tr>
        <w:tc>
          <w:tcPr>
            <w:tcW w:type="dxa" w:w="4320"/>
          </w:tcPr>
          <w:p>
            <w:r>
              <w:t>Number Series</w:t>
            </w:r>
          </w:p>
        </w:tc>
        <w:tc>
          <w:tcPr>
            <w:tcW w:type="dxa" w:w="4320"/>
          </w:tcPr>
          <w:p>
            <w:r>
              <w:t>Séries de cotação, contrato, condição, faturamento, ticket, devolução, substituição, encerramento, recovery, sinistro, multa, apólice, dispositivo, veículo, aprovação</w:t>
            </w:r>
          </w:p>
        </w:tc>
      </w:tr>
      <w:tr>
        <w:tc>
          <w:tcPr>
            <w:tcW w:type="dxa" w:w="4320"/>
          </w:tcPr>
          <w:p>
            <w:r>
              <w:t>Number Series — Remarketing &amp; Contracts</w:t>
            </w:r>
          </w:p>
        </w:tc>
        <w:tc>
          <w:tcPr>
            <w:tcW w:type="dxa" w:w="4320"/>
          </w:tcPr>
          <w:p>
            <w:r>
              <w:t>Séries de oferta, venda de seminovo, avaliação de contrato e pré-fechamento</w:t>
            </w:r>
          </w:p>
        </w:tc>
      </w:tr>
      <w:tr>
        <w:tc>
          <w:tcPr>
            <w:tcW w:type="dxa" w:w="4320"/>
          </w:tcPr>
          <w:p>
            <w:r>
              <w:t>Calculation Limits and Caps</w:t>
            </w:r>
          </w:p>
        </w:tc>
        <w:tc>
          <w:tcPr>
            <w:tcW w:type="dxa" w:w="4320"/>
          </w:tcPr>
          <w:p>
            <w:r>
              <w:t>Faixa 1 de excesso de km, cap de crédito de serviço, cap de penalidade SLA, limite de destruição total, depreciação de seminovo, diária de dispositivo</w:t>
            </w:r>
          </w:p>
        </w:tc>
      </w:tr>
      <w:tr>
        <w:tc>
          <w:tcPr>
            <w:tcW w:type="dxa" w:w="4320"/>
          </w:tcPr>
          <w:p>
            <w:r>
              <w:t>Maintenance and Contract Rules</w:t>
            </w:r>
          </w:p>
        </w:tc>
        <w:tc>
          <w:tcPr>
            <w:tcW w:type="dxa" w:w="4320"/>
          </w:tcPr>
          <w:p>
            <w:r>
              <w:t>Intervalo de preventiva, tolerância de odômetro, dias de aviso de vencimento, auto-extensão</w:t>
            </w:r>
          </w:p>
        </w:tc>
      </w:tr>
      <w:tr>
        <w:tc>
          <w:tcPr>
            <w:tcW w:type="dxa" w:w="4320"/>
          </w:tcPr>
          <w:p>
            <w:r>
              <w:t>Taxes</w:t>
            </w:r>
          </w:p>
        </w:tc>
        <w:tc>
          <w:tcPr>
            <w:tcW w:type="dxa" w:w="4320"/>
          </w:tcPr>
          <w:p>
            <w:r>
              <w:t>Alíquotas federal/estadual/municipal, PIS/COFINS, ISS, stamp tax e suas descrições</w:t>
            </w:r>
          </w:p>
        </w:tc>
      </w:tr>
      <w:tr>
        <w:tc>
          <w:tcPr>
            <w:tcW w:type="dxa" w:w="4320"/>
          </w:tcPr>
          <w:p>
            <w:r>
              <w:t>Financial</w:t>
            </w:r>
          </w:p>
        </w:tc>
        <w:tc>
          <w:tcPr>
            <w:tcW w:type="dxa" w:w="4320"/>
          </w:tcPr>
          <w:p>
            <w:r>
              <w:t>Taxa de juros, spread, inflação, risco de crédito por faixa</w:t>
            </w:r>
          </w:p>
        </w:tc>
      </w:tr>
      <w:tr>
        <w:tc>
          <w:tcPr>
            <w:tcW w:type="dxa" w:w="4320"/>
          </w:tcPr>
          <w:p>
            <w:r>
              <w:t>Fleet Operations</w:t>
            </w:r>
          </w:p>
        </w:tc>
        <w:tc>
          <w:tcPr>
            <w:tcW w:type="dxa" w:w="4320"/>
          </w:tcPr>
          <w:p>
            <w:r>
              <w:t>Fleet Behavior, SLAs de desmobilização, aging de dispositivo, reconciliação de fechamento</w:t>
            </w:r>
          </w:p>
        </w:tc>
      </w:tr>
      <w:tr>
        <w:tc>
          <w:tcPr>
            <w:tcW w:type="dxa" w:w="4320"/>
          </w:tcPr>
          <w:p>
            <w:r>
              <w:t>CreditRisk / Pricing / UsedVehicles / Mileage / Dates / CashFlow</w:t>
            </w:r>
          </w:p>
        </w:tc>
        <w:tc>
          <w:tcPr>
            <w:tcW w:type="dxa" w:w="4320"/>
          </w:tcPr>
          <w:p>
            <w:r>
              <w:t>Parâmetros de cada motor de cálculo</w:t>
            </w:r>
          </w:p>
        </w:tc>
      </w:tr>
    </w:tbl>
    <w:p>
      <w:pPr>
        <w:pStyle w:val="Heading2"/>
      </w:pPr>
      <w:r>
        <w:rPr>
          <w:color w:val="0E7C86"/>
          <w:sz w:val="26"/>
        </w:rPr>
        <w:t>C.3 Séries de numeração</w:t>
      </w:r>
    </w:p>
    <w:p>
      <w:r>
        <w:rPr>
          <w:b/>
          <w:i w:val="0"/>
        </w:rPr>
        <w:t>Todas as séries são configuráveis — nenhuma está fixa no código. Se o campo estiver vazio, o sistema usa a série histórica como fallback (nada quebra), mas o recomendado é preencher.</w:t>
      </w:r>
    </w:p>
    <w:p>
      <w:r>
        <w:rPr>
          <w:b/>
          <w:i w:val="0"/>
        </w:rPr>
        <w:t>Séries criadas na instalação e na atualização:</w:t>
      </w:r>
    </w:p>
    <w:p>
      <w:pPr>
        <w:pStyle w:val="ListBullet"/>
      </w:pPr>
      <w:r>
        <w:t>KINTO-QUOTE (cotações), KINTO-CONTR (contratos), KINTO-COND (condições)</w:t>
      </w:r>
    </w:p>
    <w:p>
      <w:pPr>
        <w:pStyle w:val="ListBullet"/>
      </w:pPr>
      <w:r>
        <w:t>KINTO-TICK (tickets), KINTO-RET (devoluções), KINTO-SUB (substituições)</w:t>
      </w:r>
    </w:p>
    <w:p>
      <w:pPr>
        <w:pStyle w:val="ListBullet"/>
      </w:pPr>
      <w:r>
        <w:t>KINTO-STL (encerramentos), KINTO-REC (recovery), KINTO-RET</w:t>
      </w:r>
    </w:p>
    <w:p>
      <w:pPr>
        <w:pStyle w:val="ListBullet"/>
      </w:pPr>
      <w:r>
        <w:t>KINTO-CLM (sinistros), KINTO-FINE (multas), KINTO-POL (apólices)</w:t>
      </w:r>
    </w:p>
    <w:p>
      <w:pPr>
        <w:pStyle w:val="ListBullet"/>
      </w:pPr>
      <w:r>
        <w:t>KINTO-DEV (dispositivos), KINTO-VEH (veículos), KINTO-APPR (aprovações)</w:t>
      </w:r>
    </w:p>
    <w:p>
      <w:pPr>
        <w:pStyle w:val="ListBullet"/>
      </w:pPr>
      <w:r>
        <w:t>KINTO-RMK (ofertas), KINTO-RMS (vendas de seminovo)</w:t>
      </w:r>
    </w:p>
    <w:p>
      <w:pPr>
        <w:pStyle w:val="ListBullet"/>
      </w:pPr>
      <w:r>
        <w:t>KINTO-EVAL (avaliações), KINTO-PCL (pré-fechamentos)</w:t>
      </w:r>
    </w:p>
    <w:p>
      <w:r>
        <w:rPr>
          <w:b/>
          <w:color w:val="B45000"/>
        </w:rPr>
        <w:t>⚠ Série ausente era a causa do erro "Já existe o registro": o documento nascia sem número e o segundo registro colidia. A atualização cria as séries que faltarem.</w:t>
      </w:r>
    </w:p>
    <w:p>
      <w:pPr>
        <w:pStyle w:val="Heading2"/>
      </w:pPr>
      <w:r>
        <w:rPr>
          <w:color w:val="0E7C86"/>
          <w:sz w:val="26"/>
        </w:rPr>
        <w:t>C.4 Limites de cálculo — o que era fixo e agora é configurável</w:t>
      </w:r>
    </w:p>
    <w:p>
      <w:r>
        <w:rPr>
          <w:b/>
          <w:i w:val="0"/>
        </w:rPr>
        <w:t>Estes valores estavam no código e agora são parâmetros por país. Alterá-los muda o cálculo imediatamente, sem publicar nova versão do app.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2880"/>
          </w:tcPr>
          <w:p>
            <w:r>
              <w:t>Excess Km Band 1 %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Até quanto do km contratado paga a tarifa 1 (acima vai para tarifa 2)</w:t>
            </w:r>
          </w:p>
        </w:tc>
      </w:tr>
      <w:tr>
        <w:tc>
          <w:tcPr>
            <w:tcW w:type="dxa" w:w="2880"/>
          </w:tcPr>
          <w:p>
            <w:r>
              <w:t>Service Credit Cap %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Teto do crédito de serviço sobre o faturamento do mês</w:t>
            </w:r>
          </w:p>
        </w:tc>
      </w:tr>
      <w:tr>
        <w:tc>
          <w:tcPr>
            <w:tcW w:type="dxa" w:w="2880"/>
          </w:tcPr>
          <w:p>
            <w:r>
              <w:t>SLA Penalty Cap %</w:t>
            </w:r>
          </w:p>
        </w:tc>
        <w:tc>
          <w:tcPr>
            <w:tcW w:type="dxa" w:w="2880"/>
          </w:tcPr>
          <w:p>
            <w:r>
              <w:t>0 (sem cap)</w:t>
            </w:r>
          </w:p>
        </w:tc>
        <w:tc>
          <w:tcPr>
            <w:tcW w:type="dxa" w:w="2880"/>
          </w:tcPr>
          <w:p>
            <w:r>
              <w:t>Teto de penalidade de SLA quando o contrato não define o seu</w:t>
            </w:r>
          </w:p>
        </w:tc>
      </w:tr>
      <w:tr>
        <w:tc>
          <w:tcPr>
            <w:tcW w:type="dxa" w:w="2880"/>
          </w:tcPr>
          <w:p>
            <w:r>
              <w:t>Preventive Interval Months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Intervalo padrão de reagendamento da preventiva</w:t>
            </w:r>
          </w:p>
        </w:tc>
      </w:tr>
      <w:tr>
        <w:tc>
          <w:tcPr>
            <w:tcW w:type="dxa" w:w="2880"/>
          </w:tcPr>
          <w:p>
            <w:r>
              <w:t>Contract Notice Days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Antecedência do aviso de vencimento</w:t>
            </w:r>
          </w:p>
        </w:tc>
      </w:tr>
      <w:tr>
        <w:tc>
          <w:tcPr>
            <w:tcW w:type="dxa" w:w="2880"/>
          </w:tcPr>
          <w:p>
            <w:r>
              <w:t>Auto Extend Contracts</w:t>
            </w:r>
          </w:p>
        </w:tc>
        <w:tc>
          <w:tcPr>
            <w:tcW w:type="dxa" w:w="2880"/>
          </w:tcPr>
          <w:p>
            <w:r>
              <w:t>desligado no BR</w:t>
            </w:r>
          </w:p>
        </w:tc>
        <w:tc>
          <w:tcPr>
            <w:tcW w:type="dxa" w:w="2880"/>
          </w:tcPr>
          <w:p>
            <w:r>
              <w:t>Renova contrato vencido automaticamente</w:t>
            </w:r>
          </w:p>
        </w:tc>
      </w:tr>
      <w:tr>
        <w:tc>
          <w:tcPr>
            <w:tcW w:type="dxa" w:w="2880"/>
          </w:tcPr>
          <w:p>
            <w:r>
              <w:t>Remarketing Km Deprec. Base / %</w:t>
            </w:r>
          </w:p>
        </w:tc>
        <w:tc>
          <w:tcPr>
            <w:tcW w:type="dxa" w:w="2880"/>
          </w:tcPr>
          <w:p>
            <w:r>
              <w:t>300.000 km / 15%</w:t>
            </w:r>
          </w:p>
        </w:tc>
        <w:tc>
          <w:tcPr>
            <w:tcW w:type="dxa" w:w="2880"/>
          </w:tcPr>
          <w:p>
            <w:r>
              <w:t>Base e teto da depreciação por km do seminovo</w:t>
            </w:r>
          </w:p>
        </w:tc>
      </w:tr>
      <w:tr>
        <w:tc>
          <w:tcPr>
            <w:tcW w:type="dxa" w:w="2880"/>
          </w:tcPr>
          <w:p>
            <w:r>
              <w:t>Device Daily Charge</w:t>
            </w:r>
          </w:p>
        </w:tc>
        <w:tc>
          <w:tcPr>
            <w:tcW w:type="dxa" w:w="2880"/>
          </w:tcPr>
          <w:p>
            <w:r>
              <w:t>5,00</w:t>
            </w:r>
          </w:p>
        </w:tc>
        <w:tc>
          <w:tcPr>
            <w:tcW w:type="dxa" w:w="2880"/>
          </w:tcPr>
          <w:p>
            <w:r>
              <w:t>Diária de armazenagem cobrada do fornecedor</w:t>
            </w:r>
          </w:p>
        </w:tc>
      </w:tr>
      <w:tr>
        <w:tc>
          <w:tcPr>
            <w:tcW w:type="dxa" w:w="2880"/>
          </w:tcPr>
          <w:p>
            <w:r>
              <w:t>Total Loss Threshold 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Relação dano/valor que caracteriza perda total</w:t>
            </w:r>
          </w:p>
        </w:tc>
      </w:tr>
      <w:tr>
        <w:tc>
          <w:tcPr>
            <w:tcW w:type="dxa" w:w="2880"/>
          </w:tcPr>
          <w:p>
            <w:r>
              <w:t>Odometer Tolerance (km)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Tolerância para disparar preventiva por km</w:t>
            </w:r>
          </w:p>
        </w:tc>
      </w:tr>
    </w:tbl>
    <w:p>
      <w:pPr>
        <w:pStyle w:val="Heading2"/>
      </w:pPr>
      <w:r>
        <w:rPr>
          <w:color w:val="0E7C86"/>
          <w:sz w:val="26"/>
        </w:rPr>
        <w:t>C.5 Roteiro de validação após atualizar</w:t>
      </w:r>
    </w:p>
    <w:p>
      <w:r>
        <w:rPr>
          <w:b/>
          <w:i w:val="0"/>
        </w:rPr>
        <w:t>Confira nesta ordem:</w:t>
      </w:r>
    </w:p>
    <w:p>
      <w:pPr>
        <w:pStyle w:val="ListBullet"/>
      </w:pPr>
      <w:r>
        <w:t>1. Company Information → KINTO Country está preenchido com o país correto</w:t>
      </w:r>
    </w:p>
    <w:p>
      <w:pPr>
        <w:pStyle w:val="ListBullet"/>
      </w:pPr>
      <w:r>
        <w:t>2. KINTO Country Setup → grupo Number Series: todas as séries preenchidas</w:t>
      </w:r>
    </w:p>
    <w:p>
      <w:pPr>
        <w:pStyle w:val="ListBullet"/>
      </w:pPr>
      <w:r>
        <w:t>3. KINTO Country Setup → Calculation Limits: valores conforme a política comercial</w:t>
      </w:r>
    </w:p>
    <w:p>
      <w:pPr>
        <w:pStyle w:val="ListBullet"/>
      </w:pPr>
      <w:r>
        <w:t>4. Rodar Run All Tests (45 cenários) — o cenário "Setup: empresa vinculada ao Country Setup" falha se o vínculo estiver ausente ou apontando para país inexistente</w:t>
      </w:r>
    </w:p>
    <w:p>
      <w:pPr>
        <w:pStyle w:val="ListBullet"/>
      </w:pPr>
      <w:r>
        <w:t>5. Criar um contrato novo e conferir se o número saiu pela série configurada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