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v4 (capturas + regras + configuração)</w:t>
        <w:br/>
      </w:r>
    </w:p>
    <w:p>
      <w:pPr>
        <w:jc w:val="center"/>
      </w:pPr>
      <w:r>
        <w:rPr>
          <w:i/>
          <w:sz w:val="20"/>
        </w:rPr>
        <w:t>RSBTech · Dynamics 365 Business Central · 27/10/2026</w:t>
      </w:r>
    </w:p>
    <w:p/>
    <w:p>
      <w:r>
        <w:rPr>
          <w:b/>
          <w:i w:val="0"/>
        </w:rPr>
        <w:t>Novidades da v4:</w:t>
      </w:r>
    </w:p>
    <w:p>
      <w:pPr>
        <w:pStyle w:val="ListBullet"/>
      </w:pPr>
      <w:r>
        <w:t>NOVO — Apêndice A: regras de cálculo de todos os valores do sistema (fórmula, base, cap e exemplo numérico)</w:t>
      </w:r>
    </w:p>
    <w:p>
      <w:pPr>
        <w:pStyle w:val="ListBullet"/>
      </w:pPr>
      <w:r>
        <w:t>NOVO — Apêndice C: guia de configuração (Country Setup por empresa, séries de numeração e limites de cálculo)</w:t>
      </w:r>
    </w:p>
    <w:p>
      <w:pPr>
        <w:pStyle w:val="ListBullet"/>
      </w:pPr>
      <w:r>
        <w:t>Cenário novo: penalidade de SLA limitada ao faturamento do mês</w:t>
      </w:r>
    </w:p>
    <w:p>
      <w:pPr>
        <w:pStyle w:val="ListBullet"/>
      </w:pPr>
      <w:r>
        <w:t>Correções de Entry No. duplicado nas tabelas de documento, evento, log e violação</w:t>
      </w:r>
    </w:p>
    <w:p>
      <w:pPr>
        <w:pStyle w:val="ListBullet"/>
      </w:pPr>
      <w:r>
        <w:t>Capturas de tela reais de todas as páginas principais (mantidas da v2)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A — Regras de cálculo</w:t>
      </w:r>
    </w:p>
    <w:p>
      <w:r>
        <w:rPr>
          <w:b w:val="0"/>
          <w:i w:val="0"/>
        </w:rPr>
        <w:t>Este apêndice descreve COMO cada valor do sistema é calculado: a fórmula, a base de dados usada, os limites (caps) e um exemplo numérico. Serve para conferir um número na tela sem precisar abrir o código.</w:t>
      </w:r>
    </w:p>
    <w:p>
      <w:r>
        <w:rPr>
          <w:b w:val="0"/>
          <w:i/>
        </w:rPr>
        <w:t>Convenção: todo arredondamento monetário é a 2 casas (R$ 0,01); percentuais são aplicados sobre a base indicada em cada regra.</w:t>
      </w:r>
    </w:p>
    <w:p>
      <w:pPr>
        <w:pStyle w:val="Heading2"/>
      </w:pPr>
      <w:r>
        <w:rPr>
          <w:color w:val="0E7C86"/>
          <w:sz w:val="26"/>
        </w:rPr>
        <w:t>A.1 Precificação — valor mensal da cotação</w:t>
      </w:r>
    </w:p>
    <w:p>
      <w:r>
        <w:rPr>
          <w:b/>
          <w:i w:val="0"/>
        </w:rPr>
        <w:t>Fórmula (metodologia Target ROI):</w:t>
      </w:r>
    </w:p>
    <w:p>
      <w:r>
        <w:rPr>
          <w:b w:val="0"/>
          <w:i/>
        </w:rPr>
        <w:t xml:space="preserve">  O motor busca, por aproximação iterativa (goal seek), a tarifa mensal que faz o ROI do negócio atingir o alvo:</w:t>
        <w:br/>
        <w:t xml:space="preserve">  ROI = (receita total − custo do veículo − despesas) / custo do veículo</w:t>
        <w:br/>
        <w:t xml:space="preserve">  Receita total = tarifa mensal × prazo (meses)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Custo do veículo: preço de compra do item (ou valor FIPE)</w:t>
      </w:r>
    </w:p>
    <w:p>
      <w:pPr>
        <w:pStyle w:val="ListBullet"/>
      </w:pPr>
      <w:r>
        <w:t>Valor residual: matriz RV do item, por prazo e km contratado</w:t>
      </w:r>
    </w:p>
    <w:p>
      <w:pPr>
        <w:pStyle w:val="ListBullet"/>
      </w:pPr>
      <w:r>
        <w:t>Depreciação: valor de mercado − residual, pelo cálculo de depreciação do país</w:t>
      </w:r>
    </w:p>
    <w:p>
      <w:pPr>
        <w:pStyle w:val="ListBullet"/>
      </w:pPr>
      <w:r>
        <w:t>Seguro: cotação do grupo de seguro (Corpo) somada ao pacote quando houver</w:t>
      </w:r>
    </w:p>
    <w:p>
      <w:r>
        <w:rPr>
          <w:b/>
          <w:i w:val="0"/>
        </w:rPr>
        <w:t>Limites:</w:t>
      </w:r>
    </w:p>
    <w:p>
      <w:pPr>
        <w:pStyle w:val="ListBullet"/>
      </w:pPr>
      <w:r>
        <w:t>Fora da matriz RV (prazo × km sem faixa correspondente) → pricing FALHA e exige aprovação especial</w:t>
      </w:r>
    </w:p>
    <w:p>
      <w:pPr>
        <w:pStyle w:val="ListBullet"/>
      </w:pPr>
      <w:r>
        <w:t>A tarifa é limitada entre R$ 0,01 e 50% do preço de compra (bounds do goal seek)</w:t>
      </w:r>
    </w:p>
    <w:p>
      <w:pPr>
        <w:pStyle w:val="ListBullet"/>
      </w:pPr>
      <w:r>
        <w:t>Tolerância de convergência: 0,0001; máximo de 100 iterações</w:t>
      </w:r>
    </w:p>
    <w:p>
      <w:r>
        <w:rPr>
          <w:b w:val="0"/>
          <w:i w:val="0"/>
        </w:rPr>
        <w:t>Exemplo: veículo R$ 120.000, prazo 24 meses, 1.500 km/mês, ROI alvo 3,4% → tarifa mensal ≈ R$ 15.858,60 (fee que aparece no teste Pricing: indicadores calculados).</w:t>
      </w:r>
    </w:p>
    <w:p>
      <w:pPr>
        <w:pStyle w:val="Heading2"/>
      </w:pPr>
      <w:r>
        <w:rPr>
          <w:color w:val="0E7C86"/>
          <w:sz w:val="26"/>
        </w:rPr>
        <w:t>A.2 Faturamento mensal (billing)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= valor mensal da condição (Monthly Amount) × fator de prorrata</w:t>
        <w:br/>
        <w:t xml:space="preserve">  Fator de prorrata = dias faturados / 30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Condições do contrato com Active = true e vigência (Valid From) dentro do mês</w:t>
      </w:r>
    </w:p>
    <w:p>
      <w:pPr>
        <w:pStyle w:val="ListBullet"/>
      </w:pPr>
      <w:r>
        <w:t>Produto financeiro da condição (RENT, FINE, DAMAGE, SVC-CREDIT...)</w:t>
      </w:r>
    </w:p>
    <w:p>
      <w:r>
        <w:rPr>
          <w:b/>
          <w:i w:val="0"/>
        </w:rPr>
        <w:t>Prorrata — quando se aplica:</w:t>
      </w:r>
    </w:p>
    <w:p>
      <w:pPr>
        <w:pStyle w:val="ListBullet"/>
      </w:pPr>
      <w:r>
        <w:t>Mês cheio: 30 dias, Prorated = false</w:t>
      </w:r>
    </w:p>
    <w:p>
      <w:pPr>
        <w:pStyle w:val="ListBullet"/>
      </w:pPr>
      <w:r>
        <w:t>Contrato terminado DENTRO do mês: dias = data de terminação − 1º dia do mês + 1, Prorated = true</w:t>
      </w:r>
    </w:p>
    <w:p>
      <w:r>
        <w:rPr>
          <w:b/>
          <w:i w:val="0"/>
        </w:rPr>
        <w:t>Idempotência:</w:t>
      </w:r>
    </w:p>
    <w:p>
      <w:pPr>
        <w:pStyle w:val="ListBullet"/>
      </w:pPr>
      <w:r>
        <w:t>Um contrato é faturado no máximo uma vez por mês — a geração verifica as linhas existentes antes de criar</w:t>
      </w:r>
    </w:p>
    <w:p>
      <w:r>
        <w:rPr>
          <w:b w:val="0"/>
          <w:i w:val="0"/>
        </w:rPr>
        <w:t>Exemplo: mensalidade R$ 15.858,60 com terminação no dia 15 → 15 dias faturados → R$ 7.929,30.</w:t>
      </w:r>
    </w:p>
    <w:p>
      <w:pPr>
        <w:pStyle w:val="Heading2"/>
      </w:pPr>
      <w:r>
        <w:rPr>
          <w:color w:val="0E7C86"/>
          <w:sz w:val="26"/>
        </w:rPr>
        <w:t>A.3 Excesso de quilometragem (mileage closing)</w:t>
      </w:r>
    </w:p>
    <w:p>
      <w:r>
        <w:rPr>
          <w:b/>
          <w:i w:val="0"/>
        </w:rPr>
        <w:t>Fórmula em duas faixas:</w:t>
      </w:r>
    </w:p>
    <w:p>
      <w:r>
        <w:rPr>
          <w:b w:val="0"/>
          <w:i/>
        </w:rPr>
        <w:t xml:space="preserve">  Franquia total = km mensal contratado × prazo (meses)</w:t>
        <w:br/>
        <w:t xml:space="preserve">  Excesso = km na devolução − franquia total (se positivo)</w:t>
        <w:br/>
        <w:t xml:space="preserve">  Faixa 1 (até 10% da franquia): excesso × preço faixa 1</w:t>
        <w:br/>
        <w:t xml:space="preserve">  Faixa 2 (acima de 10%):  (10% da franquia × preço faixa 1) + (excedente × preço faixa 2)</w:t>
      </w:r>
    </w:p>
    <w:p>
      <w:r>
        <w:rPr>
          <w:b/>
          <w:i w:val="0"/>
        </w:rPr>
        <w:t>Limite (cap):</w:t>
      </w:r>
    </w:p>
    <w:p>
      <w:pPr>
        <w:pStyle w:val="ListBullet"/>
      </w:pPr>
      <w:r>
        <w:t>A cobrança NUNCA excede o Booking Value do veículo (valor de referência/FIPE registrado no cadastro)</w:t>
      </w:r>
    </w:p>
    <w:p>
      <w:r>
        <w:rPr>
          <w:b w:val="0"/>
          <w:i w:val="0"/>
        </w:rPr>
        <w:t>Exemplo: franquia 24.000 km, devolução com 29.000 km → excesso 5.000 km</w:t>
        <w:br/>
        <w:t xml:space="preserve">  Faixa 1 = 2.400 km × R$ 1,00 = R$ 2.400; Faixa 2 = 2.600 km × R$ 2,00 = R$ 5.200 → total R$ 7.600</w:t>
        <w:br/>
        <w:t xml:space="preserve">  (o teste E2E usa 1.800 × 1,00 + 3.200 × 2,00 = R$ 8.200, limitado ao cap FIPE de R$ 5.000).</w:t>
      </w:r>
    </w:p>
    <w:p>
      <w:pPr>
        <w:pStyle w:val="Heading2"/>
      </w:pPr>
      <w:r>
        <w:rPr>
          <w:color w:val="0E7C86"/>
          <w:sz w:val="26"/>
        </w:rPr>
        <w:t>A.4 Crédito de serviço (service credit)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Crédito = dias sem serviço × (mensalidade / 30)</w:t>
        <w:br/>
        <w:t xml:space="preserve">  Cap = 2% do faturamento do mês</w:t>
        <w:br/>
        <w:t xml:space="preserve">  Crédito aplicado = menor valor entre os dois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Faturamento do mês = soma das linhas de billing do mês, EXCLUINDO as canceladas</w:t>
      </w:r>
    </w:p>
    <w:p>
      <w:pPr>
        <w:pStyle w:val="ListBullet"/>
      </w:pPr>
      <w:r>
        <w:t>Mensalidade = Monthly Rent do contrato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Sem faturamento no mês não existe base de cálculo → o pedido de crédito é rejeitado com erro</w:t>
      </w:r>
    </w:p>
    <w:p>
      <w:pPr>
        <w:pStyle w:val="ListBullet"/>
      </w:pPr>
      <w:r>
        <w:t>O crédito entra como linha NEGATIVA no faturamento (produto SVC-CREDIT)</w:t>
      </w:r>
    </w:p>
    <w:p>
      <w:pPr>
        <w:pStyle w:val="ListBullet"/>
      </w:pPr>
      <w:r>
        <w:t>A linha registra os dias creditados e se o cap foi aplicado (auditoria)</w:t>
      </w:r>
    </w:p>
    <w:p>
      <w:r>
        <w:rPr>
          <w:b w:val="0"/>
          <w:i w:val="0"/>
        </w:rPr>
        <w:t>Exemplo: mensalidade R$ 15.858,60, 30 dias sem serviço → crédito calculado R$ 15.858,60; cap de 2% sobre R$ 15.858,60 = R$ 317,17 → aplica R$ 317,17.</w:t>
      </w:r>
    </w:p>
    <w:p>
      <w:pPr>
        <w:pStyle w:val="Heading2"/>
      </w:pPr>
      <w:r>
        <w:rPr>
          <w:color w:val="0E7C86"/>
          <w:sz w:val="26"/>
        </w:rPr>
        <w:t>A.5 Penalidade de SLA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Horas decorridas = (agora − abertura do ticket) em horas, arredondado a 2 casas</w:t>
        <w:br/>
        <w:t xml:space="preserve">  Penalidade = (horas decorridas − horas alvo de resolução) × valor por hora</w:t>
        <w:br/>
        <w:t xml:space="preserve">  Cap mensal = % de cap × faturamento do mês</w:t>
        <w:br/>
        <w:t xml:space="preserve">  Penalidade aplicada = limitada ao que resta do cap acumulado do contrato no mês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O cap é sobre o ACUMULADO de penalidades do contrato no mês, não por violação — senão várias violações furariam o limite</w:t>
      </w:r>
    </w:p>
    <w:p>
      <w:pPr>
        <w:pStyle w:val="ListBullet"/>
      </w:pPr>
      <w:r>
        <w:t>Penalty Cap % = 0 desliga o cap (penalidade integral por hora)</w:t>
      </w:r>
    </w:p>
    <w:p>
      <w:pPr>
        <w:pStyle w:val="ListBullet"/>
      </w:pPr>
      <w:r>
        <w:t>Sem faturamento no mês não há base de cap → penalidade fica R$ 0,00</w:t>
      </w:r>
    </w:p>
    <w:p>
      <w:r>
        <w:rPr>
          <w:b w:val="0"/>
          <w:i w:val="0"/>
        </w:rPr>
        <w:t>Exemplo: alvo 24h, ticket aberto há 48h, R$ 10/h → (48−24) × 10 = R$ 240,00. Com cap de 1% sobre faturamento de R$ 15.858,60 (= R$ 158,59), a penalidade é reduzida para R$ 158,59 e as violações seguintes do mês não pagam mais nada.</w:t>
      </w:r>
    </w:p>
    <w:p>
      <w:pPr>
        <w:pStyle w:val="Heading2"/>
      </w:pPr>
      <w:r>
        <w:rPr>
          <w:color w:val="0E7C86"/>
          <w:sz w:val="26"/>
        </w:rPr>
        <w:t>A.6 Reajuste por índice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Variação aplicada = menor valor entre (variação do índice, cap contratual)</w:t>
        <w:br/>
        <w:t xml:space="preserve">  Novo valor = valor atual × (1 + variação aplicada / 100)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Cap = 0 significa SEM cap (aplica a variação integral do índice)</w:t>
      </w:r>
    </w:p>
    <w:p>
      <w:pPr>
        <w:pStyle w:val="ListBullet"/>
      </w:pPr>
      <w:r>
        <w:t>Cada aplicação cria uma REVISÃO da condição — o histórico nunca é sobrescrito</w:t>
      </w:r>
    </w:p>
    <w:p>
      <w:pPr>
        <w:pStyle w:val="ListBullet"/>
      </w:pPr>
      <w:r>
        <w:t>Idempotente por contrato + mês: rodar o scheduler duas vezes não reajusta de novo</w:t>
      </w:r>
    </w:p>
    <w:p>
      <w:pPr>
        <w:pStyle w:val="ListBullet"/>
      </w:pPr>
      <w:r>
        <w:t>Frequência configurável: mensal, trimestral ou anual</w:t>
      </w:r>
    </w:p>
    <w:p>
      <w:r>
        <w:rPr>
          <w:b w:val="0"/>
          <w:i w:val="0"/>
        </w:rPr>
        <w:t>Exemplo: valor R$ 15.858,60, índice IPCA-T 8%, cap 5% → aplica-se 5% → R$ 16.651,53 (é o número do teste D6).</w:t>
      </w:r>
    </w:p>
    <w:p>
      <w:pPr>
        <w:pStyle w:val="Heading2"/>
      </w:pPr>
      <w:r>
        <w:rPr>
          <w:color w:val="0E7C86"/>
          <w:sz w:val="26"/>
        </w:rPr>
        <w:t>A.7 Preço de seminovo (remarketing)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Preço-base = média PONDERADA das fontes de preço ativas</w:t>
        <w:br/>
        <w:t xml:space="preserve">     (soma de preço × peso, dividida pela soma dos pesos</w:t>
        <w:br/>
        <w:t xml:space="preserve">      e reescalada para 100% quando os pesos não somam 100)</w:t>
        <w:br/>
        <w:t xml:space="preserve">  Depreciação por km = preço-base × (1 − (km / 300.000 × 15%))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Fontes típicas BR: FIPE e Webmotors, com pesos configuráveis no Setup</w:t>
      </w:r>
    </w:p>
    <w:p>
      <w:pPr>
        <w:pStyle w:val="ListBullet"/>
      </w:pPr>
      <w:r>
        <w:t>A depreciação por km satura em 15% aos 300.000 km</w:t>
      </w:r>
    </w:p>
    <w:p>
      <w:r>
        <w:rPr>
          <w:b w:val="0"/>
          <w:i w:val="0"/>
        </w:rPr>
        <w:t>Exemplo: FIPE R$ 100.000 com peso 60% e Webmotors R$ 95.000 com peso 40% → base R$ 98.000; com 150.000 km → −7,5% → R$ 90.650,00.</w:t>
      </w:r>
    </w:p>
    <w:p>
      <w:pPr>
        <w:pStyle w:val="Heading2"/>
      </w:pPr>
      <w:r>
        <w:rPr>
          <w:color w:val="0E7C86"/>
          <w:sz w:val="26"/>
        </w:rPr>
        <w:t>A.8 Cobrança de dispositivo ao fornecedor (device aging)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Cobrança = dias de aging × tarifa diária do país</w:t>
      </w:r>
    </w:p>
    <w:p>
      <w:pPr>
        <w:pStyle w:val="ListBullet"/>
      </w:pPr>
      <w:r>
        <w:t>Aging = dias entre o desligamento do contrato e a devolução do equipamento ao fornecedor</w:t>
      </w:r>
    </w:p>
    <w:p>
      <w:pPr>
        <w:pStyle w:val="ListBullet"/>
      </w:pPr>
      <w:r>
        <w:t>A tarifa diária vem do Setup do país (Lookup GetDailyCharge)</w:t>
      </w:r>
    </w:p>
    <w:p>
      <w:r>
        <w:rPr>
          <w:b w:val="0"/>
          <w:i w:val="0"/>
        </w:rPr>
        <w:t>Exemplo: 70 dias × R$ 5,00 = R$ 350,00 (teste Device aging).</w:t>
      </w:r>
    </w:p>
    <w:p>
      <w:pPr>
        <w:pStyle w:val="Heading2"/>
      </w:pPr>
      <w:r>
        <w:rPr>
          <w:color w:val="0E7C86"/>
          <w:sz w:val="26"/>
        </w:rPr>
        <w:t>A.9 Encerramento (settlement)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Total do encerramento = saldo de faturamento aberto</w:t>
        <w:br/>
        <w:t xml:space="preserve">                        + danos cobráveis do cliente</w:t>
        <w:br/>
        <w:t xml:space="preserve">                        + multas em aberto</w:t>
        <w:br/>
        <w:t xml:space="preserve">                        + excesso de quilometragem</w:t>
        <w:br/>
        <w:t xml:space="preserve">                        + franquia da apólice (roubo/perda total)</w:t>
        <w:br/>
        <w:t xml:space="preserve">                        − indenização do seguro recebida</w:t>
      </w:r>
    </w:p>
    <w:p>
      <w:pPr>
        <w:pStyle w:val="ListBullet"/>
      </w:pPr>
      <w:r>
        <w:t>O tipo de encerramento (Final Balance, Theft, Total Loss, Damage) define quais parcelas entram</w:t>
      </w:r>
    </w:p>
    <w:p>
      <w:pPr>
        <w:pStyle w:val="ListBullet"/>
      </w:pPr>
      <w:r>
        <w:t>Franquia só entra quando a apólice ativa cobre o evento e o tipo é roubo/perda total</w:t>
      </w:r>
    </w:p>
    <w:p>
      <w:r>
        <w:rPr>
          <w:b w:val="0"/>
          <w:i w:val="0"/>
        </w:rPr>
        <w:t>Exemplo (teste D5): danos R$ 1.500 + franquia R$ 5.000 = R$ 6.500.</w:t>
      </w:r>
    </w:p>
    <w:p>
      <w:pPr>
        <w:pStyle w:val="Heading2"/>
      </w:pPr>
      <w:r>
        <w:rPr>
          <w:color w:val="0E7C86"/>
          <w:sz w:val="26"/>
        </w:rPr>
        <w:t>A.10 Avaliação de cliente (score e risco)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Score = média(nota de pagamento, nota de cuidado com o veículo)</w:t>
        <w:br/>
        <w:t xml:space="preserve">  Penalidade: −1 ponto quando há mais de 2 multas/infrações</w:t>
        <w:br/>
        <w:t xml:space="preserve">  Score mínimo: 1,0</w:t>
      </w:r>
    </w:p>
    <w:p>
      <w:r>
        <w:rPr>
          <w:b/>
          <w:i w:val="0"/>
        </w:rPr>
        <w:t>Faixas de risco:</w:t>
      </w:r>
    </w:p>
    <w:p>
      <w:pPr>
        <w:pStyle w:val="ListBullet"/>
      </w:pPr>
      <w:r>
        <w:t>Score ≥ 4,5 → risco BAIXO</w:t>
      </w:r>
    </w:p>
    <w:p>
      <w:pPr>
        <w:pStyle w:val="ListBullet"/>
      </w:pPr>
      <w:r>
        <w:t>Score ≥ 3,0 → risco MÉDIO</w:t>
      </w:r>
    </w:p>
    <w:p>
      <w:pPr>
        <w:pStyle w:val="ListBullet"/>
      </w:pPr>
      <w:r>
        <w:t>Score &lt; 3,0 → risco ALTO</w:t>
      </w:r>
    </w:p>
    <w:p>
      <w:r>
        <w:rPr>
          <w:b w:val="0"/>
          <w:i w:val="0"/>
        </w:rPr>
        <w:t>Exemplo: 5/5 sem multas → 5,0 (Baixo); 3/3 → 3,0 (Médio); 1/1 com 5 multas → 1,0 (Alto).</w:t>
      </w:r>
    </w:p>
    <w:p>
      <w:pPr>
        <w:pStyle w:val="Heading2"/>
      </w:pPr>
      <w:r>
        <w:rPr>
          <w:color w:val="0E7C86"/>
          <w:sz w:val="26"/>
        </w:rPr>
        <w:t>A.11 Manutenção preventiva (agendamento)</w:t>
      </w:r>
    </w:p>
    <w:p>
      <w:r>
        <w:rPr>
          <w:b/>
          <w:i w:val="0"/>
        </w:rPr>
        <w:t>Regra de disparo:</w:t>
      </w:r>
    </w:p>
    <w:p>
      <w:r>
        <w:rPr>
          <w:b w:val="0"/>
          <w:i/>
        </w:rPr>
        <w:t xml:space="preserve">  O contrato está devido quando:</w:t>
        <w:br/>
        <w:t xml:space="preserve">    odômetro atual ≥ (próximo odômetro previsto − tolerância em km)  OU</w:t>
        <w:br/>
        <w:t xml:space="preserve">    data atual ≥ próxima data prevista</w:t>
      </w:r>
    </w:p>
    <w:p>
      <w:r>
        <w:rPr>
          <w:b/>
          <w:i w:val="0"/>
        </w:rPr>
        <w:t>Reagendamento após criar o ticket:</w:t>
      </w:r>
    </w:p>
    <w:p>
      <w:r>
        <w:rPr>
          <w:b w:val="0"/>
          <w:i/>
        </w:rPr>
        <w:t xml:space="preserve">  próximo odômetro = odômetro da ÚLTIMA preventiva + intervalo do plano</w:t>
        <w:br/>
        <w:t xml:space="preserve">  próxima data = data da última preventiva + 6 meses</w:t>
      </w:r>
    </w:p>
    <w:p>
      <w:r>
        <w:rPr>
          <w:b w:val="0"/>
          <w:i/>
        </w:rPr>
        <w:t xml:space="preserve">  (no primeiro ciclo, sem preventiva anterior, o próximo odômetro é o primeiro</w:t>
        <w:br/>
        <w:t xml:space="preserve">   múltiplo do intervalo acima do odômetro atual — nunca um valor já vencido)</w:t>
      </w:r>
    </w:p>
    <w:p>
      <w:pPr>
        <w:pStyle w:val="ListBullet"/>
      </w:pPr>
      <w:r>
        <w:t>Intervalo vem das linhas do plano de manutenção (KM Interval)</w:t>
      </w:r>
    </w:p>
    <w:p>
      <w:pPr>
        <w:pStyle w:val="ListBullet"/>
      </w:pPr>
      <w:r>
        <w:t>Tolerância padrão: 500 km (configurável no plano)</w:t>
      </w:r>
    </w:p>
    <w:p>
      <w:pPr>
        <w:pStyle w:val="ListBullet"/>
      </w:pPr>
      <w:r>
        <w:t>Idempotente: rodar a geração duas vezes não cria ticket duplicado</w:t>
      </w:r>
    </w:p>
    <w:p>
      <w:r>
        <w:rPr>
          <w:b w:val="0"/>
          <w:i w:val="0"/>
        </w:rPr>
        <w:t>Exemplo: plano de 10.000 km, próximo previsto em 20.000 km, veículo com 19.600 km → 19.600 ≥ (20.000 − 500), cria o ticket; como a última preventiva foi aos 20.000, reagenda para 30.000 km.</w:t>
      </w:r>
    </w:p>
    <w:p>
      <w:pPr>
        <w:pStyle w:val="Heading2"/>
      </w:pPr>
      <w:r>
        <w:rPr>
          <w:color w:val="0E7C86"/>
          <w:sz w:val="26"/>
        </w:rPr>
        <w:t>A.12 Preço de mão de obra (HH rate)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de mão de obra = horas × taxa HH vigente</w:t>
      </w:r>
    </w:p>
    <w:p>
      <w:pPr>
        <w:pStyle w:val="ListBullet"/>
      </w:pPr>
      <w:r>
        <w:t>A taxa HH é por FORNECEDOR + TIPO DE SERVIÇO, com data de vigência</w:t>
      </w:r>
    </w:p>
    <w:p>
      <w:pPr>
        <w:pStyle w:val="ListBullet"/>
      </w:pPr>
      <w:r>
        <w:t>Vale sempre a taxa mais recente cuja vigência seja ≤ data do serviço</w:t>
      </w:r>
    </w:p>
    <w:p>
      <w:pPr>
        <w:pStyle w:val="ListBullet"/>
      </w:pPr>
      <w:r>
        <w:t>Tipo de serviço sem taxa cadastrada retorna 0 (não estima valor)</w:t>
      </w:r>
    </w:p>
    <w:p>
      <w:r>
        <w:rPr>
          <w:b w:val="0"/>
          <w:i w:val="0"/>
        </w:rPr>
        <w:t>Exemplo: tabela com R$ 120/h vigente e R$ 180/h a partir do próximo mês → serviço hoje usa R$ 120/h.</w:t>
      </w:r>
    </w:p>
    <w:p>
      <w:pPr>
        <w:pStyle w:val="Heading2"/>
      </w:pPr>
      <w:r>
        <w:rPr>
          <w:color w:val="0E7C86"/>
          <w:sz w:val="26"/>
        </w:rPr>
        <w:t>A.13 Resumo dos limites (caps) do sistema</w:t>
      </w:r>
    </w:p>
    <w:p>
      <w:r>
        <w:rPr>
          <w:b w:val="0"/>
          <w:i w:val="0"/>
        </w:rPr>
        <w:t>Tabela de limites: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Parametrização</w:t>
            </w:r>
          </w:p>
        </w:tc>
      </w:tr>
      <w:tr>
        <w:tc>
          <w:tcPr>
            <w:tcW w:type="dxa" w:w="2160"/>
          </w:tcPr>
          <w:p>
            <w:r>
              <w:t>Excesso de km</w:t>
            </w:r>
          </w:p>
        </w:tc>
        <w:tc>
          <w:tcPr>
            <w:tcW w:type="dxa" w:w="2160"/>
          </w:tcPr>
          <w:p>
            <w:r>
              <w:t>Booking Value do veículo</w:t>
            </w:r>
          </w:p>
        </w:tc>
        <w:tc>
          <w:tcPr>
            <w:tcW w:type="dxa" w:w="2160"/>
          </w:tcPr>
          <w:p>
            <w:r>
              <w:t>Cadastro do veículo</w:t>
            </w:r>
          </w:p>
        </w:tc>
        <w:tc>
          <w:tcPr>
            <w:tcW w:type="dxa" w:w="2160"/>
          </w:tcPr>
          <w:p>
            <w:r>
              <w:t>Fixa</w:t>
            </w:r>
          </w:p>
        </w:tc>
      </w:tr>
      <w:tr>
        <w:tc>
          <w:tcPr>
            <w:tcW w:type="dxa" w:w="2160"/>
          </w:tcPr>
          <w:p>
            <w:r>
              <w:t>Crédito de serviço</w:t>
            </w:r>
          </w:p>
        </w:tc>
        <w:tc>
          <w:tcPr>
            <w:tcW w:type="dxa" w:w="2160"/>
          </w:tcPr>
          <w:p>
            <w:r>
              <w:t>2%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  <w:tr>
        <w:tc>
          <w:tcPr>
            <w:tcW w:type="dxa" w:w="2160"/>
          </w:tcPr>
          <w:p>
            <w:r>
              <w:t>Penalidade de SLA</w:t>
            </w:r>
          </w:p>
        </w:tc>
        <w:tc>
          <w:tcPr>
            <w:tcW w:type="dxa" w:w="2160"/>
          </w:tcPr>
          <w:p>
            <w:r>
              <w:t>Penalty Cap 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Por contrato (SLA)</w:t>
            </w:r>
          </w:p>
        </w:tc>
      </w:tr>
      <w:tr>
        <w:tc>
          <w:tcPr>
            <w:tcW w:type="dxa" w:w="2160"/>
          </w:tcPr>
          <w:p>
            <w:r>
              <w:t>Reajuste por índice</w:t>
            </w:r>
          </w:p>
        </w:tc>
        <w:tc>
          <w:tcPr>
            <w:tcW w:type="dxa" w:w="2160"/>
          </w:tcPr>
          <w:p>
            <w:r>
              <w:t>Index Cap % do contrato</w:t>
            </w:r>
          </w:p>
        </w:tc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Por contrato (0 = sem cap)</w:t>
            </w:r>
          </w:p>
        </w:tc>
      </w:tr>
      <w:tr>
        <w:tc>
          <w:tcPr>
            <w:tcW w:type="dxa" w:w="2160"/>
          </w:tcPr>
          <w:p>
            <w:r>
              <w:t>Preço de seminovo</w:t>
            </w:r>
          </w:p>
        </w:tc>
        <w:tc>
          <w:tcPr>
            <w:tcW w:type="dxa" w:w="2160"/>
          </w:tcPr>
          <w:p>
            <w:r>
              <w:t>Depreciação máx. 15%</w:t>
            </w:r>
          </w:p>
        </w:tc>
        <w:tc>
          <w:tcPr>
            <w:tcW w:type="dxa" w:w="2160"/>
          </w:tcPr>
          <w:p>
            <w:r>
              <w:t>Odômetro do veículo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B45000"/>
        </w:rPr>
        <w:t>⚠ Os valores de cap marcados como 'Fixa no código' são regra de negócio acordada — alterá-los exige nova versão do app, não configuração de tela.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B — Onde cada valor aparece</w:t>
      </w:r>
    </w:p>
    <w:p>
      <w:r>
        <w:rPr>
          <w:b w:val="0"/>
          <w:i w:val="0"/>
        </w:rPr>
        <w:t>Rastreabilidade entre o cálculo e a tela onde o número pode ser conferido.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Tela / 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Origem do cálculo</w:t>
            </w:r>
          </w:p>
        </w:tc>
      </w:tr>
      <w:tr>
        <w:tc>
          <w:tcPr>
            <w:tcW w:type="dxa" w:w="2880"/>
          </w:tcPr>
          <w:p>
            <w:r>
              <w:t>Tarifa mensal da cotação</w:t>
            </w:r>
          </w:p>
        </w:tc>
        <w:tc>
          <w:tcPr>
            <w:tcW w:type="dxa" w:w="2880"/>
          </w:tcPr>
          <w:p>
            <w:r>
              <w:t>Quote Item → Monthly Tariff</w:t>
            </w:r>
          </w:p>
        </w:tc>
        <w:tc>
          <w:tcPr>
            <w:tcW w:type="dxa" w:w="2880"/>
          </w:tcPr>
          <w:p>
            <w:r>
              <w:t>A.1 — goal seek Target ROI</w:t>
            </w:r>
          </w:p>
        </w:tc>
      </w:tr>
      <w:tr>
        <w:tc>
          <w:tcPr>
            <w:tcW w:type="dxa" w:w="2880"/>
          </w:tcPr>
          <w:p>
            <w:r>
              <w:t>Faturamento do mês</w:t>
            </w:r>
          </w:p>
        </w:tc>
        <w:tc>
          <w:tcPr>
            <w:tcW w:type="dxa" w:w="2880"/>
          </w:tcPr>
          <w:p>
            <w:r>
              <w:t>Billing Lines → Amount</w:t>
            </w:r>
          </w:p>
        </w:tc>
        <w:tc>
          <w:tcPr>
            <w:tcW w:type="dxa" w:w="2880"/>
          </w:tcPr>
          <w:p>
            <w:r>
              <w:t>A.2 — condição × prorrata</w:t>
            </w:r>
          </w:p>
        </w:tc>
      </w:tr>
      <w:tr>
        <w:tc>
          <w:tcPr>
            <w:tcW w:type="dxa" w:w="2880"/>
          </w:tcPr>
          <w:p>
            <w:r>
              <w:t>Excesso de km</w:t>
            </w:r>
          </w:p>
        </w:tc>
        <w:tc>
          <w:tcPr>
            <w:tcW w:type="dxa" w:w="2880"/>
          </w:tcPr>
          <w:p>
            <w:r>
              <w:t>Vehicle Return → Mileage Excess Charge</w:t>
            </w:r>
          </w:p>
        </w:tc>
        <w:tc>
          <w:tcPr>
            <w:tcW w:type="dxa" w:w="2880"/>
          </w:tcPr>
          <w:p>
            <w:r>
              <w:t>A.3 — 2 faixas + cap FIPE</w:t>
            </w:r>
          </w:p>
        </w:tc>
      </w:tr>
      <w:tr>
        <w:tc>
          <w:tcPr>
            <w:tcW w:type="dxa" w:w="2880"/>
          </w:tcPr>
          <w:p>
            <w:r>
              <w:t>Crédito de serviço</w:t>
            </w:r>
          </w:p>
        </w:tc>
        <w:tc>
          <w:tcPr>
            <w:tcW w:type="dxa" w:w="2880"/>
          </w:tcPr>
          <w:p>
            <w:r>
              <w:t>Billing Line (negativa, SVC-CREDIT)</w:t>
            </w:r>
          </w:p>
        </w:tc>
        <w:tc>
          <w:tcPr>
            <w:tcW w:type="dxa" w:w="2880"/>
          </w:tcPr>
          <w:p>
            <w:r>
              <w:t>A.4 — dias × mensalidade/30, cap 2%</w:t>
            </w:r>
          </w:p>
        </w:tc>
      </w:tr>
      <w:tr>
        <w:tc>
          <w:tcPr>
            <w:tcW w:type="dxa" w:w="2880"/>
          </w:tcPr>
          <w:p>
            <w:r>
              <w:t>Penalidade de SLA</w:t>
            </w:r>
          </w:p>
        </w:tc>
        <w:tc>
          <w:tcPr>
            <w:tcW w:type="dxa" w:w="2880"/>
          </w:tcPr>
          <w:p>
            <w:r>
              <w:t>SLA Violation → Penalty Amount</w:t>
            </w:r>
          </w:p>
        </w:tc>
        <w:tc>
          <w:tcPr>
            <w:tcW w:type="dxa" w:w="2880"/>
          </w:tcPr>
          <w:p>
            <w:r>
              <w:t>A.5 — horas excedentes × valor/hora</w:t>
            </w:r>
          </w:p>
        </w:tc>
      </w:tr>
      <w:tr>
        <w:tc>
          <w:tcPr>
            <w:tcW w:type="dxa" w:w="2880"/>
          </w:tcPr>
          <w:p>
            <w:r>
              <w:t>Reajuste aplicado</w:t>
            </w:r>
          </w:p>
        </w:tc>
        <w:tc>
          <w:tcPr>
            <w:tcW w:type="dxa" w:w="2880"/>
          </w:tcPr>
          <w:p>
            <w:r>
              <w:t>Adjustment Ledger → Cap Applied %</w:t>
            </w:r>
          </w:p>
        </w:tc>
        <w:tc>
          <w:tcPr>
            <w:tcW w:type="dxa" w:w="2880"/>
          </w:tcPr>
          <w:p>
            <w:r>
              <w:t>A.6 — menor(índice, cap)</w:t>
            </w:r>
          </w:p>
        </w:tc>
      </w:tr>
      <w:tr>
        <w:tc>
          <w:tcPr>
            <w:tcW w:type="dxa" w:w="2880"/>
          </w:tcPr>
          <w:p>
            <w:r>
              <w:t>Preço de oferta</w:t>
            </w:r>
          </w:p>
        </w:tc>
        <w:tc>
          <w:tcPr>
            <w:tcW w:type="dxa" w:w="2880"/>
          </w:tcPr>
          <w:p>
            <w:r>
              <w:t>Remarketing Offer → Offer Price</w:t>
            </w:r>
          </w:p>
        </w:tc>
        <w:tc>
          <w:tcPr>
            <w:tcW w:type="dxa" w:w="2880"/>
          </w:tcPr>
          <w:p>
            <w:r>
              <w:t>A.7 — média ponderada − km</w:t>
            </w:r>
          </w:p>
        </w:tc>
      </w:tr>
      <w:tr>
        <w:tc>
          <w:tcPr>
            <w:tcW w:type="dxa" w:w="2880"/>
          </w:tcPr>
          <w:p>
            <w:r>
              <w:t>Cobrança de device</w:t>
            </w:r>
          </w:p>
        </w:tc>
        <w:tc>
          <w:tcPr>
            <w:tcW w:type="dxa" w:w="2880"/>
          </w:tcPr>
          <w:p>
            <w:r>
              <w:t>Device Aging Charge → Charge Amount</w:t>
            </w:r>
          </w:p>
        </w:tc>
        <w:tc>
          <w:tcPr>
            <w:tcW w:type="dxa" w:w="2880"/>
          </w:tcPr>
          <w:p>
            <w:r>
              <w:t>A.8 — dias × tarifa diária</w:t>
            </w:r>
          </w:p>
        </w:tc>
      </w:tr>
      <w:tr>
        <w:tc>
          <w:tcPr>
            <w:tcW w:type="dxa" w:w="2880"/>
          </w:tcPr>
          <w:p>
            <w:r>
              <w:t>Total do encerramento</w:t>
            </w:r>
          </w:p>
        </w:tc>
        <w:tc>
          <w:tcPr>
            <w:tcW w:type="dxa" w:w="2880"/>
          </w:tcPr>
          <w:p>
            <w:r>
              <w:t>Settlement → Total</w:t>
            </w:r>
          </w:p>
        </w:tc>
        <w:tc>
          <w:tcPr>
            <w:tcW w:type="dxa" w:w="2880"/>
          </w:tcPr>
          <w:p>
            <w:r>
              <w:t>A.9 — soma de parcelas menos indenização</w:t>
            </w:r>
          </w:p>
        </w:tc>
      </w:tr>
      <w:tr>
        <w:tc>
          <w:tcPr>
            <w:tcW w:type="dxa" w:w="2880"/>
          </w:tcPr>
          <w:p>
            <w:r>
              <w:t>Score do cliente</w:t>
            </w:r>
          </w:p>
        </w:tc>
        <w:tc>
          <w:tcPr>
            <w:tcW w:type="dxa" w:w="2880"/>
          </w:tcPr>
          <w:p>
            <w:r>
              <w:t>Contract Evaluation → Overall Score</w:t>
            </w:r>
          </w:p>
        </w:tc>
        <w:tc>
          <w:tcPr>
            <w:tcW w:type="dxa" w:w="2880"/>
          </w:tcPr>
          <w:p>
            <w:r>
              <w:t>A.10 — média penalizada por multas</w:t>
            </w:r>
          </w:p>
        </w:tc>
      </w:tr>
      <w:tr>
        <w:tc>
          <w:tcPr>
            <w:tcW w:type="dxa" w:w="2880"/>
          </w:tcPr>
          <w:p>
            <w:r>
              <w:t>Próximo serviço</w:t>
            </w:r>
          </w:p>
        </w:tc>
        <w:tc>
          <w:tcPr>
            <w:tcW w:type="dxa" w:w="2880"/>
          </w:tcPr>
          <w:p>
            <w:r>
              <w:t>Vehicle Contract → Next Preventive Odometer</w:t>
            </w:r>
          </w:p>
        </w:tc>
        <w:tc>
          <w:tcPr>
            <w:tcW w:type="dxa" w:w="2880"/>
          </w:tcPr>
          <w:p>
            <w:r>
              <w:t>A.11 — múltiplo do intervalo</w:t>
            </w:r>
          </w:p>
        </w:tc>
      </w:tr>
      <w:tr>
        <w:tc>
          <w:tcPr>
            <w:tcW w:type="dxa" w:w="2880"/>
          </w:tcPr>
          <w:p>
            <w:r>
              <w:t>Mão de obra</w:t>
            </w:r>
          </w:p>
        </w:tc>
        <w:tc>
          <w:tcPr>
            <w:tcW w:type="dxa" w:w="2880"/>
          </w:tcPr>
          <w:p>
            <w:r>
              <w:t>Maint Ticket Line → Amount</w:t>
            </w:r>
          </w:p>
        </w:tc>
        <w:tc>
          <w:tcPr>
            <w:tcW w:type="dxa" w:w="2880"/>
          </w:tcPr>
          <w:p>
            <w:r>
              <w:t>A.12 — horas × taxa HH vigente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C — Configuração do sistema</w:t>
      </w:r>
    </w:p>
    <w:p>
      <w:r>
        <w:rPr>
          <w:b w:val="0"/>
          <w:i w:val="0"/>
        </w:rPr>
        <w:t>Como o Kinto é configurado: onde ficam os parâmetros, o que é por empresa e o que é por país, e como validar que está correto.</w:t>
      </w:r>
    </w:p>
    <w:p>
      <w:pPr>
        <w:pStyle w:val="Heading2"/>
      </w:pPr>
      <w:r>
        <w:rPr>
          <w:color w:val="0E7C86"/>
          <w:sz w:val="26"/>
        </w:rPr>
        <w:t>C.1 Vínculo empresa → país (passo obrigatório)</w:t>
      </w:r>
    </w:p>
    <w:p>
      <w:r>
        <w:rPr>
          <w:b/>
          <w:i w:val="0"/>
        </w:rPr>
        <w:t>Cada empresa do Business Central aponta para UM KINTO Country Setup. Esse vínculo define TODAS as regras que o sistema aplica: séries de numeração, impostos, limites de cálculo e caps.</w:t>
      </w:r>
    </w:p>
    <w:p>
      <w:r>
        <w:rPr>
          <w:b w:val="0"/>
          <w:i w:val="0"/>
        </w:rPr>
        <w:t>Onde: página Company Information (Informações da Empresa) → campo KINTO Country.</w:t>
      </w:r>
    </w:p>
    <w:p>
      <w:r>
        <w:rPr>
          <w:b w:val="0"/>
          <w:i/>
        </w:rPr>
        <w:t>Por que existe: uma mesma instalação pode atender operações com regras diferentes (Brasil e Argentina, por exemplo). Sem o vínculo, o sistema não tem como saber qual regra aplicar e usa o default histórico — que pode estar errado.</w:t>
      </w:r>
    </w:p>
    <w:p>
      <w:r>
        <w:rPr>
          <w:b/>
          <w:i w:val="0"/>
        </w:rPr>
        <w:t>Sequência de resolução usada por todos os processos:</w:t>
      </w:r>
    </w:p>
    <w:p>
      <w:pPr>
        <w:pStyle w:val="ListBullet"/>
      </w:pPr>
      <w:r>
        <w:t>1º — KINTO Country da Company Information (o vínculo explícito)</w:t>
      </w:r>
    </w:p>
    <w:p>
      <w:pPr>
        <w:pStyle w:val="ListBullet"/>
      </w:pPr>
      <w:r>
        <w:t>2º — país do documento (contrato, cotação, veículo), quando a empresa não foi configurada</w:t>
      </w:r>
    </w:p>
    <w:p>
      <w:pPr>
        <w:pStyle w:val="ListBullet"/>
      </w:pPr>
      <w:r>
        <w:t>3º — o único Country Setup existente (compatibilidade com base de um país só)</w:t>
      </w:r>
    </w:p>
    <w:p>
      <w:pPr>
        <w:pStyle w:val="ListBullet"/>
      </w:pPr>
      <w:r>
        <w:t>4º — erro explícito, nunca um valor adivinhado</w:t>
      </w:r>
    </w:p>
    <w:p>
      <w:r>
        <w:rPr>
          <w:b/>
          <w:i w:val="0"/>
        </w:rPr>
        <w:t>A atualização do app preenche o vínculo automaticamente: respeita o que já estiver configurado, senão usa o setup único, senão assume BR como default histórico. Sempre confira na tela após atualizar.</w:t>
      </w:r>
    </w:p>
    <w:p>
      <w:pPr>
        <w:pStyle w:val="Heading2"/>
      </w:pPr>
      <w:r>
        <w:rPr>
          <w:color w:val="0E7C86"/>
          <w:sz w:val="26"/>
        </w:rPr>
        <w:t>C.2 KINTO Country Setup — o hub de configuração</w:t>
      </w:r>
    </w:p>
    <w:p>
      <w:r>
        <w:rPr>
          <w:b w:val="0"/>
          <w:i w:val="0"/>
        </w:rPr>
        <w:t>Tela: busca → "KINTO Country Setup". Um registro por país. 91 campos, organizados em 14 grupos.</w:t>
      </w:r>
    </w:p>
    <w:p>
      <w:r>
        <w:rPr>
          <w:b/>
          <w:i w:val="0"/>
        </w:rPr>
        <w:t>Grupos e o que controlam: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configura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Metodologia de precificação, moeda, parada de emergência</w:t>
            </w:r>
          </w:p>
        </w:tc>
      </w:tr>
      <w:tr>
        <w:tc>
          <w:tcPr>
            <w:tcW w:type="dxa" w:w="4320"/>
          </w:tcPr>
          <w:p>
            <w:r>
              <w:t>Number Series</w:t>
            </w:r>
          </w:p>
        </w:tc>
        <w:tc>
          <w:tcPr>
            <w:tcW w:type="dxa" w:w="4320"/>
          </w:tcPr>
          <w:p>
            <w:r>
              <w:t>Séries de cotação, contrato, condição, faturamento, ticket, devolução, substituição, encerramento, recovery, sinistro, multa, apólice, dispositivo, veículo, aprovação</w:t>
            </w:r>
          </w:p>
        </w:tc>
      </w:tr>
      <w:tr>
        <w:tc>
          <w:tcPr>
            <w:tcW w:type="dxa" w:w="4320"/>
          </w:tcPr>
          <w:p>
            <w:r>
              <w:t>Number Series — Remarketing &amp; Contracts</w:t>
            </w:r>
          </w:p>
        </w:tc>
        <w:tc>
          <w:tcPr>
            <w:tcW w:type="dxa" w:w="4320"/>
          </w:tcPr>
          <w:p>
            <w:r>
              <w:t>Séries de oferta, venda de seminovo, avaliação de contrato e pré-fechamento</w:t>
            </w:r>
          </w:p>
        </w:tc>
      </w:tr>
      <w:tr>
        <w:tc>
          <w:tcPr>
            <w:tcW w:type="dxa" w:w="4320"/>
          </w:tcPr>
          <w:p>
            <w:r>
              <w:t>Calculation Limits and Caps</w:t>
            </w:r>
          </w:p>
        </w:tc>
        <w:tc>
          <w:tcPr>
            <w:tcW w:type="dxa" w:w="4320"/>
          </w:tcPr>
          <w:p>
            <w:r>
              <w:t>Faixa 1 de excesso de km, cap de crédito de serviço, cap de penalidade SLA, limite de destruição total, depreciação de seminovo, diária de dispositivo</w:t>
            </w:r>
          </w:p>
        </w:tc>
      </w:tr>
      <w:tr>
        <w:tc>
          <w:tcPr>
            <w:tcW w:type="dxa" w:w="4320"/>
          </w:tcPr>
          <w:p>
            <w:r>
              <w:t>Maintenance and Contract Rules</w:t>
            </w:r>
          </w:p>
        </w:tc>
        <w:tc>
          <w:tcPr>
            <w:tcW w:type="dxa" w:w="4320"/>
          </w:tcPr>
          <w:p>
            <w:r>
              <w:t>Intervalo de preventiva, tolerância de odômetro, dias de aviso de vencimento, auto-extensão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Alíquotas federal/estadual/municipal, PIS/COFINS, ISS, stamp tax e suas descrições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Taxa de juros, spread, inflação, risco de crédito por faixa</w:t>
            </w:r>
          </w:p>
        </w:tc>
      </w:tr>
      <w:tr>
        <w:tc>
          <w:tcPr>
            <w:tcW w:type="dxa" w:w="4320"/>
          </w:tcPr>
          <w:p>
            <w:r>
              <w:t>Fleet Operations</w:t>
            </w:r>
          </w:p>
        </w:tc>
        <w:tc>
          <w:tcPr>
            <w:tcW w:type="dxa" w:w="4320"/>
          </w:tcPr>
          <w:p>
            <w:r>
              <w:t>Fleet Behavior, SLAs de desmobilização, aging de dispositivo, reconciliação de fechamento</w:t>
            </w:r>
          </w:p>
        </w:tc>
      </w:tr>
      <w:tr>
        <w:tc>
          <w:tcPr>
            <w:tcW w:type="dxa" w:w="4320"/>
          </w:tcPr>
          <w:p>
            <w:r>
              <w:t>CreditRisk / Pricing / UsedVehicles / Mileage / Dates / CashFlow</w:t>
            </w:r>
          </w:p>
        </w:tc>
        <w:tc>
          <w:tcPr>
            <w:tcW w:type="dxa" w:w="4320"/>
          </w:tcPr>
          <w:p>
            <w:r>
              <w:t>Parâmetros de cada motor de cálculo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C.3 Séries de numeração</w:t>
      </w:r>
    </w:p>
    <w:p>
      <w:r>
        <w:rPr>
          <w:b/>
          <w:i w:val="0"/>
        </w:rPr>
        <w:t>Todas as séries são configuráveis — nenhuma está fixa no código. Se o campo estiver vazio, o sistema usa a série histórica como fallback (nada quebra), mas o recomendado é preencher.</w:t>
      </w:r>
    </w:p>
    <w:p>
      <w:r>
        <w:rPr>
          <w:b/>
          <w:i w:val="0"/>
        </w:rPr>
        <w:t>Séries criadas na instalação e na atualização:</w:t>
      </w:r>
    </w:p>
    <w:p>
      <w:pPr>
        <w:pStyle w:val="ListBullet"/>
      </w:pPr>
      <w:r>
        <w:t>KINTO-QUOTE (cotações), KINTO-CONTR (contratos), KINTO-COND (condições)</w:t>
      </w:r>
    </w:p>
    <w:p>
      <w:pPr>
        <w:pStyle w:val="ListBullet"/>
      </w:pPr>
      <w:r>
        <w:t>KINTO-TICK (tickets), KINTO-RET (devoluções), KINTO-SUB (substituições)</w:t>
      </w:r>
    </w:p>
    <w:p>
      <w:pPr>
        <w:pStyle w:val="ListBullet"/>
      </w:pPr>
      <w:r>
        <w:t>KINTO-STL (encerramentos), KINTO-REC (recovery), KINTO-RET</w:t>
      </w:r>
    </w:p>
    <w:p>
      <w:pPr>
        <w:pStyle w:val="ListBullet"/>
      </w:pPr>
      <w:r>
        <w:t>KINTO-CLM (sinistros), KINTO-FINE (multas), KINTO-POL (apólices)</w:t>
      </w:r>
    </w:p>
    <w:p>
      <w:pPr>
        <w:pStyle w:val="ListBullet"/>
      </w:pPr>
      <w:r>
        <w:t>KINTO-DEV (dispositivos), KINTO-VEH (veículos), KINTO-APPR (aprovações)</w:t>
      </w:r>
    </w:p>
    <w:p>
      <w:pPr>
        <w:pStyle w:val="ListBullet"/>
      </w:pPr>
      <w:r>
        <w:t>KINTO-RMK (ofertas), KINTO-RMS (vendas de seminovo)</w:t>
      </w:r>
    </w:p>
    <w:p>
      <w:pPr>
        <w:pStyle w:val="ListBullet"/>
      </w:pPr>
      <w:r>
        <w:t>KINTO-EVAL (avaliações), KINTO-PCL (pré-fechamentos)</w:t>
      </w:r>
    </w:p>
    <w:p>
      <w:r>
        <w:rPr>
          <w:b/>
          <w:color w:val="B45000"/>
        </w:rPr>
        <w:t>⚠ Série ausente era a causa do erro "Já existe o registro": o documento nascia sem número e o segundo registro colidia. A atualização cria as séries que faltarem.</w:t>
      </w:r>
    </w:p>
    <w:p>
      <w:pPr>
        <w:pStyle w:val="Heading2"/>
      </w:pPr>
      <w:r>
        <w:rPr>
          <w:color w:val="0E7C86"/>
          <w:sz w:val="26"/>
        </w:rPr>
        <w:t>C.4 Limites de cálculo — o que era fixo e agora é configurável</w:t>
      </w:r>
    </w:p>
    <w:p>
      <w:r>
        <w:rPr>
          <w:b/>
          <w:i w:val="0"/>
        </w:rPr>
        <w:t>Estes valores estavam no código e agora são parâmetros por país. Alterá-los muda o cálculo imediatamente, sem publicar nova versão do 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t>Excess Km Band 1 %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Até quanto do km contratado paga a tarifa 1 (acima vai para tarifa 2)</w:t>
            </w:r>
          </w:p>
        </w:tc>
      </w:tr>
      <w:tr>
        <w:tc>
          <w:tcPr>
            <w:tcW w:type="dxa" w:w="2880"/>
          </w:tcPr>
          <w:p>
            <w:r>
              <w:t>Service Credit Cap %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Teto do crédito de serviço sobre o faturamento do mês</w:t>
            </w:r>
          </w:p>
        </w:tc>
      </w:tr>
      <w:tr>
        <w:tc>
          <w:tcPr>
            <w:tcW w:type="dxa" w:w="2880"/>
          </w:tcPr>
          <w:p>
            <w:r>
              <w:t>SLA Penalty Cap %</w:t>
            </w:r>
          </w:p>
        </w:tc>
        <w:tc>
          <w:tcPr>
            <w:tcW w:type="dxa" w:w="2880"/>
          </w:tcPr>
          <w:p>
            <w:r>
              <w:t>0 (sem cap)</w:t>
            </w:r>
          </w:p>
        </w:tc>
        <w:tc>
          <w:tcPr>
            <w:tcW w:type="dxa" w:w="2880"/>
          </w:tcPr>
          <w:p>
            <w:r>
              <w:t>Teto de penalidade de SLA quando o contrato não define o seu</w:t>
            </w:r>
          </w:p>
        </w:tc>
      </w:tr>
      <w:tr>
        <w:tc>
          <w:tcPr>
            <w:tcW w:type="dxa" w:w="2880"/>
          </w:tcPr>
          <w:p>
            <w:r>
              <w:t>Preventive Interval Months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Intervalo padrão de reagendamento da preventiva</w:t>
            </w:r>
          </w:p>
        </w:tc>
      </w:tr>
      <w:tr>
        <w:tc>
          <w:tcPr>
            <w:tcW w:type="dxa" w:w="2880"/>
          </w:tcPr>
          <w:p>
            <w:r>
              <w:t>Contract Notice Days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Antecedência do aviso de vencimento</w:t>
            </w:r>
          </w:p>
        </w:tc>
      </w:tr>
      <w:tr>
        <w:tc>
          <w:tcPr>
            <w:tcW w:type="dxa" w:w="2880"/>
          </w:tcPr>
          <w:p>
            <w:r>
              <w:t>Auto Extend Contracts</w:t>
            </w:r>
          </w:p>
        </w:tc>
        <w:tc>
          <w:tcPr>
            <w:tcW w:type="dxa" w:w="2880"/>
          </w:tcPr>
          <w:p>
            <w:r>
              <w:t>desligado no BR</w:t>
            </w:r>
          </w:p>
        </w:tc>
        <w:tc>
          <w:tcPr>
            <w:tcW w:type="dxa" w:w="2880"/>
          </w:tcPr>
          <w:p>
            <w:r>
              <w:t>Renova contrato vencido automaticamente</w:t>
            </w:r>
          </w:p>
        </w:tc>
      </w:tr>
      <w:tr>
        <w:tc>
          <w:tcPr>
            <w:tcW w:type="dxa" w:w="2880"/>
          </w:tcPr>
          <w:p>
            <w:r>
              <w:t>Remarketing Km Deprec. Base / %</w:t>
            </w:r>
          </w:p>
        </w:tc>
        <w:tc>
          <w:tcPr>
            <w:tcW w:type="dxa" w:w="2880"/>
          </w:tcPr>
          <w:p>
            <w:r>
              <w:t>300.000 km / 15%</w:t>
            </w:r>
          </w:p>
        </w:tc>
        <w:tc>
          <w:tcPr>
            <w:tcW w:type="dxa" w:w="2880"/>
          </w:tcPr>
          <w:p>
            <w:r>
              <w:t>Base e teto da depreciação por km do seminovo</w:t>
            </w:r>
          </w:p>
        </w:tc>
      </w:tr>
      <w:tr>
        <w:tc>
          <w:tcPr>
            <w:tcW w:type="dxa" w:w="2880"/>
          </w:tcPr>
          <w:p>
            <w:r>
              <w:t>Device Daily Charge</w:t>
            </w:r>
          </w:p>
        </w:tc>
        <w:tc>
          <w:tcPr>
            <w:tcW w:type="dxa" w:w="2880"/>
          </w:tcPr>
          <w:p>
            <w:r>
              <w:t>5,00</w:t>
            </w:r>
          </w:p>
        </w:tc>
        <w:tc>
          <w:tcPr>
            <w:tcW w:type="dxa" w:w="2880"/>
          </w:tcPr>
          <w:p>
            <w:r>
              <w:t>Diária de armazenagem cobrada do fornecedor</w:t>
            </w:r>
          </w:p>
        </w:tc>
      </w:tr>
      <w:tr>
        <w:tc>
          <w:tcPr>
            <w:tcW w:type="dxa" w:w="2880"/>
          </w:tcPr>
          <w:p>
            <w:r>
              <w:t>Total Loss Threshold 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Relação dano/valor que caracteriza perda total</w:t>
            </w:r>
          </w:p>
        </w:tc>
      </w:tr>
      <w:tr>
        <w:tc>
          <w:tcPr>
            <w:tcW w:type="dxa" w:w="2880"/>
          </w:tcPr>
          <w:p>
            <w:r>
              <w:t>Odometer Tolerance (km)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Tolerância para disparar preventiva por km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C.5 Roteiro de validação após atualizar</w:t>
      </w:r>
    </w:p>
    <w:p>
      <w:r>
        <w:rPr>
          <w:b/>
          <w:i w:val="0"/>
        </w:rPr>
        <w:t>Confira nesta ordem:</w:t>
      </w:r>
    </w:p>
    <w:p>
      <w:pPr>
        <w:pStyle w:val="ListBullet"/>
      </w:pPr>
      <w:r>
        <w:t>1. Company Information → KINTO Country está preenchido com o país correto</w:t>
      </w:r>
    </w:p>
    <w:p>
      <w:pPr>
        <w:pStyle w:val="ListBullet"/>
      </w:pPr>
      <w:r>
        <w:t>2. KINTO Country Setup → grupo Number Series: todas as séries preenchidas</w:t>
      </w:r>
    </w:p>
    <w:p>
      <w:pPr>
        <w:pStyle w:val="ListBullet"/>
      </w:pPr>
      <w:r>
        <w:t>3. KINTO Country Setup → Calculation Limits: valores conforme a política comercial</w:t>
      </w:r>
    </w:p>
    <w:p>
      <w:pPr>
        <w:pStyle w:val="ListBullet"/>
      </w:pPr>
      <w:r>
        <w:t>4. Rodar Run All Tests (45 cenários) — o cenário "Setup: empresa vinculada ao Country Setup" falha se o vínculo estiver ausente ou apontando para país inexistente</w:t>
      </w:r>
    </w:p>
    <w:p>
      <w:pPr>
        <w:pStyle w:val="ListBullet"/>
      </w:pPr>
      <w:r>
        <w:t>5. Criar um contrato novo e conferir se o número saiu pela série configurada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