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As citações bíblicas seguem a tradução de João Ferreira de Almeida, Revista e Corrigida (ARC), salvo quando indicada a Revista e Atualizada (ARA).</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81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90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101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153</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Então me fiz uma pergunta: Deus deu uma ordem, e quem a executou? Ninguém. Não havia ainda ninguém para executá-la. Foi a própria intenção de Deus que vibrou através das duas grandezas infinitas, o som e o número, e assim o universo foi sendo construído. A ordem não precisou de um executor, porque a palavra de Deus já é ação. E o som, na sua vibração maior, reverbera: continua ecoando na criação até hoje. Com o universo vieram também os paralelos de tudo, o sim e o não, o dentro e o fora, o alto e o baixo, e, dentro de nós, o consciente e o inconsciente.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há pouco,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Como adiantei no prólogo, 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como também já disse no prólogo.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estudaram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Como vimos no prólogo, a primeira coisa que Deus fez na criação foi falar. Antes de existir qualquer forma, houve uma voz, e dela veio a luz. Por isso, depois de olhar para o ser humano, começo as grandezas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Volto ao versículo que já citei no prólogo: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mecânica quântica.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Como anunciei no prólogo,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aquele dó que volta de que falei no capítulo 2,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Já falei do olfato no primeiro capítulo, como o sentido tocado pelo sopro de Deus. Aqui olho para ele por outro ângulo.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como já lembrei no primeiro capítulo.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Lembra da parede de que falei no prólogo? O som, o número, a imagem e a semelhança são os tijolos.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como lembrei no primeiro capítulo, ouve sons que nós não ouvimos, e o gato também. Os dois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Há muitos relatos de animais que se agitam antes de terremotos e tempestades, e os cientistas ainda estudam o que, exatamente, eles percebem.</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Como vimos no capítulo 4, 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virtude” (Lucas 8:46). A palavra grega traduzida por virtude, ou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adufes e danças” (Salmo 150:4, ARA). Depois da travessia do Mar Vermelho, Miriã tomou o tamborim e as mulheres a seguiram com danças, cantando a vitória do Senhor (Êxodo 15:20–21). E Davi “saltava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no original grego de Marcos 11:25, o mesmo versículo que, como vimos no capítulo 4, liga a oração ao perdão, Jesus fala de quem está de pé, orando, e pede que perdoe.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Para mim,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E há ainda uma gratidão que não tem nome nem endereço. Não sei quem foi o doador do rim que hoje funciona no corpo da minha filha, e talvez nunca venha a saber. Sei apenas que, num dia de dor, uma família que eu não conheço disse sim. No meio da própria perda, escolheu que uma parte de quem partiu continuasse dando vida a outra pessoa. Para mim, essa é uma das vibrações mais altas que existem: o amor que se doa justamente na hora em que tudo dói.</w:t>
      </w:r>
    </w:p>
    <w:p>
      <w:pPr>
        <w:widowControl/>
        <w:spacing w:after="0" w:line="330" w:lineRule="exact"/>
        <w:ind w:firstLine="340"/>
        <w:jc w:val="both"/>
      </w:pPr>
      <w:r>
        <w:rPr>
          <w:rFonts w:ascii="Times New Roman" w:cs="Times New Roman" w:eastAsia="Times New Roman" w:hAnsi="Times New Roman"/>
          <w:sz w:val="24"/>
          <w:szCs w:val="24"/>
        </w:rPr>
        <w:t xml:space="preserve">A essa família, onde quer que esteja, deixo aqui o meu muito obrigado, assim mesmo, de coração para coração. Vocês talvez nunca vejam o sorriso da minha filha, mas ele existe também por causa de vocês. Sempre que agradeço a Deus pela vida dela, rezo também por vocês e por quem vocês perderam.</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widowControl/>
        <w:spacing w:after="0" w:line="330" w:lineRule="exact"/>
        <w:ind w:firstLine="340"/>
        <w:jc w:val="both"/>
      </w:pPr>
      <w:r>
        <w:rPr>
          <w:rFonts w:ascii="Times New Roman" w:cs="Times New Roman" w:eastAsia="Times New Roman" w:hAnsi="Times New Roman"/>
          <w:sz w:val="24"/>
          <w:szCs w:val="24"/>
        </w:rPr>
        <w:t xml:space="preserve">Anos depois, como contei há pouco, aquela mesma menina recebeu uma vida nova graças a outra família que também se despedia de alguém. Mais uma vez, uma despedida e um recomeço se encontraram.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Lembrando o fio do capítulo 4: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 aquele discernimento de que falei no capítulo 4.</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como vimos no capítulo 4,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keepNext/>
        <w:keepLines/>
        <w:spacing w:after="160" w:before="400"/>
      </w:pPr>
      <w:r>
        <w:rPr>
          <w:rFonts w:ascii="Times New Roman" w:cs="Times New Roman" w:eastAsia="Times New Roman" w:hAnsi="Times New Roman"/>
          <w:b/>
          <w:bCs/>
          <w:smallCaps/>
          <w:sz w:val="24"/>
          <w:szCs w:val="24"/>
        </w:rPr>
        <w:t xml:space="preserve">O bom e o seu oposto</w:t>
      </w:r>
    </w:p>
    <w:p>
      <w:pPr>
        <w:widowControl/>
        <w:spacing w:after="0" w:line="330" w:lineRule="exact"/>
        <w:ind w:firstLine="0"/>
        <w:jc w:val="both"/>
      </w:pPr>
      <w:r>
        <w:rPr>
          <w:rFonts w:ascii="Times New Roman" w:cs="Times New Roman" w:eastAsia="Times New Roman" w:hAnsi="Times New Roman"/>
          <w:sz w:val="24"/>
          <w:szCs w:val="24"/>
        </w:rPr>
        <w:t xml:space="preserve">A cada dia da criação, o texto repete: “e viu Deus que era bom” (Gênesis 1:10). Deus não precisou dizer que existia o contrário. Mas, ao chamar algo de bom, deixou subentendido que havia o outro lado. É nesse ato que surge o paralelo. Deus não precisou criar o mal para mostrar que ele também existe; bastou criar o bem. Santo Agostinho chegou a uma conclusão parecida nas suas Confissões: o mal não é uma coisa criada, é a ausência do bem, como a sombra que só aparece porque existe a luz.</w:t>
      </w:r>
    </w:p>
    <w:p>
      <w:pPr>
        <w:widowControl/>
        <w:spacing w:after="0" w:line="330" w:lineRule="exact"/>
        <w:ind w:firstLine="340"/>
        <w:jc w:val="both"/>
      </w:pPr>
      <w:r>
        <w:rPr>
          <w:rFonts w:ascii="Times New Roman" w:cs="Times New Roman" w:eastAsia="Times New Roman" w:hAnsi="Times New Roman"/>
          <w:sz w:val="24"/>
          <w:szCs w:val="24"/>
        </w:rPr>
        <w:t xml:space="preserve">Por isso, antes mesmo do fruto, o aviso já estava dado: “no dia em que dela comeres, certamente morrerás” (Gênesis 2:17). Morrer não é bom, e o homem já sabia disso de modo subjetivo, ainda que não conhecesse a morte. A árvore do conhecimento do bem e do mal não criou o mal. Trouxe ao homem a compreensão dele.</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no trecho que já citei ao contar a despedida da minha mãe: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keepNext/>
        <w:keepLines/>
        <w:spacing w:after="160" w:before="400"/>
      </w:pPr>
      <w:r>
        <w:rPr>
          <w:rFonts w:ascii="Times New Roman" w:cs="Times New Roman" w:eastAsia="Times New Roman" w:hAnsi="Times New Roman"/>
          <w:b/>
          <w:bCs/>
          <w:smallCaps/>
          <w:sz w:val="24"/>
          <w:szCs w:val="24"/>
        </w:rPr>
        <w:t xml:space="preserve">Uma questão de direção</w:t>
      </w:r>
    </w:p>
    <w:p>
      <w:pPr>
        <w:widowControl/>
        <w:spacing w:after="0" w:line="330" w:lineRule="exact"/>
        <w:ind w:firstLine="0"/>
        <w:jc w:val="both"/>
      </w:pPr>
      <w:r>
        <w:rPr>
          <w:rFonts w:ascii="Times New Roman" w:cs="Times New Roman" w:eastAsia="Times New Roman" w:hAnsi="Times New Roman"/>
          <w:sz w:val="24"/>
          <w:szCs w:val="24"/>
        </w:rPr>
        <w:t xml:space="preserve">Imagine dois aviões lado a lado, prontos para decolar na mesma direção. Se o bico de cada um estiver voltado um centímetro para dentro, em algum ponto da rota os dois vão colidir. Se estiverem um centímetro voltados para fora, com o tempo estarão a milhares de quilômetros um do outro. Mas, se os dois estiverem alinhados com o centro, vão percorrer toda a rota juntos, sem se afastar e sem colidir.</w:t>
      </w:r>
    </w:p>
    <w:p>
      <w:pPr>
        <w:widowControl/>
        <w:spacing w:after="0" w:line="330" w:lineRule="exact"/>
        <w:ind w:firstLine="340"/>
        <w:jc w:val="both"/>
      </w:pPr>
      <w:r>
        <w:rPr>
          <w:rFonts w:ascii="Times New Roman" w:cs="Times New Roman" w:eastAsia="Times New Roman" w:hAnsi="Times New Roman"/>
          <w:sz w:val="24"/>
          <w:szCs w:val="24"/>
        </w:rPr>
        <w:t xml:space="preserve">Assim é a vibração: ela colide, afasta ou mantém junto. E a diferença quase nunca é grande no começo. É um centímetro. Ninguém percebe o desvio na decolagem; só se percebe o destino.</w:t>
      </w:r>
    </w:p>
    <w:p>
      <w:pPr>
        <w:widowControl/>
        <w:spacing w:after="0" w:line="330" w:lineRule="exact"/>
        <w:ind w:firstLine="340"/>
        <w:jc w:val="both"/>
      </w:pPr>
      <w:r>
        <w:rPr>
          <w:rFonts w:ascii="Times New Roman" w:cs="Times New Roman" w:eastAsia="Times New Roman" w:hAnsi="Times New Roman"/>
          <w:sz w:val="24"/>
          <w:szCs w:val="24"/>
        </w:rPr>
        <w:t xml:space="preserve">O seis que nunca será sete é isso. Não é falta de esforço, é desvio de direção. Quem insiste em si mesmo, como o 666, pode voar por toda a vida, cada vez mais longe, sem jamais chegar. O sete não se alcança correndo mais. Alcança-se alinhando-se ao centro, e quem se alinha com o Criador já viaja na rota do descanso.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no começo da vida adulta.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as mesmas que anunciei no prólogo. Elas não são as quatro perguntas do capítulo 6, que medem a vibração de quem pergunta. Estas medem a palavra.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serve de bom remédio, mas o espírito abatido virá a secar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 É o mesmo efeito em rede daquele estudo do capítulo 6, em que a felicidade de uma pessoa chegava até os amigos dos seus amigos.</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aquele outro lado de que falei há pouco.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apagará; e, não havendo difamador, cessará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É a vibração que alerta, que vimos no capítulo 5: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como vimos no capítulo 6.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carta aos Filipenses, conhecida como a carta da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um dos dois modos de pensar do capítulo 9,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e volto ao sopro de que falei no primeiro capítulo: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ARA).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e ele comeu com ela”. No hebraico, o versículo diz que ele estava com ela.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No capítulo 18, vimos com Adão e Eva como essa união pode se perder. Aqui olho para o que ela é quando se mantém. O Gênesis a descreve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como vimos no capítulo 16,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 É a afinação de que falei no capítulo 4, agora dentro de casa.</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Lembra do peso de um obrigado, no capítulo 4? Em casa, ele pesa ainda mais.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fez dessa compreensão empática o centro do seu trabalho.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Como já indiquei no capítulo 7,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No capítulo 6,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como contei no capítulo 6,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Já falei de Babel no primeiro capítulo, quando as línguas se confundiram. Volto a ela agora por outro ângulo. 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do fechamento da Parte I,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keepNext/>
        <w:keepLines/>
        <w:spacing w:after="160" w:before="400"/>
      </w:pPr>
      <w:r>
        <w:rPr>
          <w:rFonts w:ascii="Times New Roman" w:cs="Times New Roman" w:eastAsia="Times New Roman" w:hAnsi="Times New Roman"/>
          <w:b/>
          <w:bCs/>
          <w:smallCaps/>
          <w:sz w:val="24"/>
          <w:szCs w:val="24"/>
        </w:rPr>
        <w:t xml:space="preserve">A inteligência artificial neste livro</w:t>
      </w:r>
    </w:p>
    <w:p>
      <w:pPr>
        <w:widowControl/>
        <w:spacing w:after="0" w:line="330" w:lineRule="exact"/>
        <w:ind w:firstLine="0"/>
        <w:jc w:val="both"/>
      </w:pPr>
      <w:r>
        <w:rPr>
          <w:rFonts w:ascii="Times New Roman" w:cs="Times New Roman" w:eastAsia="Times New Roman" w:hAnsi="Times New Roman"/>
          <w:sz w:val="24"/>
          <w:szCs w:val="24"/>
        </w:rPr>
        <w:t xml:space="preserve">Falo também por experiência própria. Graças à inteligência artificial, consegui colocar em prática várias coisas que, sem ela, levariam anos para sair do papel. Projetos que estavam na gaveta ganharam vida, inclusive na Irmandade e na Jornada.</w:t>
      </w:r>
    </w:p>
    <w:p>
      <w:pPr>
        <w:widowControl/>
        <w:spacing w:after="0" w:line="330" w:lineRule="exact"/>
        <w:ind w:firstLine="340"/>
        <w:jc w:val="both"/>
      </w:pPr>
      <w:r>
        <w:rPr>
          <w:rFonts w:ascii="Times New Roman" w:cs="Times New Roman" w:eastAsia="Times New Roman" w:hAnsi="Times New Roman"/>
          <w:sz w:val="24"/>
          <w:szCs w:val="24"/>
        </w:rPr>
        <w:t xml:space="preserve">Este livro é um deles. A inteligência artificial me ajudou a pesquisar, a confirmar termos e dados, a conferir as citações e a decidir onde cada ideia que eu tinha estruturado ficaria melhor. Economizei tempo e ganhei segurança, sempre tomando o cuidado de não deixar passar uma informação falsa ou ultrapassada. As ideias, as convicções e as histórias são minhas. A máquina me ajudou a organizá-las e a apoiá-las em fontes.</w:t>
      </w:r>
    </w:p>
    <w:p>
      <w:pPr>
        <w:widowControl/>
        <w:spacing w:after="0" w:line="330" w:lineRule="exact"/>
        <w:ind w:firstLine="340"/>
        <w:jc w:val="both"/>
      </w:pPr>
      <w:r>
        <w:rPr>
          <w:rFonts w:ascii="Times New Roman" w:cs="Times New Roman" w:eastAsia="Times New Roman" w:hAnsi="Times New Roman"/>
          <w:sz w:val="24"/>
          <w:szCs w:val="24"/>
        </w:rPr>
        <w:t xml:space="preserve">Por isso digo que ela é mais do que uma ferramenta de auxílio. Hoje ela pode ocupar um lugar importante na pesquisa, na orientação e na criação, desde que quem a usa continue conferindo, decidindo e respondendo pelo que escreve. Não usar a inteligência artificial como apoio, hoje, é como ir a pé para outro país quando existe o avião.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como vimos ao falar de afinação e desafinação no capítulo 4.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Sem a vibração, essa trama não faria sentido, porque é ela que estrutura a nossa compreensão de tudo o que vivemos.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keepNext/>
        <w:keepLines/>
        <w:spacing w:after="160" w:before="400"/>
      </w:pPr>
      <w:r>
        <w:rPr>
          <w:rFonts w:ascii="Times New Roman" w:cs="Times New Roman" w:eastAsia="Times New Roman" w:hAnsi="Times New Roman"/>
          <w:b/>
          <w:bCs/>
          <w:smallCaps/>
          <w:sz w:val="24"/>
          <w:szCs w:val="24"/>
        </w:rPr>
        <w:t xml:space="preserve">A minha intenção</w:t>
      </w:r>
    </w:p>
    <w:p>
      <w:pPr>
        <w:widowControl/>
        <w:spacing w:after="0" w:line="330" w:lineRule="exact"/>
        <w:ind w:firstLine="0"/>
        <w:jc w:val="both"/>
      </w:pPr>
      <w:r>
        <w:rPr>
          <w:rFonts w:ascii="Times New Roman" w:cs="Times New Roman" w:eastAsia="Times New Roman" w:hAnsi="Times New Roman"/>
          <w:sz w:val="24"/>
          <w:szCs w:val="24"/>
        </w:rPr>
        <w:t xml:space="preserve">Falei o livro inteiro sobre os dois lados e sobre a intenção que pesa entre eles. Então deixo aqui também a minha. A minha intenção não é mudar a sua vida. É ajudar a mudar os paradigmas que orientam as suas escolhas, as suas opções e as suas vontades. A vida, quem muda, é você.</w:t>
      </w:r>
    </w:p>
    <w:p>
      <w:pPr>
        <w:widowControl/>
        <w:spacing w:after="0" w:line="330" w:lineRule="exact"/>
        <w:ind w:firstLine="340"/>
        <w:jc w:val="both"/>
      </w:pPr>
      <w:r>
        <w:rPr>
          <w:rFonts w:ascii="Times New Roman" w:cs="Times New Roman" w:eastAsia="Times New Roman" w:hAnsi="Times New Roman"/>
          <w:sz w:val="24"/>
          <w:szCs w:val="24"/>
        </w:rPr>
        <w:t xml:space="preserve">Sei que não é fácil perceber que, durante muito tempo, você não deu atenção às próprias questões. Que se anulou em favor dos outros, sempre por uma causa maior. Mas sempre há uma chance de retomar o controle, porque só conseguimos retomar algo quando percebemos que ele pode ser retomado. Se você chegou até aqui, já percebeu.</w:t>
      </w:r>
    </w:p>
    <w:p>
      <w:pPr>
        <w:widowControl/>
        <w:spacing w:after="0" w:line="330" w:lineRule="exact"/>
        <w:ind w:firstLine="340"/>
        <w:jc w:val="both"/>
      </w:pPr>
      <w:r>
        <w:rPr>
          <w:rFonts w:ascii="Times New Roman" w:cs="Times New Roman" w:eastAsia="Times New Roman" w:hAnsi="Times New Roman"/>
          <w:sz w:val="24"/>
          <w:szCs w:val="24"/>
        </w:rPr>
        <w:t xml:space="preserve">A vida é dinâmica, e a vibração ajuda a dar a ela uma boa direção. É ela que faz a balança pesar mais para o lado positivo. Por isso a vibração precisa ser cultivada, e é preciso ter consciência de que ela existe e de que orienta a vida.</w:t>
      </w:r>
    </w:p>
    <w:p>
      <w:pPr>
        <w:widowControl/>
        <w:spacing w:after="0" w:line="330" w:lineRule="exact"/>
        <w:ind w:firstLine="340"/>
        <w:jc w:val="both"/>
      </w:pPr>
      <w:r>
        <w:rPr>
          <w:rFonts w:ascii="Times New Roman" w:cs="Times New Roman" w:eastAsia="Times New Roman" w:hAnsi="Times New Roman"/>
          <w:sz w:val="24"/>
          <w:szCs w:val="24"/>
        </w:rPr>
        <w:t xml:space="preserve">Pratique a gentileza até que ela vire hábito. Não deixe que o mau humor, o seu ou o dos outros, contamine a sua vibração. Faça o contrário: esforce-se para que ela seja positiva, e contagie com força o ambiente e as pessoas com quem convive. Acredite no poder da vibração.</w:t>
      </w:r>
    </w:p>
    <w:p>
      <w:pPr>
        <w:widowControl/>
        <w:spacing w:after="0" w:line="330" w:lineRule="exact"/>
        <w:ind w:firstLine="340"/>
        <w:jc w:val="both"/>
      </w:pPr>
      <w:r>
        <w:rPr>
          <w:rFonts w:ascii="Times New Roman" w:cs="Times New Roman" w:eastAsia="Times New Roman" w:hAnsi="Times New Roman"/>
          <w:sz w:val="24"/>
          <w:szCs w:val="24"/>
        </w:rPr>
        <w:t xml:space="preserve">Não faça o bem para colecionar agradecimentos. Mas, se praticar a gentileza todos os dias, os obrigados virão, e cada um deles será um elo a mais entre você, os outros e Deus. Comigo foi assim, como contei no capítulo 4. Quando a gentileza virou hábito, os obrigados se tornaram constantes, e a minha vida simplesmente se iluminou.</w:t>
      </w:r>
    </w:p>
    <w:p>
      <w:pPr>
        <w:widowControl/>
        <w:spacing w:after="0" w:line="330" w:lineRule="exact"/>
        <w:ind w:firstLine="340"/>
        <w:jc w:val="both"/>
      </w:pPr>
      <w:r>
        <w:rPr>
          <w:rFonts w:ascii="Times New Roman" w:cs="Times New Roman" w:eastAsia="Times New Roman" w:hAnsi="Times New Roman"/>
          <w:sz w:val="24"/>
          <w:szCs w:val="24"/>
        </w:rPr>
        <w:t xml:space="preserve">Deixo, para terminar, a bênção mais antiga que conheço, a mesma que os sacerdotes de Israel pronunciavam sobre o povo: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Senhor te abençoe e te guarde; o Senhor faça resplandecer o seu rosto sobre ti e tenha misericórdia de ti; o Senhor sobre ti levante o seu rosto e te dê a paz. (Números 6:24-26)</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2026-10-29T01:24:36.389Z</dcterms:created>
  <dcterms:modified xsi:type="dcterms:W3CDTF">2026-10-29T01:24:36.389Z</dcterms:modified>
</cp:coreProperties>
</file>

<file path=docProps/custom.xml><?xml version="1.0" encoding="utf-8"?>
<Properties xmlns="http://schemas.openxmlformats.org/officeDocument/2006/custom-properties" xmlns:vt="http://schemas.openxmlformats.org/officeDocument/2006/docPropsVTypes"/>
</file>