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18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24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27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37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41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48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51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62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66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71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74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81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84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86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89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91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94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97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105</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são iguais em todos os seres humanos. O olfato, a audição, o tato, a visão e o paladar funcionam da mesma forma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Mas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widowControl/>
        <w:spacing w:after="0" w:line="330" w:lineRule="exact"/>
        <w:ind w:firstLine="0"/>
        <w:jc w:val="both"/>
      </w:pPr>
      <w:r>
        <w:rPr>
          <w:rFonts w:ascii="Times New Roman" w:cs="Times New Roman" w:eastAsia="Times New Roman" w:hAnsi="Times New Roman"/>
          <w:b/>
          <w:bCs/>
          <w:sz w:val="24"/>
          <w:szCs w:val="24"/>
        </w:rPr>
        <w:t xml:space="preserve">[SUA VOZ: como você chegou a essa compreensão de imagem e semelhança, e uma experiência em que percebeu a mesma humanidade em alguém de outra cultura.]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Todo músico sabe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2026-10-20T22:36:16.985Z</dcterms:created>
  <dcterms:modified xsi:type="dcterms:W3CDTF">2026-10-20T22:36:16.985Z</dcterms:modified>
</cp:coreProperties>
</file>

<file path=docProps/custom.xml><?xml version="1.0" encoding="utf-8"?>
<Properties xmlns="http://schemas.openxmlformats.org/officeDocument/2006/custom-properties" xmlns:vt="http://schemas.openxmlformats.org/officeDocument/2006/docPropsVTypes"/>
</file>