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600a2618c5c30508b60a79d3c8d16e8d9a48992"/>
    <w:p>
      <w:pPr>
        <w:pStyle w:val="Heading1"/>
      </w:pPr>
      <w:r>
        <w:t xml:space="preserve">VIGIL: an open, automatically-updating platform for global antimicrobial-resistance and infectious-disease intelligence from open-source text</w:t>
      </w:r>
    </w:p>
    <w:p>
      <w:pPr>
        <w:pStyle w:val="BlockText"/>
      </w:pPr>
      <w:r>
        <w:rPr>
          <w:b/>
          <w:bCs/>
        </w:rPr>
        <w:t xml:space="preserve">DRAFT preprint (resource descriptor).</w:t>
      </w:r>
      <w:r>
        <w:t xml:space="preserve"> </w:t>
      </w:r>
      <w:r>
        <w:t xml:space="preserve">Before posting: (1) regenerate the</w:t>
      </w:r>
      <w:r>
        <w:t xml:space="preserve"> </w:t>
      </w:r>
      <w:r>
        <w:t xml:space="preserve">numbers below from the live platform (they update daily); (2) complete the</w:t>
      </w:r>
      <w:r>
        <w:t xml:space="preserve"> </w:t>
      </w:r>
      <w:r>
        <w:t xml:space="preserve">reference list. Numbers here are from a snapshot of</w:t>
      </w:r>
      <w:r>
        <w:t xml:space="preserve"> </w:t>
      </w:r>
      <w:r>
        <w:rPr>
          <w:b/>
          <w:bCs/>
        </w:rPr>
        <w:t xml:space="preserve">2,075 documents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Author.</w:t>
      </w:r>
      <w:r>
        <w:t xml:space="preserve"> </w:t>
      </w:r>
      <w:r>
        <w:t xml:space="preserve">Yen-Hsiang Wang, MD, MSc¹ · rogerwang890928@gmail.com ·</w:t>
      </w:r>
      <w:r>
        <w:t xml:space="preserve"> </w:t>
      </w:r>
      <w:r>
        <w:t xml:space="preserve">ORCID:</w:t>
      </w:r>
      <w:r>
        <w:t xml:space="preserve"> </w:t>
      </w:r>
      <w:hyperlink r:id="rId9">
        <w:r>
          <w:rPr>
            <w:rStyle w:val="Hyperlink"/>
          </w:rPr>
          <w:t xml:space="preserve">0000-0003-0307-8447</w:t>
        </w:r>
      </w:hyperlink>
      <w:r>
        <w:t xml:space="preserve"> </w:t>
      </w:r>
      <w:r>
        <w:t xml:space="preserve">¹ Graduate Institute of Medical Sciences, College of Medicine, Taipei Medical</w:t>
      </w:r>
      <w:r>
        <w:t xml:space="preserve"> </w:t>
      </w:r>
      <w:r>
        <w:t xml:space="preserve">University, Taipei 11031, Taiwan.</w:t>
      </w:r>
    </w:p>
    <w:p>
      <w:pPr>
        <w:pStyle w:val="BodyText"/>
      </w:pPr>
      <w:r>
        <w:rPr>
          <w:b/>
          <w:bCs/>
        </w:rPr>
        <w:t xml:space="preserve">Availability.</w:t>
      </w:r>
      <w:r>
        <w:t xml:space="preserve"> </w:t>
      </w:r>
      <w:r>
        <w:t xml:space="preserve">Code: https://github.com/Rogerking928/id-intel-platform ·</w:t>
      </w:r>
      <w:r>
        <w:t xml:space="preserve"> </w:t>
      </w:r>
      <w:r>
        <w:t xml:space="preserve">Archive/DOI: https://doi.org/10.5281/zenodo.21263882 ·</w:t>
      </w:r>
      <w:r>
        <w:t xml:space="preserve"> </w:t>
      </w:r>
      <w:r>
        <w:t xml:space="preserve">Live demo: https://id-intel-platform-4gkpazd4mhtj2upak5pzm9.streamlit.app/ ·</w:t>
      </w:r>
      <w:r>
        <w:t xml:space="preserve"> </w:t>
      </w:r>
      <w:r>
        <w:t xml:space="preserve">Licence: MIT.</w:t>
      </w:r>
    </w:p>
    <w:p>
      <w:r>
        <w:pict>
          <v:rect style="width:0;height:1.5pt" o:hralign="center" o:hrstd="t" o:hr="t"/>
        </w:pict>
      </w:r>
    </w:p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Antimicrobial resistance (AMR) and emerging infections generate</w:t>
      </w:r>
      <w:r>
        <w:t xml:space="preserve"> </w:t>
      </w:r>
      <w:r>
        <w:t xml:space="preserve">large volumes of open-source text — outbreak alerts, literature, trial</w:t>
      </w:r>
      <w:r>
        <w:t xml:space="preserve"> </w:t>
      </w:r>
      <w:r>
        <w:t xml:space="preserve">registries, surveillance reports — but converting them into structured,</w:t>
      </w:r>
      <w:r>
        <w:t xml:space="preserve"> </w:t>
      </w:r>
      <w:r>
        <w:t xml:space="preserve">comparable intelligence is largely manual. Existing event-based surveillance</w:t>
      </w:r>
      <w:r>
        <w:t xml:space="preserve"> </w:t>
      </w:r>
      <w:r>
        <w:t xml:space="preserve">systems focus on outbreak detection rather than AMR-specific, structured</w:t>
      </w:r>
      <w:r>
        <w:t xml:space="preserve"> </w:t>
      </w:r>
      <w:r>
        <w:t xml:space="preserve">extraction, and few are open, reproducible, or benchmarked against reference</w:t>
      </w:r>
      <w:r>
        <w:t xml:space="preserve"> </w:t>
      </w:r>
      <w:r>
        <w:t xml:space="preserve">data.</w:t>
      </w:r>
    </w:p>
    <w:p>
      <w:pPr>
        <w:pStyle w:val="BodyText"/>
      </w:pPr>
      <w:r>
        <w:rPr>
          <w:b/>
          <w:bCs/>
        </w:rPr>
        <w:t xml:space="preserve">Implementation.</w:t>
      </w:r>
      <w:r>
        <w:t xml:space="preserve"> </w:t>
      </w:r>
      <w:r>
        <w:t xml:space="preserve">VIGIL is a free, open-source platform that automatically</w:t>
      </w:r>
      <w:r>
        <w:t xml:space="preserve"> </w:t>
      </w:r>
      <w:r>
        <w:t xml:space="preserve">collects documents daily from eight source families (WHO Disease Outbreak News,</w:t>
      </w:r>
      <w:r>
        <w:t xml:space="preserve"> </w:t>
      </w:r>
      <w:r>
        <w:t xml:space="preserve">CDC, ECDC, UK Health Security Agency, PubMed, bioRxiv/medRxiv via Europe PMC,</w:t>
      </w:r>
      <w:r>
        <w:t xml:space="preserve"> </w:t>
      </w:r>
      <w:r>
        <w:t xml:space="preserve">ClinicalTrials.gov, and WHO GLASS/GHO), extracts a structured schema (pathogen,</w:t>
      </w:r>
      <w:r>
        <w:t xml:space="preserve"> </w:t>
      </w:r>
      <w:r>
        <w:t xml:space="preserve">resistance gene/mechanism, antibiotic, disease, country, event type) using an</w:t>
      </w:r>
      <w:r>
        <w:t xml:space="preserve"> </w:t>
      </w:r>
      <w:r>
        <w:t xml:space="preserve">always-on rule-based extractor and an optional large language model (LLM),</w:t>
      </w:r>
      <w:r>
        <w:t xml:space="preserve"> </w:t>
      </w:r>
      <w:r>
        <w:t xml:space="preserve">builds a co-occurrence knowledge graph, and computes trend, emerging-signal,</w:t>
      </w:r>
      <w:r>
        <w:t xml:space="preserve"> </w:t>
      </w:r>
      <w:r>
        <w:t xml:space="preserve">forecasting, novelty, and country-risk analytics. All analytics are validated</w:t>
      </w:r>
      <w:r>
        <w:t xml:space="preserve"> </w:t>
      </w:r>
      <w:r>
        <w:t xml:space="preserve">against WHO GHO/GLASS resistance indicators, which the platform ingests</w:t>
      </w:r>
      <w:r>
        <w:t xml:space="preserve"> </w:t>
      </w:r>
      <w:r>
        <w:t xml:space="preserve">automatically. The stack (Python, SQLite, Streamlit) is fully reproducible and</w:t>
      </w:r>
      <w:r>
        <w:t xml:space="preserve"> </w:t>
      </w:r>
      <w:r>
        <w:t xml:space="preserve">deploys for free; daily updates run via continuous integration.</w:t>
      </w:r>
    </w:p>
    <w:p>
      <w:pPr>
        <w:pStyle w:val="BodyText"/>
      </w:pPr>
      <w:r>
        <w:rPr>
          <w:b/>
          <w:bCs/>
        </w:rPr>
        <w:t xml:space="preserve">Results (proof of concept).</w:t>
      </w:r>
      <w:r>
        <w:t xml:space="preserve"> </w:t>
      </w:r>
      <w:r>
        <w:t xml:space="preserve">A snapshot of 2,075 documents across seven</w:t>
      </w:r>
      <w:r>
        <w:t xml:space="preserve"> </w:t>
      </w:r>
      <w:r>
        <w:t xml:space="preserve">actively-contributing sources yielded 31 distinct pathogens, 12 resistance</w:t>
      </w:r>
      <w:r>
        <w:t xml:space="preserve"> </w:t>
      </w:r>
      <w:r>
        <w:t xml:space="preserve">genes/mechanisms, 62 countries and 1,060 knowledge-graph relations, plus 1,005</w:t>
      </w:r>
      <w:r>
        <w:t xml:space="preserve"> </w:t>
      </w:r>
      <w:r>
        <w:t xml:space="preserve">WHO GHO reference resistance values (101 countries, 2016–2023). In a preliminary</w:t>
      </w:r>
      <w:r>
        <w:t xml:space="preserve"> </w:t>
      </w:r>
      <w:r>
        <w:t xml:space="preserve">construct-validity check across 23 countries, raw document volume was essentially</w:t>
      </w:r>
      <w:r>
        <w:t xml:space="preserve"> </w:t>
      </w:r>
      <w:r>
        <w:t xml:space="preserve">uncorrelated with measured MRSA resistance (Spearman ρ = 0.06) whereas a</w:t>
      </w:r>
      <w:r>
        <w:t xml:space="preserve"> </w:t>
      </w:r>
      <w:r>
        <w:t xml:space="preserve">publication-normalised AMR share showed a weak positive association (ρ = 0.28);</w:t>
      </w:r>
      <w:r>
        <w:t xml:space="preserve"> </w:t>
      </w:r>
      <w:r>
        <w:t xml:space="preserve">and literature signal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discriminate which countries had officially</w:t>
      </w:r>
      <w:r>
        <w:t xml:space="preserve"> </w:t>
      </w:r>
      <w:r>
        <w:t xml:space="preserve">reported outbreaks (rank-AUC = 0.16), with outbreaks concentrated in</w:t>
      </w:r>
      <w:r>
        <w:t xml:space="preserve"> </w:t>
      </w:r>
      <w:r>
        <w:t xml:space="preserve">low-literature, lower-resource countries — an illustration of the global</w:t>
      </w:r>
      <w:r>
        <w:t xml:space="preserve"> </w:t>
      </w:r>
      <w:r>
        <w:t xml:space="preserve">surveillance gap that the platform makes measurable.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VIGIL provides an open, reproducible, validation-first</w:t>
      </w:r>
      <w:r>
        <w:t xml:space="preserve"> </w:t>
      </w:r>
      <w:r>
        <w:t xml:space="preserve">infrastructure for AMR/infectious-disease intelligence and a foundation for</w:t>
      </w:r>
      <w:r>
        <w:t xml:space="preserve"> </w:t>
      </w:r>
      <w:r>
        <w:t xml:space="preserve">downstream methodological research (LLM extraction benchmarking, early-warning</w:t>
      </w:r>
      <w:r>
        <w:t xml:space="preserve"> </w:t>
      </w:r>
      <w:r>
        <w:t xml:space="preserve">modelling). It is openly available with a citable DOI.</w:t>
      </w:r>
    </w:p>
    <w:p>
      <w:pPr>
        <w:pStyle w:val="BodyText"/>
      </w:pPr>
      <w:r>
        <w:rPr>
          <w:b/>
          <w:bCs/>
        </w:rPr>
        <w:t xml:space="preserve">Keywords.</w:t>
      </w:r>
      <w:r>
        <w:t xml:space="preserve"> </w:t>
      </w:r>
      <w:r>
        <w:t xml:space="preserve">antimicrobial resistance; infectious disease surveillance;</w:t>
      </w:r>
      <w:r>
        <w:t xml:space="preserve"> </w:t>
      </w:r>
      <w:r>
        <w:t xml:space="preserve">large language models; information extraction; knowledge graph; open data.</w:t>
      </w:r>
    </w:p>
    <w:p>
      <w:r>
        <w:pict>
          <v:rect style="width:0;height:1.5pt" o:hralign="center" o:hrstd="t" o:hr="t"/>
        </w:pict>
      </w:r>
    </w:p>
    <w:bookmarkEnd w:id="10"/>
    <w:bookmarkStart w:id="11" w:name="background"/>
    <w:p>
      <w:pPr>
        <w:pStyle w:val="Heading2"/>
      </w:pPr>
      <w:r>
        <w:t xml:space="preserve">1. Background</w:t>
      </w:r>
    </w:p>
    <w:p>
      <w:pPr>
        <w:pStyle w:val="FirstParagraph"/>
      </w:pPr>
      <w:r>
        <w:t xml:space="preserve">[Motivate: AMR burden; open-source epidemic intelligence (WHO EIOS, HealthMap,</w:t>
      </w:r>
      <w:r>
        <w:t xml:space="preserve"> </w:t>
      </w:r>
      <w:r>
        <w:t xml:space="preserve">ProMED, EPIWATCH) targets outbreaks, not structured AMR extraction; LLMs offer</w:t>
      </w:r>
      <w:r>
        <w:t xml:space="preserve"> </w:t>
      </w:r>
      <w:r>
        <w:t xml:space="preserve">new extraction capability but need clinician-grounded, reproducible, benchmarked</w:t>
      </w:r>
      <w:r>
        <w:t xml:space="preserve"> </w:t>
      </w:r>
      <w:r>
        <w:t xml:space="preserve">tooling; gap = an open, AMR-focused, validation-first platform, with an</w:t>
      </w:r>
      <w:r>
        <w:t xml:space="preserve"> </w:t>
      </w:r>
      <w:r>
        <w:t xml:space="preserve">Asia-Pacific lens. — expand with references §8.]</w:t>
      </w:r>
    </w:p>
    <w:bookmarkEnd w:id="11"/>
    <w:bookmarkStart w:id="18" w:name="implementation"/>
    <w:p>
      <w:pPr>
        <w:pStyle w:val="Heading2"/>
      </w:pPr>
      <w:r>
        <w:t xml:space="preserve">2. Implementation</w:t>
      </w:r>
    </w:p>
    <w:bookmarkStart w:id="12" w:name="architecture"/>
    <w:p>
      <w:pPr>
        <w:pStyle w:val="Heading3"/>
      </w:pPr>
      <w:r>
        <w:t xml:space="preserve">2.1 Architecture</w:t>
      </w:r>
    </w:p>
    <w:p>
      <w:pPr>
        <w:pStyle w:val="FirstParagraph"/>
      </w:pPr>
      <w:r>
        <w:t xml:space="preserve">Collector → extractor → entities/relations → analytics → web app. Single-file</w:t>
      </w:r>
      <w:r>
        <w:t xml:space="preserve"> </w:t>
      </w:r>
      <w:r>
        <w:t xml:space="preserve">SQLite store; every document retains raw text, source, URL and fetch time; every</w:t>
      </w:r>
      <w:r>
        <w:t xml:space="preserve"> </w:t>
      </w:r>
      <w:r>
        <w:t xml:space="preserve">extraction retains model name/version, prompt version and raw output, enabling</w:t>
      </w:r>
      <w:r>
        <w:t xml:space="preserve"> </w:t>
      </w:r>
      <w:r>
        <w:t xml:space="preserve">audit and model comparison.</w:t>
      </w:r>
    </w:p>
    <w:bookmarkEnd w:id="12"/>
    <w:bookmarkStart w:id="13" w:name="data-sources"/>
    <w:p>
      <w:pPr>
        <w:pStyle w:val="Heading3"/>
      </w:pPr>
      <w:r>
        <w:t xml:space="preserve">2.2 Data sources</w:t>
      </w:r>
    </w:p>
    <w:p>
      <w:pPr>
        <w:pStyle w:val="FirstParagraph"/>
      </w:pPr>
      <w:r>
        <w:t xml:space="preserve">Eight configured source families (Table 1), accessed through public APIs/feeds:</w:t>
      </w:r>
      <w:r>
        <w:t xml:space="preserve"> </w:t>
      </w:r>
      <w:r>
        <w:t xml:space="preserve">WHO DON (OData), CDC/ECDC/UKHSA (RSS/Atom), PubMed (E-utilities), preprints</w:t>
      </w:r>
      <w:r>
        <w:t xml:space="preserve"> </w:t>
      </w:r>
      <w:r>
        <w:t xml:space="preserve">(Europe PMC), ClinicalTrials.gov (API v2), and WHO GHO/GLASS resistance</w:t>
      </w:r>
      <w:r>
        <w:t xml:space="preserve"> </w:t>
      </w:r>
      <w:r>
        <w:t xml:space="preserve">indicators (OData). Collection de-duplicates and appends only new records.</w:t>
      </w:r>
    </w:p>
    <w:bookmarkEnd w:id="13"/>
    <w:bookmarkStart w:id="14" w:name="information-extraction"/>
    <w:p>
      <w:pPr>
        <w:pStyle w:val="Heading3"/>
      </w:pPr>
      <w:r>
        <w:t xml:space="preserve">2.3 Information extraction</w:t>
      </w:r>
    </w:p>
    <w:p>
      <w:pPr>
        <w:pStyle w:val="FirstParagraph"/>
      </w:pPr>
      <w:r>
        <w:t xml:space="preserve">An always-on</w:t>
      </w:r>
      <w:r>
        <w:t xml:space="preserve"> </w:t>
      </w:r>
      <w:r>
        <w:rPr>
          <w:b/>
          <w:bCs/>
        </w:rPr>
        <w:t xml:space="preserve">rule-based</w:t>
      </w:r>
      <w:r>
        <w:t xml:space="preserve"> </w:t>
      </w:r>
      <w:r>
        <w:t xml:space="preserve">extractor uses frozen controlled vocabularies (the</w:t>
      </w:r>
      <w:r>
        <w:t xml:space="preserve"> </w:t>
      </w:r>
      <w:r>
        <w:t xml:space="preserve">codebook) and negation/assertion rules; an optional</w:t>
      </w:r>
      <w:r>
        <w:t xml:space="preserve"> </w:t>
      </w:r>
      <w:r>
        <w:rPr>
          <w:b/>
          <w:bCs/>
        </w:rPr>
        <w:t xml:space="preserve">LLM</w:t>
      </w:r>
      <w:r>
        <w:t xml:space="preserve"> </w:t>
      </w:r>
      <w:r>
        <w:t xml:space="preserve">extractor (Gemini;</w:t>
      </w:r>
      <w:r>
        <w:t xml:space="preserve"> </w:t>
      </w:r>
      <w:r>
        <w:t xml:space="preserve">extensible) returns the same schema. Both outputs are stored per document,</w:t>
      </w:r>
      <w:r>
        <w:t xml:space="preserve"> </w:t>
      </w:r>
      <w:r>
        <w:t xml:space="preserve">enabling head-to-head evaluation.</w:t>
      </w:r>
    </w:p>
    <w:bookmarkEnd w:id="14"/>
    <w:bookmarkStart w:id="15" w:name="knowledge-graph-and-analytics"/>
    <w:p>
      <w:pPr>
        <w:pStyle w:val="Heading3"/>
      </w:pPr>
      <w:r>
        <w:t xml:space="preserve">2.4 Knowledge graph and analytics</w:t>
      </w:r>
    </w:p>
    <w:p>
      <w:pPr>
        <w:pStyle w:val="FirstParagraph"/>
      </w:pPr>
      <w:r>
        <w:t xml:space="preserve">Entity co-occurrence within documents yields Pathogen→Country→Gene→Antibiotic→</w:t>
      </w:r>
      <w:r>
        <w:t xml:space="preserve"> </w:t>
      </w:r>
      <w:r>
        <w:t xml:space="preserve">Disease relations. Analytics include: growth-rate and emerging-signal detection;</w:t>
      </w:r>
      <w:r>
        <w:t xml:space="preserve"> </w:t>
      </w:r>
      <w:r>
        <w:t xml:space="preserve">weekly-volume forecasting with backtesting; novelty detection (first-ever entity</w:t>
      </w:r>
      <w:r>
        <w:t xml:space="preserve"> </w:t>
      </w:r>
      <w:r>
        <w:t xml:space="preserve">combinations); a knowledge-graph query interface; a global heatmap; a</w:t>
      </w:r>
      <w:r>
        <w:t xml:space="preserve"> </w:t>
      </w:r>
      <w:r>
        <w:t xml:space="preserve">validation-first country risk signal; and an outbreak module with</w:t>
      </w:r>
      <w:r>
        <w:t xml:space="preserve"> </w:t>
      </w:r>
      <w:r>
        <w:t xml:space="preserve">source-separated evaluation.</w:t>
      </w:r>
    </w:p>
    <w:bookmarkEnd w:id="15"/>
    <w:bookmarkStart w:id="16" w:name="validation-design"/>
    <w:p>
      <w:pPr>
        <w:pStyle w:val="Heading3"/>
      </w:pPr>
      <w:r>
        <w:t xml:space="preserve">2.5 Validation design</w:t>
      </w:r>
    </w:p>
    <w:p>
      <w:pPr>
        <w:pStyle w:val="FirstParagraph"/>
      </w:pPr>
      <w:r>
        <w:t xml:space="preserve">Reference standard = WHO GHO/GLASS resistance indicators (auto-ingested).</w:t>
      </w:r>
      <w:r>
        <w:t xml:space="preserve"> </w:t>
      </w:r>
      <w:r>
        <w:t xml:space="preserve">Construct validity compares platform signals to measured resistance; the outbreak</w:t>
      </w:r>
      <w:r>
        <w:t xml:space="preserve"> </w:t>
      </w:r>
      <w:r>
        <w:t xml:space="preserve">task uses official-alert outcomes with literature-derived features (source</w:t>
      </w:r>
      <w:r>
        <w:t xml:space="preserve"> </w:t>
      </w:r>
      <w:r>
        <w:t xml:space="preserve">separation) to avoid circularity. A frozen annotation codebook supports a</w:t>
      </w:r>
      <w:r>
        <w:t xml:space="preserve"> </w:t>
      </w:r>
      <w:r>
        <w:t xml:space="preserve">downstream clinician-annotated extraction benchmark (leakage-controlled).</w:t>
      </w:r>
    </w:p>
    <w:bookmarkEnd w:id="16"/>
    <w:bookmarkStart w:id="17" w:name="availability-reproducibility"/>
    <w:p>
      <w:pPr>
        <w:pStyle w:val="Heading3"/>
      </w:pPr>
      <w:r>
        <w:t xml:space="preserve">2.6 Availability &amp; reproducibility</w:t>
      </w:r>
    </w:p>
    <w:p>
      <w:pPr>
        <w:pStyle w:val="FirstParagraph"/>
      </w:pPr>
      <w:r>
        <w:t xml:space="preserve">Open source (MIT), archived on Zenodo (DOI), free daily updates via CI, and a</w:t>
      </w:r>
      <w:r>
        <w:t xml:space="preserve"> </w:t>
      </w:r>
      <w:r>
        <w:t xml:space="preserve">public live instance. All code, the codebook, and the schema are versioned.</w:t>
      </w:r>
    </w:p>
    <w:bookmarkEnd w:id="17"/>
    <w:bookmarkEnd w:id="18"/>
    <w:bookmarkStart w:id="19" w:name="results-proof-of-concept"/>
    <w:p>
      <w:pPr>
        <w:pStyle w:val="Heading2"/>
      </w:pPr>
      <w:r>
        <w:t xml:space="preserve">3. Results (proof of concept)</w:t>
      </w:r>
    </w:p>
    <w:p>
      <w:pPr>
        <w:pStyle w:val="FirstParagraph"/>
      </w:pPr>
      <w:r>
        <w:t xml:space="preserve">[Insert: corpus description (Table/Fig), extraction examples (e.g. detection of</w:t>
      </w:r>
      <w:r>
        <w:t xml:space="preserve"> </w:t>
      </w:r>
      <w:r>
        <w:t xml:space="preserve">KPC-234/NDM-1 that a dictionary misses), knowledge-graph example (CRE →</w:t>
      </w:r>
      <w:r>
        <w:t xml:space="preserve"> </w:t>
      </w:r>
      <w:r>
        <w:t xml:space="preserve">country → gene → antibiotic), and the preliminary validity numbers above.</w:t>
      </w:r>
      <w:r>
        <w:t xml:space="preserve"> </w:t>
      </w:r>
      <w:r>
        <w:t xml:space="preserve">Regenerate all numbers from the live platform before submission.]</w:t>
      </w:r>
    </w:p>
    <w:bookmarkEnd w:id="19"/>
    <w:bookmarkStart w:id="20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t xml:space="preserve">Positioning vs event-based systems; the measurable surveillance gap as an early</w:t>
      </w:r>
      <w:r>
        <w:t xml:space="preserve"> </w:t>
      </w:r>
      <w:r>
        <w:t xml:space="preserve">finding; enablement of reproducible LLM-extraction benchmarking and early-warning</w:t>
      </w:r>
      <w:r>
        <w:t xml:space="preserve"> </w:t>
      </w:r>
      <w:r>
        <w:t xml:space="preserve">research; APAC relevance.</w:t>
      </w:r>
    </w:p>
    <w:bookmarkEnd w:id="20"/>
    <w:bookmarkStart w:id="21" w:name="limitations"/>
    <w:p>
      <w:pPr>
        <w:pStyle w:val="Heading2"/>
      </w:pPr>
      <w:r>
        <w:t xml:space="preserve">5. Limitations</w:t>
      </w:r>
    </w:p>
    <w:p>
      <w:pPr>
        <w:pStyle w:val="FirstParagraph"/>
      </w:pPr>
      <w:r>
        <w:t xml:space="preserve">Young corpus (analytics strengthen as history accumulates); reporting/publication</w:t>
      </w:r>
      <w:r>
        <w:t xml:space="preserve"> </w:t>
      </w:r>
      <w:r>
        <w:t xml:space="preserve">bias (explicitly surfaced, not hidden); reference coverage — WHO GHO lacks some</w:t>
      </w:r>
      <w:r>
        <w:t xml:space="preserve"> </w:t>
      </w:r>
      <w:r>
        <w:t xml:space="preserve">territories including Taiwan (a WHO listing limitation, not a platform merge),</w:t>
      </w:r>
      <w:r>
        <w:t xml:space="preserve"> </w:t>
      </w:r>
      <w:r>
        <w:t xml:space="preserve">and China lacks values for these indicators; LLM free-tier throughput; the</w:t>
      </w:r>
      <w:r>
        <w:t xml:space="preserve"> </w:t>
      </w:r>
      <w:r>
        <w:t xml:space="preserve">extraction benchmark awaits full clinician annotation.</w:t>
      </w:r>
    </w:p>
    <w:bookmarkEnd w:id="21"/>
    <w:bookmarkStart w:id="22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An open, validation-first platform turning open-source text into structured,</w:t>
      </w:r>
      <w:r>
        <w:t xml:space="preserve"> </w:t>
      </w:r>
      <w:r>
        <w:t xml:space="preserve">citable AMR/infectious-disease intelligence, and a base for a program of</w:t>
      </w:r>
      <w:r>
        <w:t xml:space="preserve"> </w:t>
      </w:r>
      <w:r>
        <w:t xml:space="preserve">methodological studies.</w:t>
      </w:r>
    </w:p>
    <w:bookmarkEnd w:id="22"/>
    <w:bookmarkStart w:id="23" w:name="declarations"/>
    <w:p>
      <w:pPr>
        <w:pStyle w:val="Heading2"/>
      </w:pPr>
      <w:r>
        <w:t xml:space="preserve">7. Declarations</w:t>
      </w:r>
    </w:p>
    <w:p>
      <w:pPr>
        <w:pStyle w:val="FirstParagraph"/>
      </w:pPr>
      <w:r>
        <w:rPr>
          <w:b/>
          <w:bCs/>
        </w:rPr>
        <w:t xml:space="preserve">Data/code availability:</w:t>
      </w:r>
      <w:r>
        <w:t xml:space="preserve"> </w:t>
      </w:r>
      <w:r>
        <w:t xml:space="preserve">as above (GitHub + Zenodo DOI).</w:t>
      </w:r>
      <w:r>
        <w:t xml:space="preserve"> </w:t>
      </w:r>
      <w:r>
        <w:rPr>
          <w:b/>
          <w:bCs/>
        </w:rPr>
        <w:t xml:space="preserve">Funding:</w:t>
      </w:r>
      <w:r>
        <w:t xml:space="preserve"> </w:t>
      </w:r>
      <w:r>
        <w:rPr>
          <w:i/>
          <w:iCs/>
        </w:rPr>
        <w:t xml:space="preserve">[fill]</w:t>
      </w:r>
      <w:r>
        <w:t xml:space="preserve">.</w:t>
      </w:r>
      <w:r>
        <w:t xml:space="preserve"> </w:t>
      </w:r>
      <w:r>
        <w:rPr>
          <w:b/>
          <w:bCs/>
        </w:rPr>
        <w:t xml:space="preserve">Competing interests:</w:t>
      </w:r>
      <w:r>
        <w:t xml:space="preserve"> </w:t>
      </w:r>
      <w:r>
        <w:t xml:space="preserve">none declared.</w:t>
      </w:r>
      <w:r>
        <w:t xml:space="preserve"> </w:t>
      </w:r>
      <w:r>
        <w:rPr>
          <w:b/>
          <w:bCs/>
        </w:rPr>
        <w:t xml:space="preserve">Ethics:</w:t>
      </w:r>
      <w:r>
        <w:t xml:space="preserve"> </w:t>
      </w:r>
      <w:r>
        <w:t xml:space="preserve">uses only open-source,</w:t>
      </w:r>
      <w:r>
        <w:t xml:space="preserve"> </w:t>
      </w:r>
      <w:r>
        <w:t xml:space="preserve">aggregate/public data; no individual patient data.</w:t>
      </w:r>
      <w:r>
        <w:t xml:space="preserve"> </w:t>
      </w:r>
      <w:r>
        <w:rPr>
          <w:b/>
          <w:bCs/>
        </w:rPr>
        <w:t xml:space="preserve">Author contributions:</w:t>
      </w:r>
      <w:r>
        <w:t xml:space="preserve"> </w:t>
      </w:r>
      <w:r>
        <w:t xml:space="preserve">YHW</w:t>
      </w:r>
      <w:r>
        <w:t xml:space="preserve"> </w:t>
      </w:r>
      <w:r>
        <w:t xml:space="preserve">conceived, built, and wrote.</w:t>
      </w:r>
    </w:p>
    <w:bookmarkEnd w:id="23"/>
    <w:bookmarkStart w:id="24" w:name="Xe07a37ba8723075a23c3e4138d6d46ac3399878"/>
    <w:p>
      <w:pPr>
        <w:pStyle w:val="Heading2"/>
      </w:pPr>
      <w:r>
        <w:t xml:space="preserve">8. References (verify &amp; complete before submission)</w:t>
      </w:r>
    </w:p>
    <w:p>
      <w:pPr>
        <w:pStyle w:val="Compact"/>
        <w:numPr>
          <w:ilvl w:val="0"/>
          <w:numId w:val="1001"/>
        </w:numPr>
      </w:pPr>
      <w:r>
        <w:t xml:space="preserve">WHO. Global Antimicrobial Resistance and Use Surveillance System (GLASS). https://www.who.int/initiatives/glass</w:t>
      </w:r>
    </w:p>
    <w:p>
      <w:pPr>
        <w:pStyle w:val="Compact"/>
        <w:numPr>
          <w:ilvl w:val="0"/>
          <w:numId w:val="1001"/>
        </w:numPr>
      </w:pPr>
      <w:r>
        <w:t xml:space="preserve">WHO. Epidemic Intelligence from Open Sources (EIOS). https://www.who.int/initiatives/eios</w:t>
      </w:r>
    </w:p>
    <w:p>
      <w:pPr>
        <w:pStyle w:val="Compact"/>
        <w:numPr>
          <w:ilvl w:val="0"/>
          <w:numId w:val="1001"/>
        </w:numPr>
      </w:pPr>
      <w:r>
        <w:t xml:space="preserve">HealthMap. https://www.healthmap.org · ProMED-mail. https://promedmail.org · EPIWATCH (UNSW).</w:t>
      </w:r>
    </w:p>
    <w:p>
      <w:pPr>
        <w:pStyle w:val="Compact"/>
        <w:numPr>
          <w:ilvl w:val="0"/>
          <w:numId w:val="1001"/>
        </w:numPr>
      </w:pPr>
      <w:r>
        <w:t xml:space="preserve">WHO Global Health Observatory OData API. https://www.who.int/data/gho/info/gho-odata-api</w:t>
      </w:r>
    </w:p>
    <w:p>
      <w:pPr>
        <w:pStyle w:val="Compact"/>
        <w:numPr>
          <w:ilvl w:val="0"/>
          <w:numId w:val="1001"/>
        </w:numPr>
      </w:pPr>
      <w:r>
        <w:t xml:space="preserve">NCBI E-utilities; Europe PMC RESTful API; ClinicalTrials.gov API v2.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[Add: AMR burden (e.g. GBD AMR); NLP/LLM for clinical or surveillance information extraction; benchmarking of open LLMs.]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orcid.org/0000-0003-0307-844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orcid.org/0000-0003-0307-844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2026-07-08T15:12:42Z</dcterms:created>
  <dcterms:modified xsi:type="dcterms:W3CDTF">2026-07-08T15:12:42Z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