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X600a2618c5c30508b60a79d3c8d16e8d9a48992"/>
    <w:p>
      <w:pPr>
        <w:pStyle w:val="Heading1"/>
      </w:pPr>
      <w:r>
        <w:t xml:space="preserve">VIGIL: an open, automatically-updating platform for global antimicrobial-resistance and infectious-disease intelligence from open-source text</w:t>
      </w:r>
    </w:p>
    <w:p>
      <w:pPr>
        <w:pStyle w:val="BlockText"/>
      </w:pPr>
      <w:r>
        <w:rPr>
          <w:b/>
          <w:bCs/>
        </w:rPr>
        <w:t xml:space="preserve">DRAFT preprint (resource descriptor).</w:t>
      </w:r>
      <w:r>
        <w:t xml:space="preserve"> </w:t>
      </w:r>
      <w:r>
        <w:t xml:space="preserve">Before posting: (1) regenerate the</w:t>
      </w:r>
      <w:r>
        <w:t xml:space="preserve"> </w:t>
      </w:r>
      <w:r>
        <w:t xml:space="preserve">numbers below from the live platform (they update daily); (2) complete the</w:t>
      </w:r>
      <w:r>
        <w:t xml:space="preserve"> </w:t>
      </w:r>
      <w:r>
        <w:t xml:space="preserve">citations marked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Numbers here are from a snapshot of</w:t>
      </w:r>
      <w:r>
        <w:t xml:space="preserve"> </w:t>
      </w:r>
      <w:r>
        <w:rPr>
          <w:b/>
          <w:bCs/>
        </w:rPr>
        <w:t xml:space="preserve">2,075</w:t>
      </w:r>
      <w:r>
        <w:rPr>
          <w:b/>
          <w:bCs/>
        </w:rPr>
        <w:t xml:space="preserve"> </w:t>
      </w:r>
      <w:r>
        <w:rPr>
          <w:b/>
          <w:bCs/>
        </w:rPr>
        <w:t xml:space="preserve">documents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Author.</w:t>
      </w:r>
      <w:r>
        <w:t xml:space="preserve"> </w:t>
      </w:r>
      <w:r>
        <w:t xml:space="preserve">Yen-Hsiang Wang, MD, MSc¹ · rogerwang890928@gmail.com ·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0000-0003-0307-8447</w:t>
        </w:r>
      </w:hyperlink>
      <w:r>
        <w:t xml:space="preserve"> </w:t>
      </w:r>
      <w:r>
        <w:t xml:space="preserve">¹ Graduate Institute of Medical Sciences, College of Medicine, Taipei Medical</w:t>
      </w:r>
      <w:r>
        <w:t xml:space="preserve"> </w:t>
      </w:r>
      <w:r>
        <w:t xml:space="preserve">University, Taipei 11031, Taiwan.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Code: https://github.com/Rogerking928/id-intel-platform ·</w:t>
      </w:r>
      <w:r>
        <w:t xml:space="preserve"> </w:t>
      </w:r>
      <w:r>
        <w:t xml:space="preserve">Archive/DOI: https://doi.org/10.5281/zenodo.21263882 ·</w:t>
      </w:r>
      <w:r>
        <w:t xml:space="preserve"> </w:t>
      </w:r>
      <w:r>
        <w:t xml:space="preserve">Live demo: https://id-intel-platform-4gkpazd4mhtj2upak5pzm9.streamlit.app/ ·</w:t>
      </w:r>
      <w:r>
        <w:t xml:space="preserve"> </w:t>
      </w:r>
      <w:r>
        <w:t xml:space="preserve">Licence: MIT.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Antimicrobial resistance (AMR) and emerging infections generate</w:t>
      </w:r>
      <w:r>
        <w:t xml:space="preserve"> </w:t>
      </w:r>
      <w:r>
        <w:t xml:space="preserve">large volumes of open-source text — outbreak alerts, peer-reviewed and preprint</w:t>
      </w:r>
      <w:r>
        <w:t xml:space="preserve"> </w:t>
      </w:r>
      <w:r>
        <w:t xml:space="preserve">literature, trial registries, and surveillance reports — yet converting this</w:t>
      </w:r>
      <w:r>
        <w:t xml:space="preserve"> </w:t>
      </w:r>
      <w:r>
        <w:t xml:space="preserve">text into structured, comparable intelligence remains largely manual. Existing</w:t>
      </w:r>
      <w:r>
        <w:t xml:space="preserve"> </w:t>
      </w:r>
      <w:r>
        <w:t xml:space="preserve">open-source epidemic-intelligence systems are optimised for outbreak event</w:t>
      </w:r>
      <w:r>
        <w:t xml:space="preserve"> </w:t>
      </w:r>
      <w:r>
        <w:t xml:space="preserve">detection rather than AMR-specific structured extraction, and few are fully open,</w:t>
      </w:r>
      <w:r>
        <w:t xml:space="preserve"> </w:t>
      </w:r>
      <w:r>
        <w:t xml:space="preserve">reproducible, or explicitly benchmarked against reference surveillance data.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design, build, and openly release a reproducible platform that</w:t>
      </w:r>
      <w:r>
        <w:t xml:space="preserve"> </w:t>
      </w:r>
      <w:r>
        <w:t xml:space="preserve">automatically collects open-source infectious-disease/AMR text, extracts a</w:t>
      </w:r>
      <w:r>
        <w:t xml:space="preserve"> </w:t>
      </w:r>
      <w:r>
        <w:t xml:space="preserve">structured schema, builds a knowledge graph, and produces validation-first</w:t>
      </w:r>
      <w:r>
        <w:t xml:space="preserve"> </w:t>
      </w:r>
      <w:r>
        <w:t xml:space="preserve">analytics, with an Asia-Pacific (APAC) focus.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VIGIL collects documents daily from eight configured source</w:t>
      </w:r>
      <w:r>
        <w:t xml:space="preserve"> </w:t>
      </w:r>
      <w:r>
        <w:t xml:space="preserve">families (WHO Disease Outbreak News, US CDC, ECDC, UK Health Security Agency,</w:t>
      </w:r>
      <w:r>
        <w:t xml:space="preserve"> </w:t>
      </w:r>
      <w:r>
        <w:t xml:space="preserve">PubMed, bioRxiv/medRxiv via Europe PMC, ClinicalTrials.gov, and WHO GLASS/GHO).</w:t>
      </w:r>
      <w:r>
        <w:t xml:space="preserve"> </w:t>
      </w:r>
      <w:r>
        <w:t xml:space="preserve">Each document is processed by an always-on rule-based extractor and an optional</w:t>
      </w:r>
      <w:r>
        <w:t xml:space="preserve"> </w:t>
      </w:r>
      <w:r>
        <w:t xml:space="preserve">large language model (LLM), both returning the same schema (pathogen, resistance</w:t>
      </w:r>
      <w:r>
        <w:t xml:space="preserve"> </w:t>
      </w:r>
      <w:r>
        <w:t xml:space="preserve">gene/mechanism, antibiotic, disease, country, event type). Entity co-occurrence</w:t>
      </w:r>
      <w:r>
        <w:t xml:space="preserve"> </w:t>
      </w:r>
      <w:r>
        <w:t xml:space="preserve">yields a knowledge graph; downstream modules compute growth-rate and</w:t>
      </w:r>
      <w:r>
        <w:t xml:space="preserve"> </w:t>
      </w:r>
      <w:r>
        <w:t xml:space="preserve">emerging-signal detection, weekly-volume forecasting with backtesting, novelty</w:t>
      </w:r>
      <w:r>
        <w:t xml:space="preserve"> </w:t>
      </w:r>
      <w:r>
        <w:t xml:space="preserve">detection, graph queries, a global heatmap, a country risk signal, and an</w:t>
      </w:r>
      <w:r>
        <w:t xml:space="preserve"> </w:t>
      </w:r>
      <w:r>
        <w:t xml:space="preserve">outbreak module. Analytics are validated against WHO GHO/GLASS resistance</w:t>
      </w:r>
      <w:r>
        <w:t xml:space="preserve"> </w:t>
      </w:r>
      <w:r>
        <w:t xml:space="preserve">indicators, which the platform ingests automatically. The stack (Python, SQLite,</w:t>
      </w:r>
      <w:r>
        <w:t xml:space="preserve"> </w:t>
      </w:r>
      <w:r>
        <w:t xml:space="preserve">Streamlit) is free, reproducible, and updates daily via continuous integration.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 snapshot of 2,075 documents across seven actively-contributing</w:t>
      </w:r>
      <w:r>
        <w:t xml:space="preserve"> </w:t>
      </w:r>
      <w:r>
        <w:t xml:space="preserve">sources produced 31 distinct pathogens, 12 resistance genes/mechanisms, 62</w:t>
      </w:r>
      <w:r>
        <w:t xml:space="preserve"> </w:t>
      </w:r>
      <w:r>
        <w:t xml:space="preserve">countries, and 1,060 knowledge-graph relations, alongside 1,005 WHO GHO reference</w:t>
      </w:r>
      <w:r>
        <w:t xml:space="preserve"> </w:t>
      </w:r>
      <w:r>
        <w:t xml:space="preserve">resistance values (101 countries, 2016–2023). In a preliminary construct-validity</w:t>
      </w:r>
      <w:r>
        <w:t xml:space="preserve"> </w:t>
      </w:r>
      <w:r>
        <w:t xml:space="preserve">analysis of 23 countries, raw document volume was essentially uncorrelated with</w:t>
      </w:r>
      <w:r>
        <w:t xml:space="preserve"> </w:t>
      </w:r>
      <w:r>
        <w:t xml:space="preserve">measured MRSA bloodstream-infection resistance (Spearman ρ = 0.06), whereas a</w:t>
      </w:r>
      <w:r>
        <w:t xml:space="preserve"> </w:t>
      </w:r>
      <w:r>
        <w:t xml:space="preserve">publication-normalised AMR share showed a weak positive association (ρ = 0.28).</w:t>
      </w:r>
      <w:r>
        <w:t xml:space="preserve"> </w:t>
      </w:r>
      <w:r>
        <w:t xml:space="preserve">Literature signal did not discriminate which of 39 countries had officially</w:t>
      </w:r>
      <w:r>
        <w:t xml:space="preserve"> </w:t>
      </w:r>
      <w:r>
        <w:t xml:space="preserve">reported outbreaks (rank-AUC = 0.16); reported outbreaks concentrated in</w:t>
      </w:r>
      <w:r>
        <w:t xml:space="preserve"> </w:t>
      </w:r>
      <w:r>
        <w:t xml:space="preserve">low-literature, lower-resource settings — a quantification of the global</w:t>
      </w:r>
      <w:r>
        <w:t xml:space="preserve"> </w:t>
      </w:r>
      <w:r>
        <w:t xml:space="preserve">surveillance gap.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VIGIL is an open, reproducible, validation-first infrastructure</w:t>
      </w:r>
      <w:r>
        <w:t xml:space="preserve"> </w:t>
      </w:r>
      <w:r>
        <w:t xml:space="preserve">for AMR and infectious-disease intelligence, and a foundation for downstream</w:t>
      </w:r>
      <w:r>
        <w:t xml:space="preserve"> </w:t>
      </w:r>
      <w:r>
        <w:t xml:space="preserve">methodological research including clinician-annotated LLM extraction benchmarking</w:t>
      </w:r>
      <w:r>
        <w:t xml:space="preserve"> </w:t>
      </w:r>
      <w:r>
        <w:t xml:space="preserve">and early-warning modelling. It is openly available with a citable DOI.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antimicrobial resistance; infectious disease surveillance; large</w:t>
      </w:r>
      <w:r>
        <w:t xml:space="preserve"> </w:t>
      </w:r>
      <w:r>
        <w:t xml:space="preserve">language models; information extraction; knowledge graph; open data; Asia-Pacific.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Antimicrobial resistance is among the leading global health threats, associated</w:t>
      </w:r>
      <w:r>
        <w:t xml:space="preserve"> </w:t>
      </w:r>
      <w:r>
        <w:t xml:space="preserve">with millions of attributable and associated deaths annually, with the heaviest</w:t>
      </w:r>
      <w:r>
        <w:t xml:space="preserve"> </w:t>
      </w:r>
      <w:r>
        <w:t xml:space="preserve">burden in low- and middle-income regions where surveillance capacity is weakest</w:t>
      </w:r>
      <w:r>
        <w:t xml:space="preserve"> </w:t>
      </w:r>
      <w:r>
        <w:rPr>
          <w:rStyle w:val="VerbatimChar"/>
        </w:rPr>
        <w:t xml:space="preserve">[ref: GBD AMR 2022; WHO AMR]</w:t>
      </w:r>
      <w:r>
        <w:t xml:space="preserve">. Timely awareness of where resistant pathogens and</w:t>
      </w:r>
      <w:r>
        <w:t xml:space="preserve"> </w:t>
      </w:r>
      <w:r>
        <w:t xml:space="preserve">outbreaks are emerging depends on synthesising information that is scattered</w:t>
      </w:r>
      <w:r>
        <w:t xml:space="preserve"> </w:t>
      </w:r>
      <w:r>
        <w:t xml:space="preserve">across many open sources — national and supranational alerts, the biomedical</w:t>
      </w:r>
      <w:r>
        <w:t xml:space="preserve"> </w:t>
      </w:r>
      <w:r>
        <w:t xml:space="preserve">literature and preprints, and clinical-trial registries — updated continuously</w:t>
      </w:r>
      <w:r>
        <w:t xml:space="preserve"> </w:t>
      </w:r>
      <w:r>
        <w:t xml:space="preserve">and in heterogeneous formats.</w:t>
      </w:r>
    </w:p>
    <w:p>
      <w:pPr>
        <w:pStyle w:val="BodyText"/>
      </w:pPr>
      <w:r>
        <w:t xml:space="preserve">Open-source epidemic intelligence has a strong tradition: systems such as WHO</w:t>
      </w:r>
      <w:r>
        <w:t xml:space="preserve"> </w:t>
      </w:r>
      <w:r>
        <w:t xml:space="preserve">EIOS, HealthMap, ProMED-mail, and EPIWATCH aggregate and flag disease events from</w:t>
      </w:r>
      <w:r>
        <w:t xml:space="preserve"> </w:t>
      </w:r>
      <w:r>
        <w:t xml:space="preserve">media and official reports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These systems are valuable for outbreak</w:t>
      </w:r>
      <w:r>
        <w:t xml:space="preserve"> </w:t>
      </w:r>
      <w:r>
        <w:t xml:space="preserve">signal detection, but they are generally oriented toward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structured, AMR-specific entities</w:t>
      </w:r>
      <w:r>
        <w:t xml:space="preserve"> </w:t>
      </w:r>
      <w:r>
        <w:t xml:space="preserve">(pathogen–gene–antibiotic–country</w:t>
      </w:r>
      <w:r>
        <w:t xml:space="preserve"> </w:t>
      </w:r>
      <w:r>
        <w:t xml:space="preserve">relationships) that AMR research and stewardship require, and several are</w:t>
      </w:r>
      <w:r>
        <w:t xml:space="preserve"> </w:t>
      </w:r>
      <w:r>
        <w:t xml:space="preserve">proprietary or not straightforwardly reproducible. Conversely, curated AMR</w:t>
      </w:r>
      <w:r>
        <w:t xml:space="preserve"> </w:t>
      </w:r>
      <w:r>
        <w:t xml:space="preserve">surveillance systems such as WHO GLASS provide high-quality laboratory-based</w:t>
      </w:r>
      <w:r>
        <w:t xml:space="preserve"> </w:t>
      </w:r>
      <w:r>
        <w:t xml:space="preserve">resistance data, but with reporting lag and limited country coverage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</w:t>
      </w:r>
    </w:p>
    <w:p>
      <w:pPr>
        <w:pStyle w:val="BodyText"/>
      </w:pPr>
      <w:r>
        <w:t xml:space="preserve">Large language models (LLMs) now make it feasible to extract structured entities</w:t>
      </w:r>
      <w:r>
        <w:t xml:space="preserve"> </w:t>
      </w:r>
      <w:r>
        <w:t xml:space="preserve">from free text at scale, but their use in AMR surveillance raises questions of</w:t>
      </w:r>
      <w:r>
        <w:t xml:space="preserve"> </w:t>
      </w:r>
      <w:r>
        <w:t xml:space="preserve">accuracy, reproducibility, cost, and clinician trust, and there is little open,</w:t>
      </w:r>
      <w:r>
        <w:t xml:space="preserve"> </w:t>
      </w:r>
      <w:r>
        <w:t xml:space="preserve">benchmarked tooling — particularly outside high-income, English-clinical-note</w:t>
      </w:r>
      <w:r>
        <w:t xml:space="preserve"> </w:t>
      </w:r>
      <w:r>
        <w:t xml:space="preserve">settings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There is therefore a gap for an</w:t>
      </w:r>
      <w:r>
        <w:t xml:space="preserve"> </w:t>
      </w:r>
      <w:r>
        <w:rPr>
          <w:b/>
          <w:bCs/>
        </w:rPr>
        <w:t xml:space="preserve">open, reproducible,</w:t>
      </w:r>
      <w:r>
        <w:rPr>
          <w:b/>
          <w:bCs/>
        </w:rPr>
        <w:t xml:space="preserve"> </w:t>
      </w:r>
      <w:r>
        <w:rPr>
          <w:b/>
          <w:bCs/>
        </w:rPr>
        <w:t xml:space="preserve">AMR-focused, validation-first</w:t>
      </w:r>
      <w:r>
        <w:t xml:space="preserve"> </w:t>
      </w:r>
      <w:r>
        <w:t xml:space="preserve">platform that (i) ingests open sources</w:t>
      </w:r>
      <w:r>
        <w:t xml:space="preserve"> </w:t>
      </w:r>
      <w:r>
        <w:t xml:space="preserve">automatically, (ii) extracts a structured schema using transparent and LLM</w:t>
      </w:r>
      <w:r>
        <w:t xml:space="preserve"> </w:t>
      </w:r>
      <w:r>
        <w:t xml:space="preserve">methods side by side, (iii) links entities into a knowledge graph, and (iv)</w:t>
      </w:r>
      <w:r>
        <w:t xml:space="preserve"> </w:t>
      </w:r>
      <w:r>
        <w:t xml:space="preserve">grounds its analytics in reference surveillance data — with an explicit</w:t>
      </w:r>
      <w:r>
        <w:t xml:space="preserve"> </w:t>
      </w:r>
      <w:r>
        <w:t xml:space="preserve">Asia-Pacific lens, a region under-represented in existing tools.</w:t>
      </w:r>
    </w:p>
    <w:p>
      <w:pPr>
        <w:pStyle w:val="BodyText"/>
      </w:pPr>
      <w:r>
        <w:t xml:space="preserve">We present VIGIL (Vigilance Intelligence for Global Infectious-disease &amp;</w:t>
      </w:r>
      <w:r>
        <w:t xml:space="preserve"> </w:t>
      </w:r>
      <w:r>
        <w:t xml:space="preserve">resistance Landscape), which addresses this gap and is released fully open-source</w:t>
      </w:r>
      <w:r>
        <w:t xml:space="preserve"> </w:t>
      </w:r>
      <w:r>
        <w:t xml:space="preserve">with a citable archive.</w:t>
      </w:r>
    </w:p>
    <w:bookmarkEnd w:id="11"/>
    <w:bookmarkStart w:id="24" w:name="implementation"/>
    <w:p>
      <w:pPr>
        <w:pStyle w:val="Heading2"/>
      </w:pPr>
      <w:r>
        <w:t xml:space="preserve">2. Implementation</w:t>
      </w:r>
    </w:p>
    <w:bookmarkStart w:id="15" w:name="overview-and-architecture"/>
    <w:p>
      <w:pPr>
        <w:pStyle w:val="Heading3"/>
      </w:pPr>
      <w:r>
        <w:t xml:space="preserve">2.1 Overview and architecture</w:t>
      </w:r>
    </w:p>
    <w:p>
      <w:pPr>
        <w:pStyle w:val="FirstParagraph"/>
      </w:pPr>
      <w:r>
        <w:t xml:space="preserve">VIGIL follows a linear, auditable pipeline:</w:t>
      </w:r>
      <w:r>
        <w:t xml:space="preserve"> </w:t>
      </w:r>
      <w:r>
        <w:rPr>
          <w:b/>
          <w:bCs/>
        </w:rPr>
        <w:t xml:space="preserve">collect → extract →</w:t>
      </w:r>
      <w:r>
        <w:rPr>
          <w:b/>
          <w:bCs/>
        </w:rPr>
        <w:t xml:space="preserve"> </w:t>
      </w:r>
      <w:r>
        <w:rPr>
          <w:b/>
          <w:bCs/>
        </w:rPr>
        <w:t xml:space="preserve">entities/relations → analyse → serve</w:t>
      </w:r>
      <w:r>
        <w:t xml:space="preserve"> </w:t>
      </w:r>
      <w:r>
        <w:t xml:space="preserve">(Figure 1). Documents are stored in a</w:t>
      </w:r>
      <w:r>
        <w:t xml:space="preserve"> </w:t>
      </w:r>
      <w:r>
        <w:t xml:space="preserve">single SQLite database. Every document retains its raw text, source, URL, and</w:t>
      </w:r>
      <w:r>
        <w:t xml:space="preserve"> </w:t>
      </w:r>
      <w:r>
        <w:t xml:space="preserve">fetch timestamp; every extraction retains the extractor name, model version,</w:t>
      </w:r>
      <w:r>
        <w:t xml:space="preserve"> </w:t>
      </w:r>
      <w:r>
        <w:t xml:space="preserve">prompt version, and raw output. This provenance makes each analytic result</w:t>
      </w:r>
      <w:r>
        <w:t xml:space="preserve"> </w:t>
      </w:r>
      <w:r>
        <w:t xml:space="preserve">traceable to source text and supports head-to-head comparison of extractors.</w:t>
      </w:r>
    </w:p>
    <w:p>
      <w:pPr>
        <w:pStyle w:val="CaptionedFigure"/>
      </w:pPr>
      <w:r>
        <w:drawing>
          <wp:inline>
            <wp:extent cx="5334000" cy="2244974"/>
            <wp:effectExtent b="0" l="0" r="0" t="0"/>
            <wp:docPr descr="Figure 1. VIGIL platform architecture: collect → extract → knowledge graph → analyse → serve, with full provenance stored at extraction and analytics validated against WHO GHO/GLASS reference data." title="" id="13" name="Picture"/>
            <a:graphic>
              <a:graphicData uri="http://schemas.openxmlformats.org/drawingml/2006/picture">
                <pic:pic>
                  <pic:nvPicPr>
                    <pic:cNvPr descr="figure1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VIGIL platform architecture: collect → extract → knowledge graph → analyse → serve, with full provenance stored at extraction and analytics validated against WHO GHO/GLASS reference data.</w:t>
      </w:r>
    </w:p>
    <w:bookmarkEnd w:id="15"/>
    <w:bookmarkStart w:id="16" w:name="data-sources"/>
    <w:p>
      <w:pPr>
        <w:pStyle w:val="Heading3"/>
      </w:pPr>
      <w:r>
        <w:t xml:space="preserve">2.2 Data sources</w:t>
      </w:r>
    </w:p>
    <w:p>
      <w:pPr>
        <w:pStyle w:val="FirstParagraph"/>
      </w:pPr>
      <w:r>
        <w:t xml:space="preserve">Eight source families are configured (Table 1), each accessed through public</w:t>
      </w:r>
      <w:r>
        <w:t xml:space="preserve"> </w:t>
      </w:r>
      <w:r>
        <w:t xml:space="preserve">APIs or feeds and de-duplicated so that only new records are appended on each</w:t>
      </w:r>
      <w:r>
        <w:t xml:space="preserve"> </w:t>
      </w:r>
      <w:r>
        <w:t xml:space="preserve">run. Sources span official alerts (WHO DON, CDC, ECDC, UKHSA), the literature</w:t>
      </w:r>
      <w:r>
        <w:t xml:space="preserve"> </w:t>
      </w:r>
      <w:r>
        <w:t xml:space="preserve">(PubMed, bioRxiv/medRxiv via Europe PMC), trials (ClinicalTrials.gov), and</w:t>
      </w:r>
      <w:r>
        <w:t xml:space="preserve"> </w:t>
      </w:r>
      <w:r>
        <w:t xml:space="preserve">reference resistance data (WHO GHO/GLASS).</w:t>
      </w:r>
    </w:p>
    <w:p>
      <w:pPr>
        <w:pStyle w:val="BodyText"/>
      </w:pPr>
      <w:r>
        <w:rPr>
          <w:b/>
          <w:bCs/>
        </w:rPr>
        <w:t xml:space="preserve">Table 1. Configured data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Disease Outbreak News</w:t>
            </w:r>
          </w:p>
        </w:tc>
        <w:tc>
          <w:tcPr/>
          <w:p>
            <w:pPr>
              <w:pStyle w:val="Compact"/>
            </w:pPr>
            <w:r>
              <w:t xml:space="preserve">Official outbreak alerts</w:t>
            </w:r>
          </w:p>
        </w:tc>
        <w:tc>
          <w:tcPr/>
          <w:p>
            <w:pPr>
              <w:pStyle w:val="Compact"/>
            </w:pPr>
            <w:r>
              <w:t xml:space="preserve">JSON (OData)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CDC</w:t>
            </w:r>
          </w:p>
        </w:tc>
        <w:tc>
          <w:tcPr/>
          <w:p>
            <w:pPr>
              <w:pStyle w:val="Compact"/>
            </w:pPr>
            <w:r>
              <w:t xml:space="preserve">Alerts / MMWR / newsroom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ECDC</w:t>
            </w:r>
          </w:p>
        </w:tc>
        <w:tc>
          <w:tcPr/>
          <w:p>
            <w:pPr>
              <w:pStyle w:val="Compact"/>
            </w:pPr>
            <w:r>
              <w:t xml:space="preserve">European communicable-disease news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Health Security Agency</w:t>
            </w:r>
          </w:p>
        </w:tc>
        <w:tc>
          <w:tcPr/>
          <w:p>
            <w:pPr>
              <w:pStyle w:val="Compact"/>
            </w:pPr>
            <w:r>
              <w:t xml:space="preserve">News &amp; guidance</w:t>
            </w:r>
          </w:p>
        </w:tc>
        <w:tc>
          <w:tcPr/>
          <w:p>
            <w:pPr>
              <w:pStyle w:val="Compact"/>
            </w:pPr>
            <w:r>
              <w:t xml:space="preserve">GOV.UK Atom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PubMed</w:t>
            </w:r>
          </w:p>
        </w:tc>
        <w:tc>
          <w:tcPr/>
          <w:p>
            <w:pPr>
              <w:pStyle w:val="Compact"/>
            </w:pPr>
            <w:r>
              <w:t xml:space="preserve">Peer-reviewed literature</w:t>
            </w:r>
          </w:p>
        </w:tc>
        <w:tc>
          <w:tcPr/>
          <w:p>
            <w:pPr>
              <w:pStyle w:val="Compact"/>
            </w:pPr>
            <w:r>
              <w:t xml:space="preserve">NCBI E-utilities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bioRxiv / medRxiv</w:t>
            </w:r>
          </w:p>
        </w:tc>
        <w:tc>
          <w:tcPr/>
          <w:p>
            <w:pPr>
              <w:pStyle w:val="Compact"/>
            </w:pPr>
            <w:r>
              <w:t xml:space="preserve">Preprints</w:t>
            </w:r>
          </w:p>
        </w:tc>
        <w:tc>
          <w:tcPr/>
          <w:p>
            <w:pPr>
              <w:pStyle w:val="Compact"/>
            </w:pPr>
            <w:r>
              <w:t xml:space="preserve">Europe PMC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ClinicalTrials.gov</w:t>
            </w:r>
          </w:p>
        </w:tc>
        <w:tc>
          <w:tcPr/>
          <w:p>
            <w:pPr>
              <w:pStyle w:val="Compact"/>
            </w:pPr>
            <w:r>
              <w:t xml:space="preserve">Trial registrations</w:t>
            </w:r>
          </w:p>
        </w:tc>
        <w:tc>
          <w:tcPr/>
          <w:p>
            <w:pPr>
              <w:pStyle w:val="Compact"/>
            </w:pPr>
            <w:r>
              <w:t xml:space="preserve">API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GHO / GLASS</w:t>
            </w:r>
          </w:p>
        </w:tc>
        <w:tc>
          <w:tcPr/>
          <w:p>
            <w:pPr>
              <w:pStyle w:val="Compact"/>
            </w:pPr>
            <w:r>
              <w:t xml:space="preserve">Reference resistance indicators</w:t>
            </w:r>
          </w:p>
        </w:tc>
        <w:tc>
          <w:tcPr/>
          <w:p>
            <w:pPr>
              <w:pStyle w:val="Compact"/>
            </w:pPr>
            <w:r>
              <w:t xml:space="preserve">GHO OData API</w:t>
            </w:r>
          </w:p>
        </w:tc>
      </w:tr>
    </w:tbl>
    <w:bookmarkEnd w:id="16"/>
    <w:bookmarkStart w:id="17" w:name="information-extraction"/>
    <w:p>
      <w:pPr>
        <w:pStyle w:val="Heading3"/>
      </w:pPr>
      <w:r>
        <w:t xml:space="preserve">2.3 Information extraction</w:t>
      </w:r>
    </w:p>
    <w:p>
      <w:pPr>
        <w:pStyle w:val="FirstParagraph"/>
      </w:pPr>
      <w:r>
        <w:t xml:space="preserve">Two extractors return an identical schema. The</w:t>
      </w:r>
      <w:r>
        <w:t xml:space="preserve"> </w:t>
      </w:r>
      <w:r>
        <w:rPr>
          <w:b/>
          <w:bCs/>
        </w:rPr>
        <w:t xml:space="preserve">rule-based</w:t>
      </w:r>
      <w:r>
        <w:t xml:space="preserve"> </w:t>
      </w:r>
      <w:r>
        <w:t xml:space="preserve">extractor applies</w:t>
      </w:r>
      <w:r>
        <w:t xml:space="preserve"> </w:t>
      </w:r>
      <w:r>
        <w:t xml:space="preserve">frozen controlled vocabularies (a versioned codebook) with word-boundary</w:t>
      </w:r>
      <w:r>
        <w:t xml:space="preserve"> </w:t>
      </w:r>
      <w:r>
        <w:t xml:space="preserve">matching, country-alias canonicalisation, and assertion/negation handling; it is</w:t>
      </w:r>
      <w:r>
        <w:t xml:space="preserve"> </w:t>
      </w:r>
      <w:r>
        <w:t xml:space="preserve">free, offline, deterministic, and serves as the benchmark baseline. The optional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extractor (Google Gemini in the current build; the interface is</w:t>
      </w:r>
      <w:r>
        <w:t xml:space="preserve"> </w:t>
      </w:r>
      <w:r>
        <w:t xml:space="preserve">model-agnostic) is prompted to return the same JSON schema. Because both outputs</w:t>
      </w:r>
      <w:r>
        <w:t xml:space="preserve"> </w:t>
      </w:r>
      <w:r>
        <w:t xml:space="preserve">are stored per document, VIGIL supports a direct, reproducible comparison of</w:t>
      </w:r>
      <w:r>
        <w:t xml:space="preserve"> </w:t>
      </w:r>
      <w:r>
        <w:t xml:space="preserve">methods — for example, on a paper describing altered ceftazidime-avibactam</w:t>
      </w:r>
      <w:r>
        <w:t xml:space="preserve"> </w:t>
      </w:r>
      <w:r>
        <w:t xml:space="preserve">resistance, the LLM recovered specific alleles (KPC-234, NDM-1) and plasmid</w:t>
      </w:r>
      <w:r>
        <w:t xml:space="preserve"> </w:t>
      </w:r>
      <w:r>
        <w:t xml:space="preserve">context that the dictionary baseline did not.</w:t>
      </w:r>
    </w:p>
    <w:bookmarkEnd w:id="17"/>
    <w:bookmarkStart w:id="18" w:name="knowledge-graph-and-analytics"/>
    <w:p>
      <w:pPr>
        <w:pStyle w:val="Heading3"/>
      </w:pPr>
      <w:r>
        <w:t xml:space="preserve">2.4 Knowledge graph and analytics</w:t>
      </w:r>
    </w:p>
    <w:p>
      <w:pPr>
        <w:pStyle w:val="FirstParagraph"/>
      </w:pPr>
      <w:r>
        <w:t xml:space="preserve">Entity co-occurrence within a document generates</w:t>
      </w:r>
      <w:r>
        <w:t xml:space="preserve"> </w:t>
      </w:r>
      <w:r>
        <w:t xml:space="preserve">Pathogen→Country→Gene→Antibiotic→Disease relations, queryable as a graph. On top</w:t>
      </w:r>
      <w:r>
        <w:t xml:space="preserve"> </w:t>
      </w:r>
      <w:r>
        <w:t xml:space="preserve">of the graph and entity tables, VIGIL provides: (1) trend analysis with</w:t>
      </w:r>
      <w:r>
        <w:t xml:space="preserve"> </w:t>
      </w:r>
      <w:r>
        <w:t xml:space="preserve">growth-rate and emerging-signal detection; (2) weekly discussion-volume</w:t>
      </w:r>
      <w:r>
        <w:t xml:space="preserve"> </w:t>
      </w:r>
      <w:r>
        <w:t xml:space="preserve">forecasting with a transparent baseline and rolling backtest; (3) novelty</w:t>
      </w:r>
      <w:r>
        <w:t xml:space="preserve"> </w:t>
      </w:r>
      <w:r>
        <w:t xml:space="preserve">detection that flags entity combinations never previously co-occurring in the</w:t>
      </w:r>
      <w:r>
        <w:t xml:space="preserve"> </w:t>
      </w:r>
      <w:r>
        <w:t xml:space="preserve">corpus; (4) a knowledge-graph query interface (e.g. </w:t>
      </w:r>
      <w:r>
        <w:t xml:space="preserve">“which countries have newly</w:t>
      </w:r>
      <w:r>
        <w:t xml:space="preserve"> </w:t>
      </w:r>
      <w:r>
        <w:t xml:space="preserve">reported a given resistance mechanism?”</w:t>
      </w:r>
      <w:r>
        <w:t xml:space="preserve">); (5) a global choropleth; (6) a</w:t>
      </w:r>
      <w:r>
        <w:t xml:space="preserve"> </w:t>
      </w:r>
      <w:r>
        <w:t xml:space="preserve">validation-first country risk signal; and (7) an outbreak module.</w:t>
      </w:r>
    </w:p>
    <w:bookmarkEnd w:id="18"/>
    <w:bookmarkStart w:id="19" w:name="validation-design"/>
    <w:p>
      <w:pPr>
        <w:pStyle w:val="Heading3"/>
      </w:pPr>
      <w:r>
        <w:t xml:space="preserve">2.5 Validation design</w:t>
      </w:r>
    </w:p>
    <w:p>
      <w:pPr>
        <w:pStyle w:val="FirstParagraph"/>
      </w:pPr>
      <w:r>
        <w:t xml:space="preserve">Analytics are grounded in reference data rather than asserted. WHO GHO/GLASS</w:t>
      </w:r>
      <w:r>
        <w:t xml:space="preserve"> </w:t>
      </w:r>
      <w:r>
        <w:t xml:space="preserve">resistance indicators (proportion of MRSA and third-generation-cephalosporin-</w:t>
      </w:r>
      <w:r>
        <w:t xml:space="preserve"> </w:t>
      </w:r>
      <w:r>
        <w:t xml:space="preserve">resistant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bloodstream infections) are ingested automatically as ground</w:t>
      </w:r>
      <w:r>
        <w:t xml:space="preserve"> </w:t>
      </w:r>
      <w:r>
        <w:t xml:space="preserve">truth. Construct validity is assessed cross-sectionally against these values. The</w:t>
      </w:r>
      <w:r>
        <w:t xml:space="preserve"> </w:t>
      </w:r>
      <w:r>
        <w:t xml:space="preserve">outbreak task deliberately separates sources — outcomes are taken from official</w:t>
      </w:r>
      <w:r>
        <w:t xml:space="preserve"> </w:t>
      </w:r>
      <w:r>
        <w:t xml:space="preserve">alerts (WHO/CDC/ECDC/UKHSA) while features derive from the literature stream — to</w:t>
      </w:r>
      <w:r>
        <w:t xml:space="preserve"> </w:t>
      </w:r>
      <w:r>
        <w:t xml:space="preserve">avoid circularity. A frozen annotation codebook and a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table support</w:t>
      </w:r>
      <w:r>
        <w:t xml:space="preserve"> </w:t>
      </w:r>
      <w:r>
        <w:t xml:space="preserve">a planned clinician-annotated extraction benchmark under leakage controls.</w:t>
      </w:r>
    </w:p>
    <w:bookmarkEnd w:id="19"/>
    <w:bookmarkStart w:id="23" w:name="availability-and-reproducibility"/>
    <w:p>
      <w:pPr>
        <w:pStyle w:val="Heading3"/>
      </w:pPr>
      <w:r>
        <w:t xml:space="preserve">2.6 Availability and reproducibility</w:t>
      </w:r>
    </w:p>
    <w:p>
      <w:pPr>
        <w:pStyle w:val="FirstParagraph"/>
      </w:pPr>
      <w:r>
        <w:t xml:space="preserve">VIGIL is open-source (MIT), archived on Zenodo with a DOI, deployed as a public</w:t>
      </w:r>
      <w:r>
        <w:t xml:space="preserve"> </w:t>
      </w:r>
      <w:r>
        <w:t xml:space="preserve">live instance (Figure 4), and updated daily at no cost via continuous</w:t>
      </w:r>
      <w:r>
        <w:t xml:space="preserve"> </w:t>
      </w:r>
      <w:r>
        <w:t xml:space="preserve">integration. Code, the codebook, and the schema are versioned; a single command</w:t>
      </w:r>
      <w:r>
        <w:t xml:space="preserve"> </w:t>
      </w:r>
      <w:r>
        <w:t xml:space="preserve">reproduces the pipeline.</w:t>
      </w:r>
    </w:p>
    <w:p>
      <w:pPr>
        <w:pStyle w:val="CaptionedFigure"/>
      </w:pPr>
      <w:r>
        <w:drawing>
          <wp:inline>
            <wp:extent cx="5334000" cy="2530302"/>
            <wp:effectExtent b="0" l="0" r="0" t="0"/>
            <wp:docPr descr="Figure 4. The VIGIL web dashboard (public live instance): daily-updated corpus metrics and highlights, with sidebar access to search, trend, knowledge-graph, forecast, signal, novelty, graph-query, heatmap, risk, and outbreak modules, plus the annotation and benchmark tools." title="" id="21" name="Picture"/>
            <a:graphic>
              <a:graphicData uri="http://schemas.openxmlformats.org/drawingml/2006/picture">
                <pic:pic>
                  <pic:nvPicPr>
                    <pic:cNvPr descr="figure4_dashboar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VIGIL web dashboard (public live instance): daily-updated corpus metrics and highlights, with sidebar access to search, trend, knowledge-graph, forecast, signal, novelty, graph-query, heatmap, risk, and outbreak modules, plus the annotation and benchmark tools.</w: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corpus"/>
    <w:p>
      <w:pPr>
        <w:pStyle w:val="Heading3"/>
      </w:pPr>
      <w:r>
        <w:t xml:space="preserve">3.1 Corpus</w:t>
      </w:r>
    </w:p>
    <w:p>
      <w:pPr>
        <w:pStyle w:val="FirstParagraph"/>
      </w:pPr>
      <w:r>
        <w:t xml:space="preserve">The analysed snapshot contained 2,075 documents. Seven sources contributed</w:t>
      </w:r>
      <w:r>
        <w:t xml:space="preserve"> </w:t>
      </w:r>
      <w:r>
        <w:t xml:space="preserve">actively (CDC n=1,828; preprints n=116; PubMed n=54; ClinicalTrials n=37; UKHSA</w:t>
      </w:r>
      <w:r>
        <w:t xml:space="preserve"> </w:t>
      </w:r>
      <w:r>
        <w:t xml:space="preserve">n=20; ECDC n=10; WHO DON n=10); the GLASS ingestion path is included but was not</w:t>
      </w:r>
      <w:r>
        <w:t xml:space="preserve"> </w:t>
      </w:r>
      <w:r>
        <w:t xml:space="preserve">populated in this snapshot. Extraction yielded 31 distinct pathogens (including</w:t>
      </w:r>
      <w:r>
        <w:t xml:space="preserve"> </w:t>
      </w:r>
      <w:r>
        <w:t xml:space="preserve">the priority phenotypes MRSA, VRE, CRE, CRAB, and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), 12 resistance</w:t>
      </w:r>
      <w:r>
        <w:t xml:space="preserve"> </w:t>
      </w:r>
      <w:r>
        <w:t xml:space="preserve">genes/mechanisms, 62 countries, and 1,060 knowledge-graph relations. The WHO GHO</w:t>
      </w:r>
      <w:r>
        <w:t xml:space="preserve"> </w:t>
      </w:r>
      <w:r>
        <w:t xml:space="preserve">ingestion added 1,005 reference resistance values spanning 101 countries and</w:t>
      </w:r>
      <w:r>
        <w:t xml:space="preserve"> </w:t>
      </w:r>
      <w:r>
        <w:t xml:space="preserve">2016–2023.</w:t>
      </w:r>
    </w:p>
    <w:bookmarkEnd w:id="25"/>
    <w:bookmarkStart w:id="29" w:name="Xfe362eb0d94a590b7c669f8e7a55a7ca804140e"/>
    <w:p>
      <w:pPr>
        <w:pStyle w:val="Heading3"/>
      </w:pPr>
      <w:r>
        <w:t xml:space="preserve">3.2 Extraction and knowledge graph (illustrative)</w:t>
      </w:r>
    </w:p>
    <w:p>
      <w:pPr>
        <w:pStyle w:val="FirstParagraph"/>
      </w:pPr>
      <w:r>
        <w:t xml:space="preserve">Structured extraction reproduced expected AMR concepts and, for the LLM</w:t>
      </w:r>
      <w:r>
        <w:t xml:space="preserve"> </w:t>
      </w:r>
      <w:r>
        <w:t xml:space="preserve">extractor, recovered fine-grained resistance alleles absent from the baseline</w:t>
      </w:r>
      <w:r>
        <w:t xml:space="preserve"> </w:t>
      </w:r>
      <w:r>
        <w:t xml:space="preserve">dictionary. Graph queries returned interpretable chains — for example, for</w:t>
      </w:r>
      <w:r>
        <w:t xml:space="preserve"> </w:t>
      </w:r>
      <w:r>
        <w:t xml:space="preserve">carbapenem-resistant Enterobacterales the platform linked specific countries,</w:t>
      </w:r>
      <w:r>
        <w:t xml:space="preserve"> </w:t>
      </w:r>
      <w:r>
        <w:t xml:space="preserve">carbapenemase genes (e.g. OXA-48, KPC, NDM), and agents (e.g.</w:t>
      </w:r>
      <w:r>
        <w:t xml:space="preserve"> </w:t>
      </w:r>
      <w:r>
        <w:t xml:space="preserve">ceftazidime-avibactam), each traceable to the underlying documents (Figure 3).</w:t>
      </w:r>
    </w:p>
    <w:p>
      <w:pPr>
        <w:pStyle w:val="CaptionedFigure"/>
      </w:pPr>
      <w:r>
        <w:drawing>
          <wp:inline>
            <wp:extent cx="5334000" cy="4122592"/>
            <wp:effectExtent b="0" l="0" r="0" t="0"/>
            <wp:docPr descr="Figure 3. Knowledge-graph neighbourhood of carbapenem-resistant Enterobacterales (CRE) in the corpus: co-occurring countries, resistance genes, antibiotics, and clinical syndromes, each edge traceable to source documents." title="" id="27" name="Picture"/>
            <a:graphic>
              <a:graphicData uri="http://schemas.openxmlformats.org/drawingml/2006/picture">
                <pic:pic>
                  <pic:nvPicPr>
                    <pic:cNvPr descr="figure3_k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2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Knowledge-graph neighbourhood of carbapenem-resistant Enterobacterales (CRE) in the corpus: co-occurring countries, resistance genes, antibiotics, and clinical syndromes, each edge traceable to source documents.</w:t>
      </w:r>
    </w:p>
    <w:bookmarkEnd w:id="29"/>
    <w:bookmarkStart w:id="33" w:name="preliminary-validation"/>
    <w:p>
      <w:pPr>
        <w:pStyle w:val="Heading3"/>
      </w:pPr>
      <w:r>
        <w:t xml:space="preserve">3.3 Preliminary validation</w:t>
      </w:r>
    </w:p>
    <w:p>
      <w:pPr>
        <w:pStyle w:val="FirstParagraph"/>
      </w:pPr>
      <w:r>
        <w:t xml:space="preserve">Across the 23 countries with both a platform AMR signal and a WHO GHO MRSA value,</w:t>
      </w:r>
      <w:r>
        <w:t xml:space="preserve"> </w:t>
      </w:r>
      <w:r>
        <w:t xml:space="preserve">raw document volume was essentially uncorrelated with measured resistance</w:t>
      </w:r>
      <w:r>
        <w:t xml:space="preserve"> </w:t>
      </w:r>
      <w:r>
        <w:t xml:space="preserve">(Spearman ρ = 0.06), whereas a publication-normalised AMR share showed a weak</w:t>
      </w:r>
      <w:r>
        <w:t xml:space="preserve"> </w:t>
      </w:r>
      <w:r>
        <w:t xml:space="preserve">positive association (ρ = 0.28) — consistent with document volume reflecting</w:t>
      </w:r>
      <w:r>
        <w:t xml:space="preserve"> </w:t>
      </w:r>
      <w:r>
        <w:t xml:space="preserve">research output rather than disease burden, and with normalisation partially</w:t>
      </w:r>
      <w:r>
        <w:t xml:space="preserve"> </w:t>
      </w:r>
      <w:r>
        <w:t xml:space="preserve">recovering signal. In the outbreak task (39 countries, 29 with an officially</w:t>
      </w:r>
      <w:r>
        <w:t xml:space="preserve"> </w:t>
      </w:r>
      <w:r>
        <w:t xml:space="preserve">reported outbreak), literature signal did not discriminate outbreak-affected</w:t>
      </w:r>
      <w:r>
        <w:t xml:space="preserve"> </w:t>
      </w:r>
      <w:r>
        <w:t xml:space="preserve">countries (rank-AUC = 0.16); reported outbreaks concentrated in low-literature,</w:t>
      </w:r>
      <w:r>
        <w:t xml:space="preserve"> </w:t>
      </w:r>
      <w:r>
        <w:t xml:space="preserve">lower-resource settings. These proof-of-concept results are preliminary and are</w:t>
      </w:r>
      <w:r>
        <w:t xml:space="preserve"> </w:t>
      </w:r>
      <w:r>
        <w:t xml:space="preserve">expected to sharpen as the corpus accumulates, but they already demonstrate the</w:t>
      </w:r>
      <w:r>
        <w:t xml:space="preserve"> </w:t>
      </w:r>
      <w:r>
        <w:t xml:space="preserve">platform’s ability to make the surveillance gap explicit and measurable (Figure 2).</w:t>
      </w:r>
    </w:p>
    <w:p>
      <w:pPr>
        <w:pStyle w:val="CaptionedFigure"/>
      </w:pPr>
      <w:r>
        <w:drawing>
          <wp:inline>
            <wp:extent cx="5334000" cy="3849395"/>
            <wp:effectExtent b="0" l="0" r="0" t="0"/>
            <wp:docPr descr="Figure 2. Construct validity: per-country VIGIL platform AMR share versus WHO GHO measured MRSA bloodstream-infection resistance (%), across 23 countries. Raw document volume is essentially uncorrelated with measured resistance (Spearman ρ = 0.06); the publication-normalised AMR share shows a weak positive association (ρ = 0.28)." title="" id="31" name="Picture"/>
            <a:graphic>
              <a:graphicData uri="http://schemas.openxmlformats.org/drawingml/2006/picture">
                <pic:pic>
                  <pic:nvPicPr>
                    <pic:cNvPr descr="figure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Construct validity: per-country VIGIL platform AMR share versus WHO GHO measured MRSA bloodstream-infection resistance (%), across 23 countries. Raw document volume is essentially uncorrelated with measured resistance (Spearman ρ = 0.06); the publication-normalised AMR share shows a weak positive association (ρ = 0.28).</w:t>
      </w:r>
    </w:p>
    <w:bookmarkEnd w:id="33"/>
    <w:bookmarkEnd w:id="34"/>
    <w:bookmarkStart w:id="35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VIGIL complements, rather than duplicates, existing open-source</w:t>
      </w:r>
      <w:r>
        <w:t xml:space="preserve"> </w:t>
      </w:r>
      <w:r>
        <w:t xml:space="preserve">epidemic-intelligence systems: where those emphasise outbreak-event detection,</w:t>
      </w:r>
      <w:r>
        <w:t xml:space="preserve"> </w:t>
      </w:r>
      <w:r>
        <w:t xml:space="preserve">VIGIL emphasises</w:t>
      </w:r>
      <w:r>
        <w:t xml:space="preserve"> </w:t>
      </w:r>
      <w:r>
        <w:rPr>
          <w:b/>
          <w:bCs/>
        </w:rPr>
        <w:t xml:space="preserve">structured, AMR-specific extraction, a knowledge graph, and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 against reference resistance data</w:t>
      </w:r>
      <w:r>
        <w:t xml:space="preserve">, all fully open and reproducible.</w:t>
      </w:r>
      <w:r>
        <w:t xml:space="preserve"> </w:t>
      </w:r>
      <w:r>
        <w:t xml:space="preserve">Its most striking early observation — that raw open-source literature signal is</w:t>
      </w:r>
      <w:r>
        <w:t xml:space="preserve"> </w:t>
      </w:r>
      <w:r>
        <w:t xml:space="preserve">uncorrelated with measured resistance and inversely associated with where</w:t>
      </w:r>
      <w:r>
        <w:t xml:space="preserve"> </w:t>
      </w:r>
      <w:r>
        <w:t xml:space="preserve">outbreaks are officially reported — is itself a substantive finding: naïve</w:t>
      </w:r>
      <w:r>
        <w:t xml:space="preserve"> </w:t>
      </w:r>
      <w:r>
        <w:t xml:space="preserve">text-volume indicators would misrank global risk, and any credible early-warning</w:t>
      </w:r>
      <w:r>
        <w:t xml:space="preserve"> </w:t>
      </w:r>
      <w:r>
        <w:t xml:space="preserve">model must correct for reporting and publication bias. By quantifying this gap</w:t>
      </w:r>
      <w:r>
        <w:t xml:space="preserve"> </w:t>
      </w:r>
      <w:r>
        <w:t xml:space="preserve">against WHO reference data, VIGIL turns a known caveat into a measurable target.</w:t>
      </w:r>
    </w:p>
    <w:p>
      <w:pPr>
        <w:pStyle w:val="BodyText"/>
      </w:pPr>
      <w:r>
        <w:t xml:space="preserve">The platform is also designed as research infrastructure. Because it stores both</w:t>
      </w:r>
      <w:r>
        <w:t xml:space="preserve"> </w:t>
      </w:r>
      <w:r>
        <w:t xml:space="preserve">rule-based and LLM outputs with full provenance and ships a frozen annotation</w:t>
      </w:r>
      <w:r>
        <w:t xml:space="preserve"> </w:t>
      </w:r>
      <w:r>
        <w:t xml:space="preserve">codebook, it directly enables a clinician-annotated benchmark of open LLMs for</w:t>
      </w:r>
      <w:r>
        <w:t xml:space="preserve"> </w:t>
      </w:r>
      <w:r>
        <w:t xml:space="preserve">AMR extraction, and its accumulating time series supports early-warning modelling</w:t>
      </w:r>
      <w:r>
        <w:t xml:space="preserve"> </w:t>
      </w:r>
      <w:r>
        <w:t xml:space="preserve">with lead-time evaluation against GLASS. Its Asia-Pacific focus addresses a</w:t>
      </w:r>
      <w:r>
        <w:t xml:space="preserve"> </w:t>
      </w:r>
      <w:r>
        <w:t xml:space="preserve">region under-represented in existing tools.</w:t>
      </w:r>
    </w:p>
    <w:bookmarkEnd w:id="35"/>
    <w:bookmarkStart w:id="36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The corpus is young, so trend, forecasting, and novelty analytics are preliminary</w:t>
      </w:r>
      <w:r>
        <w:t xml:space="preserve"> </w:t>
      </w:r>
      <w:r>
        <w:t xml:space="preserve">and strengthen with accumulated history. Text-derived geolocation reflects where</w:t>
      </w:r>
      <w:r>
        <w:t xml:space="preserve"> </w:t>
      </w:r>
      <w:r>
        <w:t xml:space="preserve">topics are reported or studied, not confirmed case counts, and is subject to</w:t>
      </w:r>
      <w:r>
        <w:t xml:space="preserve"> </w:t>
      </w:r>
      <w:r>
        <w:t xml:space="preserve">reporting and publication bias (which the platform surfaces rather than conceals).</w:t>
      </w:r>
      <w:r>
        <w:t xml:space="preserve"> </w:t>
      </w:r>
      <w:r>
        <w:t xml:space="preserve">Reference coverage is incomplete: WHO GHO does not list some territories,</w:t>
      </w:r>
      <w:r>
        <w:t xml:space="preserve"> </w:t>
      </w:r>
      <w:r>
        <w:t xml:space="preserve">including Taiwan (a listing limitation of the reference source, not a platform</w:t>
      </w:r>
      <w:r>
        <w:t xml:space="preserve"> </w:t>
      </w:r>
      <w:r>
        <w:t xml:space="preserve">merge), and lacks values for several countries on these indicators. LLM</w:t>
      </w:r>
      <w:r>
        <w:t xml:space="preserve"> </w:t>
      </w:r>
      <w:r>
        <w:t xml:space="preserve">extraction is currently constrained by free-tier throughput. Finally, the</w:t>
      </w:r>
      <w:r>
        <w:t xml:space="preserve"> </w:t>
      </w:r>
      <w:r>
        <w:t xml:space="preserve">extraction benchmark awaits full clinician annotation and a second annotator for</w:t>
      </w:r>
      <w:r>
        <w:t xml:space="preserve"> </w:t>
      </w:r>
      <w:r>
        <w:t xml:space="preserve">reliability estimation.</w:t>
      </w:r>
    </w:p>
    <w:bookmarkEnd w:id="36"/>
    <w:bookmarkStart w:id="37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VIGIL is an open, validation-first platform that converts open-source</w:t>
      </w:r>
      <w:r>
        <w:t xml:space="preserve"> </w:t>
      </w:r>
      <w:r>
        <w:t xml:space="preserve">infectious-disease and AMR text into structured, citable intelligence, and a</w:t>
      </w:r>
      <w:r>
        <w:t xml:space="preserve"> </w:t>
      </w:r>
      <w:r>
        <w:t xml:space="preserve">foundation for a program of methodological studies. It is freely available, runs</w:t>
      </w:r>
      <w:r>
        <w:t xml:space="preserve"> </w:t>
      </w:r>
      <w:r>
        <w:t xml:space="preserve">and updates at no cost, and is archived with a DOI for reuse and citation.</w:t>
      </w:r>
    </w:p>
    <w:bookmarkEnd w:id="37"/>
    <w:bookmarkStart w:id="38" w:name="declarations"/>
    <w:p>
      <w:pPr>
        <w:pStyle w:val="Heading2"/>
      </w:pPr>
      <w:r>
        <w:t xml:space="preserve">7. Declarations</w:t>
      </w:r>
    </w:p>
    <w:p>
      <w:pPr>
        <w:pStyle w:val="FirstParagraph"/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all code and the annotated schema are available on</w:t>
      </w:r>
      <w:r>
        <w:t xml:space="preserve"> </w:t>
      </w:r>
      <w:r>
        <w:t xml:space="preserve">GitHub and archived on Zenodo (DOI: 10.5281/zenodo.21263882); data derive from</w:t>
      </w:r>
      <w:r>
        <w:t xml:space="preserve"> </w:t>
      </w:r>
      <w:r>
        <w:t xml:space="preserve">public open-source APIs.</w:t>
      </w:r>
      <w:r>
        <w:t xml:space="preserve"> </w:t>
      </w:r>
      <w:r>
        <w:rPr>
          <w:b/>
          <w:bCs/>
        </w:rPr>
        <w:t xml:space="preserve">Funding:</w:t>
      </w:r>
      <w:r>
        <w:t xml:space="preserve"> </w:t>
      </w:r>
      <w:r>
        <w:t xml:space="preserve">none</w:t>
      </w:r>
      <w:r>
        <w:t xml:space="preserve"> </w:t>
      </w:r>
      <w:r>
        <w:rPr>
          <w:rStyle w:val="VerbatimChar"/>
        </w:rPr>
        <w:t xml:space="preserve">[confirm/fill]</w:t>
      </w:r>
      <w:r>
        <w:t xml:space="preserve">.</w:t>
      </w:r>
      <w:r>
        <w:t xml:space="preserve"> </w:t>
      </w:r>
      <w:r>
        <w:rPr>
          <w:b/>
          <w:bCs/>
        </w:rPr>
        <w:t xml:space="preserve">Competing</w:t>
      </w:r>
      <w:r>
        <w:rPr>
          <w:b/>
          <w:bCs/>
        </w:rPr>
        <w:t xml:space="preserve"> </w:t>
      </w:r>
      <w:r>
        <w:rPr>
          <w:b/>
          <w:bCs/>
        </w:rPr>
        <w:t xml:space="preserve">interests:</w:t>
      </w:r>
      <w:r>
        <w:t xml:space="preserve"> </w:t>
      </w:r>
      <w:r>
        <w:t xml:space="preserve">none declared.</w:t>
      </w:r>
      <w:r>
        <w:t xml:space="preserve"> </w:t>
      </w:r>
      <w:r>
        <w:rPr>
          <w:b/>
          <w:bCs/>
        </w:rPr>
        <w:t xml:space="preserve">Ethics:</w:t>
      </w:r>
      <w:r>
        <w:t xml:space="preserve"> </w:t>
      </w:r>
      <w:r>
        <w:t xml:space="preserve">the platform uses only open-source,</w:t>
      </w:r>
      <w:r>
        <w:t xml:space="preserve"> </w:t>
      </w:r>
      <w:r>
        <w:t xml:space="preserve">aggregate/public data and no individual patient data.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YHW conceived, designed, implemented, and wrote the work.</w:t>
      </w:r>
    </w:p>
    <w:bookmarkEnd w:id="38"/>
    <w:bookmarkStart w:id="39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rPr>
          <w:i/>
          <w:iCs/>
        </w:rPr>
        <w:t xml:space="preserve">Vancouver style. Entries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[verify]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checked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original before submission; add the empirical AMR/NLP references noted at the end.</w:t>
      </w:r>
    </w:p>
    <w:p>
      <w:pPr>
        <w:pStyle w:val="Compact"/>
        <w:numPr>
          <w:ilvl w:val="0"/>
          <w:numId w:val="1001"/>
        </w:numPr>
      </w:pPr>
      <w:r>
        <w:t xml:space="preserve">Antimicrobial Resistance Collaborators. Global burden of bacterial antimicrobial resistance in 2019: a systematic analysis. Lancet. 2022;399(10325):629-655.</w:t>
      </w:r>
      <w:r>
        <w:t xml:space="preserve"> </w:t>
      </w:r>
      <w:r>
        <w:rPr>
          <w:rStyle w:val="VerbatimChar"/>
        </w:rPr>
        <w:t xml:space="preserve">[verify pages]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Global Antimicrobial Resistance and Use Surveillance System (GLASS) [Internet]. Geneva: WHO; [cited 2026 Jul 8]. Available from: https://www.who.int/initiatives/glass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Epidemic Intelligence from Open Sources (EIOS) [Internet]. Geneva: WHO; [cited 2026 Jul 8]. Available from: https://www.who.int/initiatives/eios</w:t>
      </w:r>
    </w:p>
    <w:p>
      <w:pPr>
        <w:pStyle w:val="Compact"/>
        <w:numPr>
          <w:ilvl w:val="0"/>
          <w:numId w:val="1001"/>
        </w:numPr>
      </w:pPr>
      <w:r>
        <w:t xml:space="preserve">Freifeld CC, Mandl KD, Reis BY, Brownstein JS. HealthMap: global infectious disease monitoring through automated classification and visualization of Internet media reports. J Am Med Inform Assoc. 2008;15(2):150-157.</w:t>
      </w:r>
      <w:r>
        <w:t xml:space="preserve"> </w:t>
      </w:r>
      <w:r>
        <w:rPr>
          <w:rStyle w:val="VerbatimChar"/>
        </w:rPr>
        <w:t xml:space="preserve">[verify]</w:t>
      </w:r>
    </w:p>
    <w:p>
      <w:pPr>
        <w:pStyle w:val="Compact"/>
        <w:numPr>
          <w:ilvl w:val="0"/>
          <w:numId w:val="1001"/>
        </w:numPr>
      </w:pPr>
      <w:r>
        <w:t xml:space="preserve">International Society for Infectious Diseases. ProMED-mail [Internet]. [cited 2026 Jul 8]. Available from: https://promedmail.org</w:t>
      </w:r>
    </w:p>
    <w:p>
      <w:pPr>
        <w:pStyle w:val="Compact"/>
        <w:numPr>
          <w:ilvl w:val="0"/>
          <w:numId w:val="1001"/>
        </w:numPr>
      </w:pPr>
      <w:r>
        <w:t xml:space="preserve">MacIntyre CR, et al. EPIWATCH: open-source epidemic observatory [Internet]. Sydney: UNSW; [cited 2026 Jul 8]. Available from: https://www.epiwatch.org</w:t>
      </w:r>
      <w:r>
        <w:t xml:space="preserve"> </w:t>
      </w:r>
      <w:r>
        <w:rPr>
          <w:rStyle w:val="VerbatimChar"/>
        </w:rPr>
        <w:t xml:space="preserve">[verify author/title]</w:t>
      </w:r>
    </w:p>
    <w:p>
      <w:pPr>
        <w:pStyle w:val="Compact"/>
        <w:numPr>
          <w:ilvl w:val="0"/>
          <w:numId w:val="1001"/>
        </w:numPr>
      </w:pPr>
      <w:r>
        <w:t xml:space="preserve">World Health Organization. Global Health Observatory OData API [Internet]. Geneva: WHO; [cited 2026 Jul 8]. Available from: https://www.who.int/data/gho/info/gho-odata-api</w:t>
      </w:r>
    </w:p>
    <w:p>
      <w:pPr>
        <w:pStyle w:val="Compact"/>
        <w:numPr>
          <w:ilvl w:val="0"/>
          <w:numId w:val="1001"/>
        </w:numPr>
      </w:pPr>
      <w:r>
        <w:t xml:space="preserve">National Center for Biotechnology Information. Entrez Programming Utilities (E-utilities) [Internet]. Bethesda (MD): NCBI; [cited 2026 Jul 8]. Available from: https://www.ncbi.nlm.nih.gov/books/NBK25501/</w:t>
      </w:r>
    </w:p>
    <w:p>
      <w:pPr>
        <w:pStyle w:val="Compact"/>
        <w:numPr>
          <w:ilvl w:val="0"/>
          <w:numId w:val="1001"/>
        </w:numPr>
      </w:pPr>
      <w:r>
        <w:t xml:space="preserve">Europe PMC Consortium. Europe PMC RESTful Web Service [Internet]. [cited 2026 Jul 8]. Available from: https://europepmc.org/RestfulWebService</w:t>
      </w:r>
    </w:p>
    <w:p>
      <w:pPr>
        <w:pStyle w:val="Compact"/>
        <w:numPr>
          <w:ilvl w:val="0"/>
          <w:numId w:val="1001"/>
        </w:numPr>
      </w:pPr>
      <w:r>
        <w:t xml:space="preserve">National Library of Medicine. ClinicalTrials.gov API [Internet]. Bethesda (MD): NLM; [cited 2026 Jul 8]. Available from: https://clinicaltrials.gov/data-api/api</w:t>
      </w:r>
    </w:p>
    <w:p>
      <w:pPr>
        <w:pStyle w:val="FirstParagraph"/>
      </w:pPr>
      <w:r>
        <w:rPr>
          <w:i/>
          <w:iCs/>
        </w:rPr>
        <w:t xml:space="preserve">To add before submission: 1–3 references on NLP/large-language-model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extraction in clinical or public-health surveillance, and on benchmarking of open</w:t>
      </w:r>
      <w:r>
        <w:rPr>
          <w:i/>
          <w:iCs/>
        </w:rPr>
        <w:t xml:space="preserve"> </w:t>
      </w:r>
      <w:r>
        <w:rPr>
          <w:i/>
          <w:iCs/>
        </w:rPr>
        <w:t xml:space="preserve">LLMs, to support the Background and Discussion.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9" Target="https://orcid.org/0000-0003-0307-84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3-0307-84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2026-07-08T15:28:01Z</dcterms:created>
  <dcterms:modified xsi:type="dcterms:W3CDTF">2026-07-08T15:28:01Z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