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3.png" ContentType="image/png"/>
  <Override PartName="/word/media/rId29.png" ContentType="image/png"/>
  <Override PartName="/word/media/rId48.png" ContentType="image/png"/>
  <Override PartName="/word/media/rId52.png" ContentType="image/png"/>
  <Override PartName="/word/media/rId57.png" ContentType="image/png"/>
  <Override PartName="/word/media/rId6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VIGIL: A Validation-First Research Infrastructure</w:t>
      </w:r>
      <w:r>
        <w:rPr>
          <w:b/>
          <w:bCs/>
        </w:rPr>
        <w:t xml:space="preserve"> </w:t>
      </w:r>
      <w:r>
        <w:rPr>
          <w:b/>
          <w:bCs/>
        </w:rPr>
        <w:t xml:space="preserve">for Global Infectious-Disease Intelligence</w:t>
      </w:r>
    </w:p>
    <w:p>
      <w:pPr>
        <w:pStyle w:val="Author"/>
      </w:pPr>
      <w:r>
        <w:t xml:space="preserve">Yen-Hsiang Wang, MD, MSc</w:t>
      </w:r>
      <w:r>
        <w:br/>
      </w:r>
      <w:r>
        <w:rPr>
          <w:i/>
          <w:iCs/>
        </w:rPr>
        <w:t xml:space="preserve">Graduate Institute of Medical Sciences, College of Medicine,</w:t>
      </w:r>
      <w:r>
        <w:rPr>
          <w:i/>
          <w:iCs/>
        </w:rPr>
        <w:t xml:space="preserve"> </w:t>
      </w:r>
      <w:r>
        <w:rPr>
          <w:i/>
          <w:iCs/>
        </w:rPr>
        <w:t xml:space="preserve">Taipei Medical University, Taipei 11031, Taiwan</w:t>
      </w:r>
      <w:r>
        <w:br/>
      </w:r>
      <w:r>
        <w:t xml:space="preserve"> </w:t>
      </w:r>
      <w:hyperlink r:id="rId20">
        <w:r>
          <w:rPr>
            <w:rStyle w:val="Hyperlink"/>
          </w:rPr>
          <w:t xml:space="preserve">rogerwang890928@gmail.com</w:t>
        </w:r>
      </w:hyperlink>
      <w:r>
        <w:t xml:space="preserve"> </w:t>
      </w:r>
      <w:r>
        <w:t xml:space="preserve"> </w:t>
      </w:r>
      <m:oMath>
        <m:r>
          <m:rPr>
            <m:sty m:val="p"/>
          </m:rPr>
          <m:t>⋅</m:t>
        </m:r>
      </m:oMath>
      <w:r>
        <w:t xml:space="preserve">  ORCID </w:t>
      </w:r>
      <w:hyperlink r:id="rId21">
        <w:r>
          <w:rPr>
            <w:rStyle w:val="Hyperlink"/>
          </w:rPr>
          <w:t xml:space="preserve">0000-0003-0307-8447</w:t>
        </w:r>
      </w:hyperlink>
    </w:p>
    <w:bookmarkStart w:id="25" w:name="fig:arch"/>
    <w:p>
      <w:pPr>
        <w:pStyle w:val="CaptionedFigure"/>
      </w:pPr>
      <w:r>
        <w:drawing>
          <wp:inline>
            <wp:extent cx="2773680" cy="333215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1_architectu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3332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VIGIL as a validation-first research infrastructure. Open-source text</w:t>
      </w:r>
      <w:r>
        <w:t xml:space="preserve"> </w:t>
      </w:r>
      <w:r>
        <w:t xml:space="preserve">enters as fragmented signal; it is extracted to a common schema and linked into a</w:t>
      </w:r>
      <w:r>
        <w:t xml:space="preserve"> </w:t>
      </w:r>
      <w:r>
        <w:t xml:space="preserve">knowledge graph, and then — the pivotal step —</w:t>
      </w:r>
      <w:r>
        <w:t xml:space="preserve"> </w:t>
      </w:r>
      <w:r>
        <w:rPr>
          <w:i/>
          <w:iCs/>
        </w:rPr>
        <w:t xml:space="preserve">validated against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 WHO GHO/GLASS reference truth</w:t>
      </w:r>
      <w:r>
        <w:t xml:space="preserve"> </w:t>
      </w:r>
      <w:r>
        <w:t xml:space="preserve">before it is trusted. Validated signal</w:t>
      </w:r>
      <w:r>
        <w:t xml:space="preserve"> </w:t>
      </w:r>
      <w:r>
        <w:t xml:space="preserve">becomes research infrastructure (benchmarking, forecasting, risk, early-warning);</w:t>
      </w:r>
      <w:r>
        <w:t xml:space="preserve"> </w:t>
      </w:r>
      <w:r>
        <w:t xml:space="preserve">unvalidated signal is flagged, not acted on.</w:t>
      </w:r>
    </w:p>
    <w:bookmarkEnd w:id="25"/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Infectious-disease and antimicrobial-resistance (AMR) intelligence is increasingly</w:t>
      </w:r>
      <w:r>
        <w:t xml:space="preserve"> </w:t>
      </w:r>
      <w:r>
        <w:t xml:space="preserve">mined from open-source text — outbreak alerts, the peer-reviewed and preprint</w:t>
      </w:r>
      <w:r>
        <w:t xml:space="preserve"> </w:t>
      </w:r>
      <w:r>
        <w:t xml:space="preserve">literature, and trial registries. But text-derived signals inherit reporting and</w:t>
      </w:r>
      <w:r>
        <w:t xml:space="preserve"> </w:t>
      </w:r>
      <w:r>
        <w:t xml:space="preserve">publication bias, and are almost never checked against independent reference truth</w:t>
      </w:r>
      <w:r>
        <w:t xml:space="preserve"> </w:t>
      </w:r>
      <w:r>
        <w:t xml:space="preserve">before they inform situational awareness. We argue that open-source</w:t>
      </w:r>
      <w:r>
        <w:t xml:space="preserve"> </w:t>
      </w:r>
      <w:r>
        <w:t xml:space="preserve">infectious-disease intelligence should be treated not as a signal to be trusted but</w:t>
      </w:r>
      <w:r>
        <w:t xml:space="preserve"> </w:t>
      </w:r>
      <w:r>
        <w:t xml:space="preserve">as a hypothesis to be</w:t>
      </w:r>
      <w:r>
        <w:t xml:space="preserve"> </w:t>
      </w:r>
      <w:r>
        <w:rPr>
          <w:i/>
          <w:iCs/>
        </w:rPr>
        <w:t xml:space="preserve">validated</w:t>
      </w:r>
      <w:r>
        <w:t xml:space="preserve">, and that this validation must be continuous,</w:t>
      </w:r>
      <w:r>
        <w:t xml:space="preserve"> </w:t>
      </w:r>
      <w:r>
        <w:t xml:space="preserve">reproducible, and grounded in reference surveillance data.</w:t>
      </w:r>
      <w:r>
        <w:t xml:space="preserve"> </w:t>
      </w:r>
      <w:r>
        <w:rPr>
          <w:i/>
          <w:iCs/>
        </w:rPr>
        <w:t xml:space="preserve">How should</w:t>
      </w:r>
      <w:r>
        <w:rPr>
          <w:i/>
          <w:iCs/>
        </w:rPr>
        <w:t xml:space="preserve"> </w:t>
      </w:r>
      <w:r>
        <w:rPr>
          <w:i/>
          <w:iCs/>
        </w:rPr>
        <w:t xml:space="preserve">open-source infectious-disease intelligence be validated?</w:t>
      </w:r>
      <w:r>
        <w:t xml:space="preserve"> </w:t>
      </w:r>
      <w:r>
        <w:t xml:space="preserve">We answer with</w:t>
      </w:r>
      <w:r>
        <w:t xml:space="preserve"> </w:t>
      </w:r>
      <w:r>
        <w:rPr>
          <w:b/>
          <w:bCs/>
        </w:rPr>
        <w:t xml:space="preserve">VIGIL</w:t>
      </w:r>
      <w:r>
        <w:t xml:space="preserve">, a validation-first research infrastructure that collects documents</w:t>
      </w:r>
      <w:r>
        <w:t xml:space="preserve"> </w:t>
      </w:r>
      <w:r>
        <w:t xml:space="preserve">daily from eight open source families, extracts a fixed schema with a transparent</w:t>
      </w:r>
      <w:r>
        <w:t xml:space="preserve"> </w:t>
      </w:r>
      <w:r>
        <w:t xml:space="preserve">rule-based baseline and a large language model (LLM) side by side, links entities</w:t>
      </w:r>
      <w:r>
        <w:t xml:space="preserve"> </w:t>
      </w:r>
      <w:r>
        <w:t xml:space="preserve">into a knowledge graph, and — as its primary operation — grounds every derived</w:t>
      </w:r>
      <w:r>
        <w:t xml:space="preserve"> </w:t>
      </w:r>
      <w:r>
        <w:t xml:space="preserve">signal against WHO GHO/GLASS reference resistance data rather than asserting it. From</w:t>
      </w:r>
      <w:r>
        <w:t xml:space="preserve"> </w:t>
      </w:r>
      <w:r>
        <w:t xml:space="preserve">a snapshot of 2</w:t>
      </w:r>
      <w:r>
        <w:t xml:space="preserve">,</w:t>
      </w:r>
      <w:r>
        <w:t xml:space="preserve">075 documents VIGIL produced 31 pathogens, 12 resistance</w:t>
      </w:r>
      <w:r>
        <w:t xml:space="preserve"> </w:t>
      </w:r>
      <w:r>
        <w:t xml:space="preserve">mechanisms, 62 countries, and 1</w:t>
      </w:r>
      <w:r>
        <w:t xml:space="preserve">,</w:t>
      </w:r>
      <w:r>
        <w:t xml:space="preserve">060 knowledge-graph relations, aligned against</w:t>
      </w:r>
      <w:r>
        <w:t xml:space="preserve"> </w:t>
      </w:r>
      <w:r>
        <w:t xml:space="preserve">1</w:t>
      </w:r>
      <w:r>
        <w:t xml:space="preserve">,</w:t>
      </w:r>
      <w:r>
        <w:t xml:space="preserve">005 reference resistance values. Validation immediately proves its worth: across</w:t>
      </w:r>
      <w:r>
        <w:t xml:space="preserve"> </w:t>
      </w:r>
      <w:r>
        <w:t xml:space="preserve">43 countries, raw literature volume was essentially uncorrelated with measured MRSA</w:t>
      </w:r>
      <w:r>
        <w:t xml:space="preserve"> </w:t>
      </w:r>
      <w:r>
        <w:t xml:space="preserve">bloodstream-infection resistance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0.07</m:t>
        </m:r>
      </m:oMath>
      <w:r>
        <w:t xml:space="preserve">), and even after</w:t>
      </w:r>
      <w:r>
        <w:t xml:space="preserve"> </w:t>
      </w:r>
      <w:r>
        <w:t xml:space="preserve">publication-normalisation the association remained weak (</w:t>
      </w:r>
      <m:oMath>
        <m:r>
          <m:t>ρ</m:t>
        </m:r>
        <m:r>
          <m:rPr>
            <m:sty m:val="p"/>
          </m:rPr>
          <m:t>=</m:t>
        </m:r>
        <m:r>
          <m:t>0.16</m:t>
        </m:r>
      </m:oMath>
      <w:r>
        <w:t xml:space="preserve">) — direct</w:t>
      </w:r>
      <w:r>
        <w:t xml:space="preserve"> </w:t>
      </w:r>
      <w:r>
        <w:t xml:space="preserve">evidence that text volume must not be read as a resistance proxy. Rather than a</w:t>
      </w:r>
      <w:r>
        <w:t xml:space="preserve"> </w:t>
      </w:r>
      <w:r>
        <w:t xml:space="preserve">weakness, this result is the point: VIGIL turns an unexamined caveat into a</w:t>
      </w:r>
      <w:r>
        <w:t xml:space="preserve"> </w:t>
      </w:r>
      <w:r>
        <w:t xml:space="preserve">measurable, continuously monitored target, and provides the standing apparatus for a</w:t>
      </w:r>
      <w:r>
        <w:t xml:space="preserve"> </w:t>
      </w:r>
      <w:r>
        <w:t xml:space="preserve">program of validation studies (LLM-extraction benchmarking, lead-time forecasting</w:t>
      </w:r>
      <w:r>
        <w:t xml:space="preserve"> </w:t>
      </w:r>
      <w:r>
        <w:t xml:space="preserve">against GLASS, and risk calibration). It is open, runs and updates daily for free,</w:t>
      </w:r>
      <w:r>
        <w:t xml:space="preserve"> </w:t>
      </w:r>
      <w:r>
        <w:t xml:space="preserve">and is archived with a citable DOI.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validation-first surveillance; external validation;</w:t>
      </w:r>
      <w:r>
        <w:t xml:space="preserve"> </w:t>
      </w:r>
      <w:r>
        <w:t xml:space="preserve">research infrastructure; antimicrobial resistance; large language models;</w:t>
      </w:r>
      <w:r>
        <w:t xml:space="preserve"> </w:t>
      </w:r>
      <w:r>
        <w:t xml:space="preserve">information extraction; knowledge graph; open data; Asia-Pacific.</w:t>
      </w:r>
    </w:p>
    <w:p>
      <w:pPr>
        <w:pStyle w:val="BodyText"/>
      </w:pPr>
      <w:r>
        <w:rPr>
          <w:b/>
          <w:bCs/>
        </w:rPr>
        <w:t xml:space="preserve">Availability:</w:t>
      </w:r>
      <w:r>
        <w:t xml:space="preserve"> </w:t>
      </w:r>
      <w:r>
        <w:t xml:space="preserve">Code </w:t>
      </w:r>
      <w:hyperlink r:id="rId26">
        <w:r>
          <w:rPr>
            <w:rStyle w:val="Hyperlink"/>
          </w:rPr>
          <w:t xml:space="preserve">github.com/Rogerking928/id-intel-platform</w:t>
        </w:r>
      </w:hyperlink>
      <w:r>
        <w:t xml:space="preserve"> </w:t>
      </w:r>
      <w:r>
        <w:t xml:space="preserve"> </w:t>
      </w:r>
      <m:oMath>
        <m:r>
          <m:rPr>
            <m:sty m:val="p"/>
          </m:rPr>
          <m:t>⋅</m:t>
        </m:r>
      </m:oMath>
      <w:r>
        <w:t xml:space="preserve">  Archive/DOI </w:t>
      </w:r>
      <w:hyperlink r:id="rId27">
        <w:r>
          <w:rPr>
            <w:rStyle w:val="Hyperlink"/>
          </w:rPr>
          <w:t xml:space="preserve">10.5281/zenodo.21263882</w:t>
        </w:r>
      </w:hyperlink>
      <w:r>
        <w:t xml:space="preserve"> </w:t>
      </w:r>
      <w:r>
        <w:t xml:space="preserve"> </w:t>
      </w:r>
      <m:oMath>
        <m:r>
          <m:rPr>
            <m:sty m:val="p"/>
          </m:rPr>
          <m:t>⋅</m:t>
        </m:r>
      </m:oMath>
      <w:r>
        <w:t xml:space="preserve">  Live demo </w:t>
      </w:r>
      <w:hyperlink r:id="rId28">
        <w:r>
          <w:rPr>
            <w:rStyle w:val="Hyperlink"/>
          </w:rPr>
          <w:t xml:space="preserve">streamlit.app</w:t>
        </w:r>
      </w:hyperlink>
      <w:r>
        <w:t xml:space="preserve"> </w:t>
      </w:r>
      <w:r>
        <w:t xml:space="preserve"> </w:t>
      </w:r>
      <m:oMath>
        <m:r>
          <m:rPr>
            <m:sty m:val="p"/>
          </m:rPr>
          <m:t>⋅</m:t>
        </m:r>
      </m:oMath>
      <w:r>
        <w:t xml:space="preserve">  Licence MIT.</w:t>
      </w:r>
    </w:p>
    <w:bookmarkStart w:id="3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Knowing where resistant pathogens and outbreaks are emerging is a fundamental</w:t>
      </w:r>
      <w:r>
        <w:t xml:space="preserve"> </w:t>
      </w:r>
      <w:r>
        <w:t xml:space="preserve">problem for global health, and antimicrobial resistance (AMR) — associated with</w:t>
      </w:r>
      <w:r>
        <w:t xml:space="preserve"> </w:t>
      </w:r>
      <w:r>
        <w:t xml:space="preserve">millions of deaths annually and heaviest where surveillance is weakest </w:t>
      </w:r>
      <w:r>
        <w:t xml:space="preserve"> </w:t>
      </w:r>
      <w:r>
        <w:t xml:space="preserve">— makes it acute. The evidence is not missing; it is scattered. Every day,</w:t>
      </w:r>
      <w:r>
        <w:t xml:space="preserve"> </w:t>
      </w:r>
      <w:r>
        <w:t xml:space="preserve">national and supranational alerts, the peer-reviewed and preprint literature, and</w:t>
      </w:r>
      <w:r>
        <w:t xml:space="preserve"> </w:t>
      </w:r>
      <w:r>
        <w:t xml:space="preserve">clinical-trial registries emit open-source text about resistant organisms, in</w:t>
      </w:r>
      <w:r>
        <w:t xml:space="preserve"> </w:t>
      </w:r>
      <w:r>
        <w:t xml:space="preserve">heterogeneous formats and without a common structure. Converting this stream into</w:t>
      </w:r>
      <w:r>
        <w:t xml:space="preserve"> </w:t>
      </w:r>
      <w:r>
        <w:t xml:space="preserve">intelligence a clinician or analyst can act on requires connecting the same entities</w:t>
      </w:r>
      <w:r>
        <w:t xml:space="preserve"> </w:t>
      </w:r>
      <w:r>
        <w:t xml:space="preserve">— pathogen, resistance mechanism, antibiotic, disease, and place — across all of</w:t>
      </w:r>
      <w:r>
        <w:t xml:space="preserve"> </w:t>
      </w:r>
      <w:r>
        <w:t xml:space="preserve">these sources, uniformly and continuously.</w:t>
      </w:r>
    </w:p>
    <w:p>
      <w:pPr>
        <w:pStyle w:val="BodyText"/>
      </w:pPr>
      <w:r>
        <w:t xml:space="preserve">Extracting this structured tuple at scale requires three things together: broad</w:t>
      </w:r>
      <w:r>
        <w:t xml:space="preserve"> </w:t>
      </w:r>
      <w:r>
        <w:t xml:space="preserve">automated ingestion of open sources, uniform entity–relation extraction, and</w:t>
      </w:r>
      <w:r>
        <w:t xml:space="preserve"> </w:t>
      </w:r>
      <w:r>
        <w:t xml:space="preserve">grounding against reference surveillance data. Prior work supplies each ingredient</w:t>
      </w:r>
      <w:r>
        <w:t xml:space="preserve"> </w:t>
      </w:r>
      <w:r>
        <w:t xml:space="preserve">in isolation, but none supplies all three. Open-source epidemic-intelligence systems</w:t>
      </w:r>
      <w:r>
        <w:t xml:space="preserve"> </w:t>
      </w:r>
      <w:r>
        <w:t xml:space="preserve">— WHO EIOS, HealthMap, ProMED-mail, EPIWATCH — aggregate and flag disease</w:t>
      </w:r>
      <w:r>
        <w:t xml:space="preserve"> </w:t>
      </w:r>
      <w:r>
        <w:t xml:space="preserve">events well </w:t>
      </w:r>
      <w:r>
        <w:t xml:space="preserve">, but they target outbreak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structured, AMR-specific</w:t>
      </w:r>
      <w:r>
        <w:t xml:space="preserve"> </w:t>
      </w:r>
      <w:r>
        <w:t xml:space="preserve">pathogen–gene–antibiotic–country relationships that AMR research and stewardship</w:t>
      </w:r>
      <w:r>
        <w:t xml:space="preserve"> </w:t>
      </w:r>
      <w:r>
        <w:t xml:space="preserve">need, and several are proprietary or not straightforwardly reproducible. Curated</w:t>
      </w:r>
      <w:r>
        <w:t xml:space="preserve"> </w:t>
      </w:r>
      <w:r>
        <w:t xml:space="preserve">surveillance systems such as WHO GLASS provide authoritative laboratory resistance</w:t>
      </w:r>
      <w:r>
        <w:t xml:space="preserve"> </w:t>
      </w:r>
      <w:r>
        <w:t xml:space="preserve">data, but with reporting lag and limited country coverage </w:t>
      </w:r>
      <w:r>
        <w:t xml:space="preserve">. Large</w:t>
      </w:r>
      <w:r>
        <w:t xml:space="preserve"> </w:t>
      </w:r>
      <w:r>
        <w:t xml:space="preserve">language models (LLMs) now make structured extraction from free text feasible, but</w:t>
      </w:r>
      <w:r>
        <w:t xml:space="preserve"> </w:t>
      </w:r>
      <w:r>
        <w:t xml:space="preserve">their use in AMR surveillance raises unresolved questions of accuracy,</w:t>
      </w:r>
      <w:r>
        <w:t xml:space="preserve"> </w:t>
      </w:r>
      <w:r>
        <w:t xml:space="preserve">reproducibility, cost, and clinician trust, and there is little open, benchmarked</w:t>
      </w:r>
      <w:r>
        <w:t xml:space="preserve"> </w:t>
      </w:r>
      <w:r>
        <w:t xml:space="preserve">tooling — particularly outside high-income, English-clinical-note</w:t>
      </w:r>
      <w:r>
        <w:t xml:space="preserve"> </w:t>
      </w:r>
      <w:r>
        <w:t xml:space="preserve">settings.</w:t>
      </w:r>
    </w:p>
    <w:p>
      <w:pPr>
        <w:pStyle w:val="BodyText"/>
      </w:pPr>
      <w:r>
        <w:t xml:space="preserve">Almost every system above produces a signal and asks the reader to trust it; few</w:t>
      </w:r>
      <w:r>
        <w:t xml:space="preserve"> </w:t>
      </w:r>
      <w:r>
        <w:t xml:space="preserve">treat</w:t>
      </w:r>
      <w:r>
        <w:t xml:space="preserve"> </w:t>
      </w:r>
      <w:r>
        <w:rPr>
          <w:i/>
          <w:iCs/>
        </w:rPr>
        <w:t xml:space="preserve">validation against independent reference data</w:t>
      </w:r>
      <w:r>
        <w:t xml:space="preserve"> </w:t>
      </w:r>
      <w:r>
        <w:t xml:space="preserve">as a first-class, standing</w:t>
      </w:r>
      <w:r>
        <w:t xml:space="preserve"> </w:t>
      </w:r>
      <w:r>
        <w:t xml:space="preserve">operation. We take this to be the decisive gap, and reframe the problem accordingly:</w:t>
      </w:r>
      <w:r>
        <w:t xml:space="preserve"> </w:t>
      </w:r>
      <w:r>
        <w:rPr>
          <w:i/>
          <w:iCs/>
        </w:rPr>
        <w:t xml:space="preserve">How should open-source infectious-disease intelligence be validated —</w:t>
      </w:r>
      <w:r>
        <w:rPr>
          <w:i/>
          <w:iCs/>
        </w:rPr>
        <w:t xml:space="preserve"> </w:t>
      </w:r>
      <w:r>
        <w:rPr>
          <w:i/>
          <w:iCs/>
        </w:rPr>
        <w:t xml:space="preserve">continuously, reproducibly, and against reference truth?</w:t>
      </w:r>
      <w:r>
        <w:t xml:space="preserve"> </w:t>
      </w:r>
      <w:r>
        <w:t xml:space="preserve">Extraction accuracy is a</w:t>
      </w:r>
      <w:r>
        <w:t xml:space="preserve"> </w:t>
      </w:r>
      <w:r>
        <w:t xml:space="preserve">means; validation is the object. We present</w:t>
      </w:r>
      <w:r>
        <w:t xml:space="preserve"> </w:t>
      </w:r>
      <w:r>
        <w:rPr>
          <w:b/>
          <w:bCs/>
        </w:rPr>
        <w:t xml:space="preserve">VIGIL</w:t>
      </w:r>
      <w:r>
        <w:t xml:space="preserve"> </w:t>
      </w:r>
      <w:r>
        <w:t xml:space="preserve">(Vigilance Intelligence</w:t>
      </w:r>
      <w:r>
        <w:t xml:space="preserve"> </w:t>
      </w:r>
      <w:r>
        <w:t xml:space="preserve">for Global Infectious-disease &amp; resistance Landscape), a validation-first research</w:t>
      </w:r>
      <w:r>
        <w:t xml:space="preserve"> </w:t>
      </w:r>
      <w:r>
        <w:t xml:space="preserve">infrastructure built around this question: it ingests and structures open sources</w:t>
      </w:r>
      <w:r>
        <w:t xml:space="preserve"> </w:t>
      </w:r>
      <w:r>
        <w:t xml:space="preserve">automatically, but every derived signal is grounded against WHO GHO/GLASS reference</w:t>
      </w:r>
      <w:r>
        <w:t xml:space="preserve"> </w:t>
      </w:r>
      <w:r>
        <w:t xml:space="preserve">resistance before it is reported, and each analytic module is posed as a research</w:t>
      </w:r>
      <w:r>
        <w:t xml:space="preserve"> </w:t>
      </w:r>
      <w:r>
        <w:t xml:space="preserve">question with an explicit validation design. VIGIL is released fully open-source,</w:t>
      </w:r>
      <w:r>
        <w:t xml:space="preserve"> </w:t>
      </w:r>
      <w:r>
        <w:t xml:space="preserve">runs at no cost, and carries an Asia-Pacific lens.</w:t>
      </w:r>
    </w:p>
    <w:p>
      <w:pPr>
        <w:pStyle w:val="BodyText"/>
      </w:pPr>
      <w:r>
        <w:t xml:space="preserve">This paper makes four contributions: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Validation as the primary operation.</w:t>
      </w:r>
      <w:r>
        <w:t xml:space="preserve"> </w:t>
      </w:r>
      <w:r>
        <w:t xml:space="preserve">VIGIL grounds every</w:t>
      </w:r>
      <w:r>
        <w:t xml:space="preserve"> </w:t>
      </w:r>
      <w:r>
        <w:t xml:space="preserve">text-derived signal against independent WHO GHO/GLASS reference resistance data</w:t>
      </w:r>
      <w:r>
        <w:t xml:space="preserve"> </w:t>
      </w:r>
      <w:r>
        <w:t xml:space="preserve">rather than asserting it, making validation — not extraction — the object of</w:t>
      </w:r>
      <w:r>
        <w:t xml:space="preserve"> </w:t>
      </w:r>
      <w:r>
        <w:t xml:space="preserve">study.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open, provenance-complete pipeline</w:t>
      </w:r>
      <w:r>
        <w:t xml:space="preserve"> </w:t>
      </w:r>
      <w:r>
        <w:t xml:space="preserve">that ingests eight open source</w:t>
      </w:r>
      <w:r>
        <w:t xml:space="preserve"> </w:t>
      </w:r>
      <w:r>
        <w:t xml:space="preserve">families daily and records full provenance (raw text, source, timestamp, and, per</w:t>
      </w:r>
      <w:r>
        <w:t xml:space="preserve"> </w:t>
      </w:r>
      <w:r>
        <w:t xml:space="preserve">extraction, the extractor, model, and prompt version), turning extraction itself</w:t>
      </w:r>
      <w:r>
        <w:t xml:space="preserve"> </w:t>
      </w:r>
      <w:r>
        <w:t xml:space="preserve">into a reproducibly benchmarkable object with a transparent rule-based baseline and</w:t>
      </w:r>
      <w:r>
        <w:t xml:space="preserve"> </w:t>
      </w:r>
      <w:r>
        <w:t xml:space="preserve">an LLM run side by side on identical inputs.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knowledge graph and a suite of validation-first modules</w:t>
      </w:r>
      <w:r>
        <w:t xml:space="preserve"> </w:t>
      </w:r>
      <w:r>
        <w:t xml:space="preserve">(trends,</w:t>
      </w:r>
      <w:r>
        <w:t xml:space="preserve"> </w:t>
      </w:r>
      <w:r>
        <w:t xml:space="preserve">forecasting, novelty, risk, outbreak, and an extraction benchmark), each framed as</w:t>
      </w:r>
      <w:r>
        <w:t xml:space="preserve"> </w:t>
      </w:r>
      <w:r>
        <w:t xml:space="preserve">research question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validation design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current result</w:t>
      </w:r>
      <w:r>
        <w:t xml:space="preserve"> </w:t>
      </w:r>
      <w:r>
        <w:t xml:space="preserve">rather than as a product feature.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 that validation is necessary</w:t>
      </w:r>
      <w:r>
        <w:t xml:space="preserve">, obtained by turning the</w:t>
      </w:r>
      <w:r>
        <w:t xml:space="preserve"> </w:t>
      </w:r>
      <w:r>
        <w:t xml:space="preserve">infrastructure on itself: text volume is essentially uninformative about measured</w:t>
      </w:r>
      <w:r>
        <w:t xml:space="preserve"> </w:t>
      </w:r>
      <w:r>
        <w:t xml:space="preserve">resistance — reframing an unexamined caveat into a measurable, continuously</w:t>
      </w:r>
      <w:r>
        <w:t xml:space="preserve"> </w:t>
      </w:r>
      <w:r>
        <w:t xml:space="preserve">monitored target and a research program.</w:t>
      </w:r>
    </w:p>
    <w:bookmarkStart w:id="32" w:name="fig:paradigm"/>
    <w:p>
      <w:pPr>
        <w:pStyle w:val="CaptionedFigure"/>
      </w:pPr>
      <w:r>
        <w:drawing>
          <wp:inline>
            <wp:extent cx="5334000" cy="268779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2_paradig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design shift VIGIL embodies. Conventional open-source intelligence</w:t>
      </w:r>
      <w:r>
        <w:t xml:space="preserve"> </w:t>
      </w:r>
      <w:r>
        <w:rPr>
          <w:i/>
          <w:iCs/>
        </w:rPr>
        <w:t xml:space="preserve">generates a signal and trusts it</w:t>
      </w:r>
      <w:r>
        <w:t xml:space="preserve">, carrying uncorrected reporting and</w:t>
      </w:r>
      <w:r>
        <w:t xml:space="preserve"> </w:t>
      </w:r>
      <w:r>
        <w:t xml:space="preserve">publication bias into action. A validation-first system instead treats each signal</w:t>
      </w:r>
      <w:r>
        <w:t xml:space="preserve"> </w:t>
      </w:r>
      <w:r>
        <w:t xml:space="preserve">as provisional: it is validated against independent reference truth, used to</w:t>
      </w:r>
      <w:r>
        <w:t xml:space="preserve"> </w:t>
      </w:r>
      <w:r>
        <w:t xml:space="preserve">calibrate the method, and only then deployed — a continuous loop rather than a</w:t>
      </w:r>
      <w:r>
        <w:t xml:space="preserve"> </w:t>
      </w:r>
      <w:r>
        <w:t xml:space="preserve">one-way pipeline.</w:t>
      </w:r>
    </w:p>
    <w:bookmarkEnd w:id="32"/>
    <w:bookmarkEnd w:id="33"/>
    <w:bookmarkStart w:id="42" w:name="implementation"/>
    <w:p>
      <w:pPr>
        <w:pStyle w:val="Heading1"/>
      </w:pPr>
      <w:r>
        <w:t xml:space="preserve">Implementation</w:t>
      </w:r>
    </w:p>
    <w:bookmarkStart w:id="34" w:name="overview-and-architecture"/>
    <w:p>
      <w:pPr>
        <w:pStyle w:val="Heading2"/>
      </w:pPr>
      <w:r>
        <w:t xml:space="preserve">Overview and architecture</w:t>
      </w:r>
    </w:p>
    <w:p>
      <w:pPr>
        <w:pStyle w:val="FirstParagraph"/>
      </w:pPr>
      <w:r>
        <w:t xml:space="preserve">VIGIL follows a linear, auditable pipeline:</w:t>
      </w:r>
      <w:r>
        <w:t xml:space="preserve"> </w:t>
      </w:r>
      <w:r>
        <w:rPr>
          <w:b/>
          <w:bCs/>
        </w:rPr>
        <w:t xml:space="preserve">collect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extract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entities/relations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analyse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serve</w:t>
      </w:r>
      <w:r>
        <w:t xml:space="preserve"> </w:t>
      </w:r>
      <w:r>
        <w:t xml:space="preserve">(Figure </w:t>
      </w:r>
      <w:hyperlink w:anchor="fig:arch">
        <w:r>
          <w:rPr>
            <w:rStyle w:val="Hyperlink"/>
          </w:rPr>
          <w:t xml:space="preserve">1</w:t>
        </w:r>
      </w:hyperlink>
      <w:r>
        <w:t xml:space="preserve">). Documents are stored in a single SQLite database. Every</w:t>
      </w:r>
      <w:r>
        <w:t xml:space="preserve"> </w:t>
      </w:r>
      <w:r>
        <w:t xml:space="preserve">document retains its raw text, source, URL, and fetch timestamp; every extraction</w:t>
      </w:r>
      <w:r>
        <w:t xml:space="preserve"> </w:t>
      </w:r>
      <w:r>
        <w:t xml:space="preserve">retains the extractor name, model version, prompt version, and raw output. This</w:t>
      </w:r>
      <w:r>
        <w:t xml:space="preserve"> </w:t>
      </w:r>
      <w:r>
        <w:t xml:space="preserve">provenance makes each analytic result traceable to source text and supports</w:t>
      </w:r>
      <w:r>
        <w:t xml:space="preserve"> </w:t>
      </w:r>
      <w:r>
        <w:t xml:space="preserve">head-to-head comparison of extractors.</w:t>
      </w:r>
    </w:p>
    <w:bookmarkEnd w:id="34"/>
    <w:bookmarkStart w:id="36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Eight source families are configured (Table </w:t>
      </w:r>
      <w:hyperlink w:anchor="tab:sources">
        <w:r>
          <w:rPr>
            <w:rStyle w:val="Hyperlink"/>
          </w:rPr>
          <w:t xml:space="preserve">1</w:t>
        </w:r>
      </w:hyperlink>
      <w:r>
        <w:t xml:space="preserve">), each accessed</w:t>
      </w:r>
      <w:r>
        <w:t xml:space="preserve"> </w:t>
      </w:r>
      <w:r>
        <w:t xml:space="preserve">through public APIs or feeds and de-duplicated so that only new records are appended</w:t>
      </w:r>
      <w:r>
        <w:t xml:space="preserve"> </w:t>
      </w:r>
      <w:r>
        <w:t xml:space="preserve">on each run. Sources span official alerts (WHO DON, CDC, ECDC, UKHSA), the</w:t>
      </w:r>
      <w:r>
        <w:t xml:space="preserve"> </w:t>
      </w:r>
      <w:r>
        <w:t xml:space="preserve">literature (PubMed </w:t>
      </w:r>
      <w:r>
        <w:t xml:space="preserve">, bioRxiv/medRxiv via Europe PMC </w:t>
      </w:r>
      <w:r>
        <w:t xml:space="preserve">),</w:t>
      </w:r>
      <w:r>
        <w:t xml:space="preserve"> </w:t>
      </w:r>
      <w:r>
        <w:t xml:space="preserve">trials (ClinicalTrials.gov </w:t>
      </w:r>
      <w:r>
        <w:t xml:space="preserve">), and reference resistance data</w:t>
      </w:r>
      <w:r>
        <w:t xml:space="preserve"> </w:t>
      </w:r>
      <w:r>
        <w:t xml:space="preserve">(WHO GHO/GLASS </w:t>
      </w:r>
      <w:r>
        <w:t xml:space="preserve">).</w:t>
      </w:r>
    </w:p>
    <w:bookmarkStart w:id="35" w:name="tab:sources"/>
    <w:p>
      <w:pPr>
        <w:pStyle w:val="TableCaption"/>
      </w:pPr>
      <w:r>
        <w:t xml:space="preserve">Configured data sources.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gured data sourc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Disease Outbreak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outbreak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(OData)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/ MMWR / newsroom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communicable-disease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Health Security Agency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&amp;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GOV.UK Atom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Peer-reviewed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NCBI E-utilities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bioRxiv / medRxiv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PMC REST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ClinicalTrials.gov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 registrations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GHO /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resistance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 OData API</w:t>
            </w:r>
          </w:p>
        </w:tc>
      </w:tr>
    </w:tbl>
    <w:bookmarkEnd w:id="35"/>
    <w:bookmarkEnd w:id="36"/>
    <w:bookmarkStart w:id="37" w:name="information-extraction"/>
    <w:p>
      <w:pPr>
        <w:pStyle w:val="Heading2"/>
      </w:pPr>
      <w:r>
        <w:t xml:space="preserve">Information extraction</w:t>
      </w:r>
    </w:p>
    <w:p>
      <w:pPr>
        <w:pStyle w:val="FirstParagraph"/>
      </w:pPr>
      <w:r>
        <w:t xml:space="preserve">Two extractors return an identical schema. The</w:t>
      </w:r>
      <w:r>
        <w:t xml:space="preserve"> </w:t>
      </w:r>
      <w:r>
        <w:rPr>
          <w:b/>
          <w:bCs/>
        </w:rPr>
        <w:t xml:space="preserve">rule-based</w:t>
      </w:r>
      <w:r>
        <w:t xml:space="preserve"> </w:t>
      </w:r>
      <w:r>
        <w:t xml:space="preserve">extractor</w:t>
      </w:r>
      <w:r>
        <w:t xml:space="preserve"> </w:t>
      </w:r>
      <w:r>
        <w:t xml:space="preserve">applies frozen controlled vocabularies (a versioned codebook) with word-boundary</w:t>
      </w:r>
      <w:r>
        <w:t xml:space="preserve"> </w:t>
      </w:r>
      <w:r>
        <w:t xml:space="preserve">matching, country-alias canonicalisation, and assertion/negation handling; it is</w:t>
      </w:r>
      <w:r>
        <w:t xml:space="preserve"> </w:t>
      </w:r>
      <w:r>
        <w:t xml:space="preserve">free, offline, deterministic, and serves as the benchmark baseline. The optional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extractor (Google Gemini in the current build; the interface is</w:t>
      </w:r>
      <w:r>
        <w:t xml:space="preserve"> </w:t>
      </w:r>
      <w:r>
        <w:t xml:space="preserve">model-agnostic) is prompted to return the same JSON schema. Because both outputs</w:t>
      </w:r>
      <w:r>
        <w:t xml:space="preserve"> </w:t>
      </w:r>
      <w:r>
        <w:t xml:space="preserve">are stored per document, VIGIL supports a direct, reproducible comparison of</w:t>
      </w:r>
      <w:r>
        <w:t xml:space="preserve"> </w:t>
      </w:r>
      <w:r>
        <w:t xml:space="preserve">methods — for example, on a paper describing altered ceftazidime-avibactam</w:t>
      </w:r>
      <w:r>
        <w:t xml:space="preserve"> </w:t>
      </w:r>
      <w:r>
        <w:t xml:space="preserve">resistance, the LLM recovered specific alleles (KPC-234, NDM-1) and plasmid context</w:t>
      </w:r>
      <w:r>
        <w:t xml:space="preserve"> </w:t>
      </w:r>
      <w:r>
        <w:t xml:space="preserve">that the dictionary baseline did not.</w:t>
      </w:r>
    </w:p>
    <w:bookmarkEnd w:id="37"/>
    <w:bookmarkStart w:id="39" w:name="a-suite-of-validation-first-modules"/>
    <w:p>
      <w:pPr>
        <w:pStyle w:val="Heading2"/>
      </w:pPr>
      <w:r>
        <w:t xml:space="preserve">A suite of validation-first modules</w:t>
      </w:r>
    </w:p>
    <w:p>
      <w:pPr>
        <w:pStyle w:val="FirstParagraph"/>
      </w:pPr>
      <w:r>
        <w:t xml:space="preserve">Entity co-occurrence within a document generates</w:t>
      </w:r>
      <w:r>
        <w:t xml:space="preserve"> </w:t>
      </w:r>
      <w:r>
        <w:t xml:space="preserve">Pathogen </w:t>
      </w:r>
      <m:oMath>
        <m:r>
          <m:rPr>
            <m:sty m:val="p"/>
          </m:rPr>
          <m:t>→</m:t>
        </m:r>
      </m:oMath>
      <w:r>
        <w:t xml:space="preserve"> Country </w:t>
      </w:r>
      <m:oMath>
        <m:r>
          <m:rPr>
            <m:sty m:val="p"/>
          </m:rPr>
          <m:t>→</m:t>
        </m:r>
      </m:oMath>
      <w:r>
        <w:t xml:space="preserve"> Gene </w:t>
      </w:r>
      <m:oMath>
        <m:r>
          <m:rPr>
            <m:sty m:val="p"/>
          </m:rPr>
          <m:t>→</m:t>
        </m:r>
      </m:oMath>
      <w:r>
        <w:t xml:space="preserve"> Antibiotic </w:t>
      </w:r>
      <m:oMath>
        <m:r>
          <m:rPr>
            <m:sty m:val="p"/>
          </m:rPr>
          <m:t>→</m:t>
        </m:r>
      </m:oMath>
      <w:r>
        <w:t xml:space="preserve"> Disease</w:t>
      </w:r>
      <w:r>
        <w:t xml:space="preserve"> </w:t>
      </w:r>
      <w:r>
        <w:t xml:space="preserve">relations, queryable as a graph. On top of the graph and entity tables, VIGIL exposes</w:t>
      </w:r>
      <w:r>
        <w:t xml:space="preserve"> </w:t>
      </w:r>
      <w:r>
        <w:t xml:space="preserve">its analytics not as product features but as a suite of modules, each posed as a</w:t>
      </w:r>
      <w:r>
        <w:t xml:space="preserve"> </w:t>
      </w:r>
      <w:r>
        <w:rPr>
          <w:i/>
          <w:iCs/>
        </w:rPr>
        <w:t xml:space="preserve">research question</w:t>
      </w:r>
      <w:r>
        <w:t xml:space="preserve"> </w:t>
      </w:r>
      <w:r>
        <w:t xml:space="preserve">with an explicit</w:t>
      </w:r>
      <w:r>
        <w:t xml:space="preserve"> </w:t>
      </w:r>
      <w:r>
        <w:rPr>
          <w:i/>
          <w:iCs/>
        </w:rPr>
        <w:t xml:space="preserve">validation design</w:t>
      </w:r>
      <w:r>
        <w:t xml:space="preserve"> </w:t>
      </w:r>
      <w:r>
        <w:t xml:space="preserve">and an honestly</w:t>
      </w:r>
      <w:r>
        <w:t xml:space="preserve"> </w:t>
      </w:r>
      <w:r>
        <w:t xml:space="preserve">reported</w:t>
      </w:r>
      <w:r>
        <w:t xml:space="preserve"> </w:t>
      </w:r>
      <w:r>
        <w:rPr>
          <w:i/>
          <w:iCs/>
        </w:rPr>
        <w:t xml:space="preserve">current status</w:t>
      </w:r>
      <w:r>
        <w:t xml:space="preserve"> </w:t>
      </w:r>
      <w:r>
        <w:t xml:space="preserve">(Table </w:t>
      </w:r>
      <w:hyperlink w:anchor="tab:modules">
        <w:r>
          <w:rPr>
            <w:rStyle w:val="Hyperlink"/>
          </w:rPr>
          <w:t xml:space="preserve">2</w:t>
        </w:r>
      </w:hyperlink>
      <w:r>
        <w:t xml:space="preserve">). This framing is deliberate:</w:t>
      </w:r>
      <w:r>
        <w:t xml:space="preserve"> </w:t>
      </w:r>
      <w:r>
        <w:t xml:space="preserve">it makes the infrastructure’s job the continual production</w:t>
      </w:r>
      <w:r>
        <w:t xml:space="preserve"> </w:t>
      </w:r>
      <w:r>
        <w:rPr>
          <w:i/>
          <w:iCs/>
        </w:rPr>
        <w:t xml:space="preserve">and checking</w:t>
      </w:r>
      <w:r>
        <w:t xml:space="preserve"> </w:t>
      </w:r>
      <w:r>
        <w:t xml:space="preserve">of</w:t>
      </w:r>
      <w:r>
        <w:t xml:space="preserve"> </w:t>
      </w:r>
      <w:r>
        <w:t xml:space="preserve">surveillance signals, and holds every module accountable to reference truth rather</w:t>
      </w:r>
      <w:r>
        <w:t xml:space="preserve"> </w:t>
      </w:r>
      <w:r>
        <w:t xml:space="preserve">than to face validity.</w:t>
      </w:r>
    </w:p>
    <w:bookmarkStart w:id="38" w:name="tab:modules"/>
    <w:p>
      <w:pPr>
        <w:pStyle w:val="TableCaption"/>
      </w:pPr>
      <w:r>
        <w:t xml:space="preserve">VIGIL’s validation-first modules, each framed as a research question with</w:t>
      </w:r>
      <w:r>
        <w:t xml:space="preserve"> </w:t>
      </w:r>
      <w:r>
        <w:t xml:space="preserve">a validation design and its current status. Status is reported honestly: several</w:t>
      </w:r>
      <w:r>
        <w:t xml:space="preserve"> </w:t>
      </w:r>
      <w:r>
        <w:t xml:space="preserve">modules are infrastructure-ready but await accumulated history or expert labels.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IGIL’s validation-first modules, each framed as a research question with a validation design and its current status. Status is reported honestly: several modules are infrastructure-ready but await accumulated history or expert label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Research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Validation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a transparent rule-based extractor and an LLM agree, and which is more accurate?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Clinician-annotated gold standard; per-field F1 and inter-annotator</w:t>
            </w:r>
            <w:r>
              <w:t xml:space="preserve"> </w:t>
            </w:r>
            <m:oMath>
              <m:r>
                <m:t>κ</m:t>
              </m:r>
            </m:oMath>
            <w:r>
              <w:t xml:space="preserve">; frozen codebook and leakage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and</w:t>
            </w:r>
            <w:r>
              <w:t xml:space="preserve"> </w:t>
            </w:r>
            <w:r>
              <w:rPr>
                <w:rStyle w:val="VerbatimChar"/>
              </w:rPr>
              <w:t xml:space="preserve">annotations</w:t>
            </w:r>
            <w:r>
              <w:t xml:space="preserve"> </w:t>
            </w:r>
            <w:r>
              <w:t xml:space="preserve">table ready; gold set not yet annotated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Construct validity (risk)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a text-derived AMR signal reflect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resistance?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 Spearman vs WHO GHO MRSA /</w:t>
            </w:r>
            <w:r>
              <w:t xml:space="preserve"> </w:t>
            </w:r>
            <w:r>
              <w:rPr>
                <w:i/>
                <w:iCs/>
              </w:rPr>
              <w:t xml:space="preserve">E. coli</w:t>
            </w:r>
            <w:r>
              <w:t xml:space="preserve"> </w:t>
            </w:r>
            <w:r>
              <w:t xml:space="preserve">BSI resistance; raw vs publication-normalised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raw,</w:t>
            </w:r>
            <w:r>
              <w:t xml:space="preserve"> </w:t>
            </w:r>
            <m:oMath>
              <m:r>
                <m:t>0.16</m:t>
              </m:r>
            </m:oMath>
            <w:r>
              <w:t xml:space="preserve"> </w:t>
            </w:r>
            <w:r>
              <w:t xml:space="preserve">normalised across 43 countries (Fig. </w:t>
            </w:r>
            <w:hyperlink w:anchor="fig:valid">
              <w:r>
                <w:rPr>
                  <w:rStyle w:val="Hyperlink"/>
                </w:rPr>
                <w:t xml:space="preserve">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literature signal anticipate</w:t>
            </w:r>
            <w:r>
              <w:t xml:space="preserve"> </w:t>
            </w:r>
            <w:r>
              <w:rPr>
                <w:i/>
                <w:iCs/>
              </w:rPr>
              <w:t xml:space="preserve">officially reported</w:t>
            </w:r>
            <w:r>
              <w:t xml:space="preserve"> </w:t>
            </w:r>
            <w:r>
              <w:t xml:space="preserve">outbreaks?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Source-separated: outcomes from official alerts, features from literature; rank-AUC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Qualitative negative; precise AUC to be re-run on the current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discussion volume predictable, and does it lead reference surveillance?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Transparent baseline + rolling backtest; planned lead-time evaluation vs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with backtest; lead-time pending longer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entity combinations are genuinely new?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combinations never previously co-occurring in the dated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precision pending expert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Trends / emerging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rising fastest, and 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Growth-rate and emerging-signal detection over the dated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Implemented; preliminary (young corpus)</w:t>
            </w:r>
          </w:p>
        </w:tc>
      </w:tr>
    </w:tbl>
    <w:bookmarkEnd w:id="38"/>
    <w:bookmarkEnd w:id="39"/>
    <w:bookmarkStart w:id="40" w:name="validation-design"/>
    <w:p>
      <w:pPr>
        <w:pStyle w:val="Heading2"/>
      </w:pPr>
      <w:r>
        <w:t xml:space="preserve">Validation design</w:t>
      </w:r>
    </w:p>
    <w:p>
      <w:pPr>
        <w:pStyle w:val="FirstParagraph"/>
      </w:pPr>
      <w:r>
        <w:t xml:space="preserve">Analytics are grounded in reference data rather than asserted. WHO GHO/GLASS</w:t>
      </w:r>
      <w:r>
        <w:t xml:space="preserve"> </w:t>
      </w:r>
      <w:r>
        <w:t xml:space="preserve">resistance indicators (proportion of MRSA and third-generation-cephalosporin-</w:t>
      </w:r>
      <w:r>
        <w:t xml:space="preserve"> </w:t>
      </w:r>
      <w:r>
        <w:t xml:space="preserve">resistant</w:t>
      </w:r>
      <w:r>
        <w:t xml:space="preserve"> </w:t>
      </w:r>
      <w:r>
        <w:rPr>
          <w:i/>
          <w:iCs/>
        </w:rPr>
        <w:t xml:space="preserve">E. coli</w:t>
      </w:r>
      <w:r>
        <w:t xml:space="preserve"> </w:t>
      </w:r>
      <w:r>
        <w:t xml:space="preserve">bloodstream infections) are ingested automatically as</w:t>
      </w:r>
      <w:r>
        <w:t xml:space="preserve"> </w:t>
      </w:r>
      <w:r>
        <w:t xml:space="preserve">ground truth. Construct validity is assessed cross-sectionally against these values.</w:t>
      </w:r>
      <w:r>
        <w:t xml:space="preserve"> </w:t>
      </w:r>
      <w:r>
        <w:t xml:space="preserve">The outbreak task deliberately separates sources — outcomes are taken from</w:t>
      </w:r>
      <w:r>
        <w:t xml:space="preserve"> </w:t>
      </w:r>
      <w:r>
        <w:t xml:space="preserve">official alerts (WHO/CDC/ECDC/UKHSA) while features derive from the literature</w:t>
      </w:r>
      <w:r>
        <w:t xml:space="preserve"> </w:t>
      </w:r>
      <w:r>
        <w:t xml:space="preserve">stream — to avoid circularity. A frozen annotation codebook and an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table support a planned clinician-annotated extraction</w:t>
      </w:r>
      <w:r>
        <w:t xml:space="preserve"> </w:t>
      </w:r>
      <w:r>
        <w:t xml:space="preserve">benchmark under leakage controls.</w:t>
      </w:r>
    </w:p>
    <w:bookmarkEnd w:id="40"/>
    <w:bookmarkStart w:id="41" w:name="availability-and-reproducibility"/>
    <w:p>
      <w:pPr>
        <w:pStyle w:val="Heading2"/>
      </w:pPr>
      <w:r>
        <w:t xml:space="preserve">Availability and reproducibility</w:t>
      </w:r>
    </w:p>
    <w:p>
      <w:pPr>
        <w:pStyle w:val="FirstParagraph"/>
      </w:pPr>
      <w:r>
        <w:t xml:space="preserve">VIGIL is open-source (MIT), archived on Zenodo with a DOI, deployed as a public</w:t>
      </w:r>
      <w:r>
        <w:t xml:space="preserve"> </w:t>
      </w:r>
      <w:r>
        <w:t xml:space="preserve">live instance (Appendix A), and updated daily at no cost via continuous integration.</w:t>
      </w:r>
      <w:r>
        <w:t xml:space="preserve"> </w:t>
      </w:r>
      <w:r>
        <w:t xml:space="preserve">Code, the codebook, and the schema are versioned; a single command reproduces the</w:t>
      </w:r>
      <w:r>
        <w:t xml:space="preserve"> </w:t>
      </w:r>
      <w:r>
        <w:t xml:space="preserve">pipeline.</w:t>
      </w:r>
    </w:p>
    <w:bookmarkEnd w:id="41"/>
    <w:bookmarkEnd w:id="42"/>
    <w:bookmarkStart w:id="62" w:name="results"/>
    <w:p>
      <w:pPr>
        <w:pStyle w:val="Heading1"/>
      </w:pPr>
      <w:r>
        <w:t xml:space="preserve">Results</w:t>
      </w:r>
    </w:p>
    <w:bookmarkStart w:id="47" w:name="corpus"/>
    <w:p>
      <w:pPr>
        <w:pStyle w:val="Heading2"/>
      </w:pPr>
      <w:r>
        <w:t xml:space="preserve">Corpus</w:t>
      </w:r>
    </w:p>
    <w:p>
      <w:pPr>
        <w:pStyle w:val="FirstParagraph"/>
      </w:pPr>
      <w:r>
        <w:t xml:space="preserve">The analysed snapshot contained 2</w:t>
      </w:r>
      <w:r>
        <w:t xml:space="preserve">,</w:t>
      </w:r>
      <w:r>
        <w:t xml:space="preserve">075 extracted documents. Seven sources</w:t>
      </w:r>
      <w:r>
        <w:t xml:space="preserve"> </w:t>
      </w:r>
      <w:r>
        <w:t xml:space="preserve">contributed actively (CDC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828</m:t>
        </m:r>
      </m:oMath>
      <w:r>
        <w:t xml:space="preserve">; preprints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116</m:t>
        </m:r>
      </m:oMath>
      <w:r>
        <w:t xml:space="preserve">; PubMed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54</m:t>
        </m:r>
      </m:oMath>
      <w:r>
        <w:t xml:space="preserve">;</w:t>
      </w:r>
      <w:r>
        <w:t xml:space="preserve"> </w:t>
      </w:r>
      <w:r>
        <w:t xml:space="preserve">ClinicalTrials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37</m:t>
        </m:r>
      </m:oMath>
      <w:r>
        <w:t xml:space="preserve">; UKHSA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; ECDC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; WHO DON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; Figure </w:t>
      </w:r>
      <w:hyperlink w:anchor="fig:corpus">
        <w:r>
          <w:rPr>
            <w:rStyle w:val="Hyperlink"/>
          </w:rPr>
          <w:t xml:space="preserve">3</w:t>
        </w:r>
      </w:hyperlink>
      <w:r>
        <w:t xml:space="preserve">a),</w:t>
      </w:r>
      <w:r>
        <w:t xml:space="preserve"> </w:t>
      </w:r>
      <w:r>
        <w:t xml:space="preserve">spanning research articles, outbreak alerts, AMR reports, guidelines, and trials</w:t>
      </w:r>
      <w:r>
        <w:t xml:space="preserve"> </w:t>
      </w:r>
      <w:r>
        <w:t xml:space="preserve">(Figure </w:t>
      </w:r>
      <w:hyperlink w:anchor="fig:corpus">
        <w:r>
          <w:rPr>
            <w:rStyle w:val="Hyperlink"/>
          </w:rPr>
          <w:t xml:space="preserve">3</w:t>
        </w:r>
      </w:hyperlink>
      <w:r>
        <w:t xml:space="preserve">b); the GLASS ingestion path is included but was not</w:t>
      </w:r>
      <w:r>
        <w:t xml:space="preserve"> </w:t>
      </w:r>
      <w:r>
        <w:t xml:space="preserve">populated in this snapshot. Extraction yielded 31 distinct pathogens (including the</w:t>
      </w:r>
      <w:r>
        <w:t xml:space="preserve"> </w:t>
      </w:r>
      <w:r>
        <w:t xml:space="preserve">priority phenotypes MRSA, VRE, CRE, CRAB, and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), 12 resistance</w:t>
      </w:r>
      <w:r>
        <w:t xml:space="preserve"> </w:t>
      </w:r>
      <w:r>
        <w:t xml:space="preserve">genes/mechanisms, 23 antibiotics, 62 countries, and 1</w:t>
      </w:r>
      <w:r>
        <w:t xml:space="preserve">,</w:t>
      </w:r>
      <w:r>
        <w:t xml:space="preserve">060 knowledge-graph</w:t>
      </w:r>
      <w:r>
        <w:t xml:space="preserve"> </w:t>
      </w:r>
      <w:r>
        <w:t xml:space="preserve">relations. The WHO GHO ingestion added 1</w:t>
      </w:r>
      <w:r>
        <w:t xml:space="preserve">,</w:t>
      </w:r>
      <w:r>
        <w:t xml:space="preserve">005 reference resistance values spanning</w:t>
      </w:r>
      <w:r>
        <w:t xml:space="preserve"> </w:t>
      </w:r>
      <w:r>
        <w:t xml:space="preserve">103 countries and 2016–2023.</w:t>
      </w:r>
    </w:p>
    <w:bookmarkStart w:id="46" w:name="fig:corpus"/>
    <w:p>
      <w:pPr>
        <w:pStyle w:val="CaptionedFigure"/>
      </w:pPr>
      <w:r>
        <w:drawing>
          <wp:inline>
            <wp:extent cx="5334000" cy="213213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2_corpu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2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Composition of the analysed corpus. (a) Documents by source; official</w:t>
      </w:r>
      <w:r>
        <w:t xml:space="preserve"> </w:t>
      </w:r>
      <w:r>
        <w:t xml:space="preserve">alerts, literature, preprints, and trials contribute at very different volumes.</w:t>
      </w:r>
      <w:r>
        <w:t xml:space="preserve"> </w:t>
      </w:r>
      <w:r>
        <w:t xml:space="preserve">(b) Documents by extracted event type. Counts are for the 2</w:t>
      </w:r>
      <w:r>
        <w:t xml:space="preserve">,</w:t>
      </w:r>
      <w:r>
        <w:t xml:space="preserve">075 documents with</w:t>
      </w:r>
      <w:r>
        <w:t xml:space="preserve"> </w:t>
      </w:r>
      <w:r>
        <w:t xml:space="preserve">an active extraction.</w:t>
      </w:r>
    </w:p>
    <w:bookmarkEnd w:id="46"/>
    <w:bookmarkEnd w:id="47"/>
    <w:bookmarkStart w:id="56" w:name="extraction-and-knowledge-graph"/>
    <w:p>
      <w:pPr>
        <w:pStyle w:val="Heading2"/>
      </w:pPr>
      <w:r>
        <w:t xml:space="preserve">Extraction and knowledge graph</w:t>
      </w:r>
    </w:p>
    <w:p>
      <w:pPr>
        <w:pStyle w:val="FirstParagraph"/>
      </w:pPr>
      <w:r>
        <w:t xml:space="preserve">Structured extraction reproduced expected AMR concepts across pathogens, resistance</w:t>
      </w:r>
      <w:r>
        <w:t xml:space="preserve"> </w:t>
      </w:r>
      <w:r>
        <w:t xml:space="preserve">mechanisms, and antibiotics (Figure </w:t>
      </w:r>
      <w:hyperlink w:anchor="fig:landscape">
        <w:r>
          <w:rPr>
            <w:rStyle w:val="Hyperlink"/>
          </w:rPr>
          <w:t xml:space="preserve">4</w:t>
        </w:r>
      </w:hyperlink>
      <w:r>
        <w:t xml:space="preserve">), and, for the LLM extractor,</w:t>
      </w:r>
      <w:r>
        <w:t xml:space="preserve"> </w:t>
      </w:r>
      <w:r>
        <w:t xml:space="preserve">recovered fine-grained resistance alleles absent from the baseline dictionary. Graph</w:t>
      </w:r>
      <w:r>
        <w:t xml:space="preserve"> </w:t>
      </w:r>
      <w:r>
        <w:t xml:space="preserve">queries returned interpretable chains — for example, around carbapenem resistance</w:t>
      </w:r>
      <w:r>
        <w:t xml:space="preserve"> </w:t>
      </w:r>
      <w:r>
        <w:t xml:space="preserve">the platform linked carbapenemase genes (OXA-48, KPC, NDM) to the</w:t>
      </w:r>
      <w:r>
        <w:t xml:space="preserve"> </w:t>
      </w:r>
      <w:r>
        <w:t xml:space="preserve">Enterobacterales and non-fermenters that carry them, each edge traceable to the</w:t>
      </w:r>
      <w:r>
        <w:t xml:space="preserve"> </w:t>
      </w:r>
      <w:r>
        <w:t xml:space="preserve">underlying documents (Figure </w:t>
      </w:r>
      <w:hyperlink w:anchor="fig:kg">
        <w:r>
          <w:rPr>
            <w:rStyle w:val="Hyperlink"/>
          </w:rPr>
          <w:t xml:space="preserve">5</w:t>
        </w:r>
      </w:hyperlink>
      <w:r>
        <w:t xml:space="preserve">).</w:t>
      </w:r>
    </w:p>
    <w:bookmarkStart w:id="51" w:name="fig:landscape"/>
    <w:p>
      <w:pPr>
        <w:pStyle w:val="CaptionedFigure"/>
      </w:pPr>
      <w:r>
        <w:drawing>
          <wp:inline>
            <wp:extent cx="5334000" cy="196153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3_landscap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1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AMR entity landscape VIGIL extracts. Most-mentioned (a) pathogens,</w:t>
      </w:r>
      <w:r>
        <w:t xml:space="preserve"> </w:t>
      </w:r>
      <w:r>
        <w:t xml:space="preserve">(b) resistance mechanisms, and (c) antibiotics, by number of documents. The</w:t>
      </w:r>
      <w:r>
        <w:t xml:space="preserve"> </w:t>
      </w:r>
      <w:r>
        <w:t xml:space="preserve">priority phenotypes and carbapenemase genes that dominate current AMR concern are</w:t>
      </w:r>
      <w:r>
        <w:t xml:space="preserve"> </w:t>
      </w:r>
      <w:r>
        <w:t xml:space="preserve">surfaced directly from open-source text.</w:t>
      </w:r>
    </w:p>
    <w:bookmarkEnd w:id="51"/>
    <w:bookmarkStart w:id="55" w:name="fig:kg"/>
    <w:p>
      <w:pPr>
        <w:pStyle w:val="CaptionedFigure"/>
      </w:pPr>
      <w:r>
        <w:drawing>
          <wp:inline>
            <wp:extent cx="4373880" cy="325148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4_k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251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Knowledge-graph neighbourhood of carbapenem resistance in the corpus:</w:t>
      </w:r>
      <w:r>
        <w:t xml:space="preserve"> </w:t>
      </w:r>
      <w:r>
        <w:t xml:space="preserve">carbapenemase genes (orange) and the pathogens (red) they co-occur with; node size</w:t>
      </w:r>
      <w:r>
        <w:t xml:space="preserve"> </w:t>
      </w:r>
      <w:r>
        <w:t xml:space="preserve">scales with degree. Every edge is traceable to source documents.</w:t>
      </w:r>
    </w:p>
    <w:bookmarkEnd w:id="55"/>
    <w:bookmarkEnd w:id="56"/>
    <w:bookmarkStart w:id="61" w:name="preliminary-validation"/>
    <w:p>
      <w:pPr>
        <w:pStyle w:val="Heading2"/>
      </w:pPr>
      <w:r>
        <w:t xml:space="preserve">Preliminary validation</w:t>
      </w:r>
    </w:p>
    <w:p>
      <w:pPr>
        <w:pStyle w:val="FirstParagraph"/>
      </w:pPr>
      <w:r>
        <w:t xml:space="preserve">Across the 43 countries with both a platform AMR signal and a WHO GHO MRSA value,</w:t>
      </w:r>
      <w:r>
        <w:t xml:space="preserve"> </w:t>
      </w:r>
      <w:r>
        <w:t xml:space="preserve">raw AMR-document volume was essentially uncorrelated with measured resistance</w:t>
      </w:r>
      <w:r>
        <w:t xml:space="preserve"> </w:t>
      </w:r>
      <w:r>
        <w:t xml:space="preserve">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0.07</m:t>
        </m:r>
      </m:oMath>
      <w:r>
        <w:t xml:space="preserve">), and a publication-normalised AMR share recovered only a weak</w:t>
      </w:r>
      <w:r>
        <w:t xml:space="preserve"> </w:t>
      </w:r>
      <w:r>
        <w:t xml:space="preserve">positive association (</w:t>
      </w:r>
      <m:oMath>
        <m:r>
          <m:t>ρ</m:t>
        </m:r>
        <m:r>
          <m:rPr>
            <m:sty m:val="p"/>
          </m:rPr>
          <m:t>=</m:t>
        </m:r>
        <m:r>
          <m:t>0.16</m:t>
        </m:r>
      </m:oMath>
      <w:r>
        <w:t xml:space="preserve">; Figure </w:t>
      </w:r>
      <w:hyperlink w:anchor="fig:valid">
        <w:r>
          <w:rPr>
            <w:rStyle w:val="Hyperlink"/>
          </w:rPr>
          <w:t xml:space="preserve">6</w:t>
        </w:r>
      </w:hyperlink>
      <w:r>
        <w:t xml:space="preserve">) — consistent with</w:t>
      </w:r>
      <w:r>
        <w:t xml:space="preserve"> </w:t>
      </w:r>
      <w:r>
        <w:t xml:space="preserve">document volume reflecting research output rather than disease burden, and with</w:t>
      </w:r>
      <w:r>
        <w:t xml:space="preserve"> </w:t>
      </w:r>
      <w:r>
        <w:t xml:space="preserve">normalisation partially recovering signal. The country-level signal is sparse: most</w:t>
      </w:r>
      <w:r>
        <w:t xml:space="preserve"> </w:t>
      </w:r>
      <w:r>
        <w:t xml:space="preserve">countries contribute only a handful of AMR-tagged documents, so these are</w:t>
      </w:r>
      <w:r>
        <w:t xml:space="preserve"> </w:t>
      </w:r>
      <w:r>
        <w:t xml:space="preserve">proof-of-concept results that are expected to sharpen as the corpus accumulates. A</w:t>
      </w:r>
      <w:r>
        <w:t xml:space="preserve"> </w:t>
      </w:r>
      <w:r>
        <w:t xml:space="preserve">complementary outbreak analysis — which deliberately separates official-alert</w:t>
      </w:r>
      <w:r>
        <w:t xml:space="preserve"> </w:t>
      </w:r>
      <w:r>
        <w:t xml:space="preserve">outcomes from literature-derived features — likewise found that literature signal</w:t>
      </w:r>
      <w:r>
        <w:t xml:space="preserve"> </w:t>
      </w:r>
      <w:r>
        <w:t xml:space="preserve">did not track where outbreaks were officially reported, which concentrated in</w:t>
      </w:r>
      <w:r>
        <w:t xml:space="preserve"> </w:t>
      </w:r>
      <w:r>
        <w:t xml:space="preserve">lower-resource, lower-literature settings. Even at this stage, the platform makes</w:t>
      </w:r>
      <w:r>
        <w:t xml:space="preserve"> </w:t>
      </w:r>
      <w:r>
        <w:t xml:space="preserve">the surveillance gap explicit and measurable rather than hidden.</w:t>
      </w:r>
    </w:p>
    <w:bookmarkStart w:id="60" w:name="fig:valid"/>
    <w:p>
      <w:pPr>
        <w:pStyle w:val="CaptionedFigure"/>
      </w:pPr>
      <w:r>
        <w:drawing>
          <wp:inline>
            <wp:extent cx="5334000" cy="225669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5_valid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6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Construct validity against independent reference data, across 43 countries.</w:t>
      </w:r>
      <w:r>
        <w:t xml:space="preserve"> </w:t>
      </w:r>
      <w:r>
        <w:t xml:space="preserve">(a) Raw AMR-document count versus WHO GHO measured MRSA bloodstream-infection</w:t>
      </w:r>
      <w:r>
        <w:t xml:space="preserve"> </w:t>
      </w:r>
      <w:r>
        <w:t xml:space="preserve">resistance is essentially uncorrelated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0.07</m:t>
        </m:r>
      </m:oMath>
      <w:r>
        <w:t xml:space="preserve">); (b) a</w:t>
      </w:r>
      <w:r>
        <w:t xml:space="preserve"> </w:t>
      </w:r>
      <w:r>
        <w:t xml:space="preserve">publication-normalised AMR share recovers only a weak positive association</w:t>
      </w:r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0.16</m:t>
        </m:r>
      </m:oMath>
      <w:r>
        <w:t xml:space="preserve">). Text volume alone does not track measured resistance — a</w:t>
      </w:r>
      <w:r>
        <w:t xml:space="preserve"> </w:t>
      </w:r>
      <w:r>
        <w:t xml:space="preserve">quantification of the global surveillance gap.</w:t>
      </w:r>
    </w:p>
    <w:bookmarkEnd w:id="60"/>
    <w:bookmarkEnd w:id="61"/>
    <w:bookmarkEnd w:id="62"/>
    <w:bookmarkStart w:id="6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VIGIL complements, rather than duplicates, existing open-source</w:t>
      </w:r>
      <w:r>
        <w:t xml:space="preserve"> </w:t>
      </w:r>
      <w:r>
        <w:t xml:space="preserve">epidemic-intelligence systems: where those emphasise outbreak-event detection,</w:t>
      </w:r>
      <w:r>
        <w:t xml:space="preserve"> </w:t>
      </w:r>
      <w:r>
        <w:t xml:space="preserve">VIGIL emphasises</w:t>
      </w:r>
      <w:r>
        <w:t xml:space="preserve"> </w:t>
      </w:r>
      <w:r>
        <w:rPr>
          <w:b/>
          <w:bCs/>
        </w:rPr>
        <w:t xml:space="preserve">structured, AMR-specific extraction, a knowledge graph, and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 against reference resistance data</w:t>
      </w:r>
      <w:r>
        <w:t xml:space="preserve">, all fully open and reproducible. Its</w:t>
      </w:r>
      <w:r>
        <w:t xml:space="preserve"> </w:t>
      </w:r>
      <w:r>
        <w:t xml:space="preserve">most striking early observation — that raw open-source literature signal is</w:t>
      </w:r>
      <w:r>
        <w:t xml:space="preserve"> </w:t>
      </w:r>
      <w:r>
        <w:t xml:space="preserve">uncorrelated with measured resistance and inversely associated with where outbreaks</w:t>
      </w:r>
      <w:r>
        <w:t xml:space="preserve"> </w:t>
      </w:r>
      <w:r>
        <w:t xml:space="preserve">are officially reported — is itself a substantive finding: naïve text-volume</w:t>
      </w:r>
      <w:r>
        <w:t xml:space="preserve"> </w:t>
      </w:r>
      <w:r>
        <w:t xml:space="preserve">indicators would misrank global risk, and any credible early-warning model must</w:t>
      </w:r>
      <w:r>
        <w:t xml:space="preserve"> </w:t>
      </w:r>
      <w:r>
        <w:t xml:space="preserve">correct for reporting and publication bias. By quantifying this gap against WHO</w:t>
      </w:r>
      <w:r>
        <w:t xml:space="preserve"> </w:t>
      </w:r>
      <w:r>
        <w:t xml:space="preserve">reference data, VIGIL turns a known caveat into a measurable target.</w:t>
      </w:r>
    </w:p>
    <w:p>
      <w:pPr>
        <w:pStyle w:val="BodyText"/>
      </w:pPr>
      <w:r>
        <w:t xml:space="preserve">The platform is also designed as research infrastructure. Because it stores both</w:t>
      </w:r>
      <w:r>
        <w:t xml:space="preserve"> </w:t>
      </w:r>
      <w:r>
        <w:t xml:space="preserve">rule-based and LLM outputs with full provenance and ships a frozen annotation</w:t>
      </w:r>
      <w:r>
        <w:t xml:space="preserve"> </w:t>
      </w:r>
      <w:r>
        <w:t xml:space="preserve">codebook, it directly enables a clinician-annotated benchmark of open LLMs for AMR</w:t>
      </w:r>
      <w:r>
        <w:t xml:space="preserve"> </w:t>
      </w:r>
      <w:r>
        <w:t xml:space="preserve">extraction, and its accumulating time series supports early-warning modelling with</w:t>
      </w:r>
      <w:r>
        <w:t xml:space="preserve"> </w:t>
      </w:r>
      <w:r>
        <w:t xml:space="preserve">lead-time evaluation against GLASS. Its Asia-Pacific focus addresses a region</w:t>
      </w:r>
      <w:r>
        <w:t xml:space="preserve"> </w:t>
      </w:r>
      <w:r>
        <w:t xml:space="preserve">under-represented in existing tools.</w:t>
      </w:r>
    </w:p>
    <w:p>
      <w:pPr>
        <w:pStyle w:val="BodyText"/>
      </w:pPr>
      <w:r>
        <w:t xml:space="preserve">More broadly, we believe</w:t>
      </w:r>
      <w:r>
        <w:t xml:space="preserve"> </w:t>
      </w:r>
      <w:r>
        <w:rPr>
          <w:b/>
          <w:bCs/>
        </w:rPr>
        <w:t xml:space="preserve">validation-first surveillance should become a</w:t>
      </w:r>
      <w:r>
        <w:rPr>
          <w:b/>
          <w:bCs/>
        </w:rPr>
        <w:t xml:space="preserve"> </w:t>
      </w:r>
      <w:r>
        <w:rPr>
          <w:b/>
          <w:bCs/>
        </w:rPr>
        <w:t xml:space="preserve">fundamental design principle for the next generation of infectious-disease</w:t>
      </w:r>
      <w:r>
        <w:rPr>
          <w:b/>
          <w:bCs/>
        </w:rPr>
        <w:t xml:space="preserve"> </w:t>
      </w:r>
      <w:r>
        <w:rPr>
          <w:b/>
          <w:bCs/>
        </w:rPr>
        <w:t xml:space="preserve">intelligence systems</w:t>
      </w:r>
      <w:r>
        <w:t xml:space="preserve">: as automated extraction and large language models make it</w:t>
      </w:r>
      <w:r>
        <w:t xml:space="preserve"> </w:t>
      </w:r>
      <w:r>
        <w:t xml:space="preserve">trivial to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signals from open text, the scarce and decisive capability</w:t>
      </w:r>
      <w:r>
        <w:t xml:space="preserve"> </w:t>
      </w:r>
      <w:r>
        <w:t xml:space="preserve">is no longer generation but the standing infrastructure to validate, calibrate, and</w:t>
      </w:r>
      <w:r>
        <w:t xml:space="preserve"> </w:t>
      </w:r>
      <w:r>
        <w:t xml:space="preserve">continuously re-check those signals against reference truth (Figure </w:t>
      </w:r>
      <w:hyperlink w:anchor="fig:paradigm">
        <w:r>
          <w:rPr>
            <w:rStyle w:val="Hyperlink"/>
          </w:rPr>
          <w:t xml:space="preserve">2</w:t>
        </w:r>
      </w:hyperlink>
      <w:r>
        <w:t xml:space="preserve">).</w:t>
      </w:r>
      <w:r>
        <w:t xml:space="preserve"> </w:t>
      </w:r>
      <w:r>
        <w:t xml:space="preserve">VIGIL is one concrete instance of that principle; we hope it is among the first of</w:t>
      </w:r>
      <w:r>
        <w:t xml:space="preserve"> </w:t>
      </w:r>
      <w:r>
        <w:t xml:space="preserve">many.</w:t>
      </w:r>
    </w:p>
    <w:bookmarkEnd w:id="63"/>
    <w:bookmarkStart w:id="68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The corpus is young and unevenly dated (Figure </w:t>
      </w:r>
      <w:hyperlink w:anchor="fig:growth">
        <w:r>
          <w:rPr>
            <w:rStyle w:val="Hyperlink"/>
          </w:rPr>
          <w:t xml:space="preserve">7</w:t>
        </w:r>
      </w:hyperlink>
      <w:r>
        <w:t xml:space="preserve">), so trend,</w:t>
      </w:r>
      <w:r>
        <w:t xml:space="preserve"> </w:t>
      </w:r>
      <w:r>
        <w:t xml:space="preserve">forecasting, and novelty analytics are preliminary and strengthen with accumulated</w:t>
      </w:r>
      <w:r>
        <w:t xml:space="preserve"> </w:t>
      </w:r>
      <w:r>
        <w:t xml:space="preserve">history. Text-derived geolocation reflects where topics are reported or studied, not</w:t>
      </w:r>
      <w:r>
        <w:t xml:space="preserve"> </w:t>
      </w:r>
      <w:r>
        <w:t xml:space="preserve">confirmed case counts, and is subject to reporting and publication bias (which the</w:t>
      </w:r>
      <w:r>
        <w:t xml:space="preserve"> </w:t>
      </w:r>
      <w:r>
        <w:t xml:space="preserve">platform surfaces rather than conceals).</w:t>
      </w:r>
    </w:p>
    <w:bookmarkStart w:id="67" w:name="fig:growth"/>
    <w:p>
      <w:pPr>
        <w:pStyle w:val="CaptionedFigure"/>
      </w:pPr>
      <w:r>
        <w:drawing>
          <wp:inline>
            <wp:extent cx="3840480" cy="169264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6_growth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692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Documents by document year in the corpus. Coverage is concentrated in</w:t>
      </w:r>
      <w:r>
        <w:t xml:space="preserve"> </w:t>
      </w:r>
      <w:r>
        <w:t xml:space="preserve">recent years and accumulates daily; longitudinal analytics gain power as the</w:t>
      </w:r>
      <w:r>
        <w:t xml:space="preserve"> </w:t>
      </w:r>
      <w:r>
        <w:t xml:space="preserve">historical series lengthens.</w:t>
      </w:r>
    </w:p>
    <w:bookmarkEnd w:id="67"/>
    <w:p>
      <w:pPr>
        <w:pStyle w:val="BodyText"/>
      </w:pPr>
      <w:r>
        <w:t xml:space="preserve">Reference coverage is incomplete: WHO GHO does not list some territories, including</w:t>
      </w:r>
      <w:r>
        <w:t xml:space="preserve"> </w:t>
      </w:r>
      <w:r>
        <w:t xml:space="preserve">Taiwan (a listing limitation of the reference source, not a platform merge), and</w:t>
      </w:r>
      <w:r>
        <w:t xml:space="preserve"> </w:t>
      </w:r>
      <w:r>
        <w:t xml:space="preserve">lacks values for several countries on these indicators. LLM extraction is currently</w:t>
      </w:r>
      <w:r>
        <w:t xml:space="preserve"> </w:t>
      </w:r>
      <w:r>
        <w:t xml:space="preserve">constrained by free-tier throughput. Finally, the extraction benchmark awaits full</w:t>
      </w:r>
      <w:r>
        <w:t xml:space="preserve"> </w:t>
      </w:r>
      <w:r>
        <w:t xml:space="preserve">clinician annotation and a second annotator for reliability estimation.</w:t>
      </w:r>
    </w:p>
    <w:bookmarkEnd w:id="68"/>
    <w:bookmarkStart w:id="69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VIGIL is an open, validation-first platform that converts open-source</w:t>
      </w:r>
      <w:r>
        <w:t xml:space="preserve"> </w:t>
      </w:r>
      <w:r>
        <w:t xml:space="preserve">infectious-disease and AMR text into structured, citable intelligence, and a</w:t>
      </w:r>
      <w:r>
        <w:t xml:space="preserve"> </w:t>
      </w:r>
      <w:r>
        <w:t xml:space="preserve">foundation for a program of methodological studies. It is freely available, runs and</w:t>
      </w:r>
      <w:r>
        <w:t xml:space="preserve"> </w:t>
      </w:r>
      <w:r>
        <w:t xml:space="preserve">updates at no cost, and is archived with a DOI for reuse and citation.</w:t>
      </w:r>
    </w:p>
    <w:bookmarkEnd w:id="69"/>
    <w:bookmarkStart w:id="78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all code and the annotated schema are available</w:t>
      </w:r>
      <w:r>
        <w:t xml:space="preserve"> </w:t>
      </w:r>
      <w:r>
        <w:t xml:space="preserve">on GitHub and archived on Zenodo (DOI: 10.5281/zenodo.21263882); data derive from</w:t>
      </w:r>
      <w:r>
        <w:t xml:space="preserve"> </w:t>
      </w:r>
      <w:r>
        <w:t xml:space="preserve">public open-source APIs.</w:t>
      </w:r>
      <w:r>
        <w:t xml:space="preserve"> </w:t>
      </w:r>
      <w:r>
        <w:rPr>
          <w:b/>
          <w:bCs/>
        </w:rPr>
        <w:t xml:space="preserve">Funding:</w:t>
      </w:r>
      <w:r>
        <w:t xml:space="preserve"> </w:t>
      </w:r>
      <w:r>
        <w:t xml:space="preserve">none.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t xml:space="preserve">none</w:t>
      </w:r>
      <w:r>
        <w:t xml:space="preserve"> </w:t>
      </w:r>
      <w:r>
        <w:t xml:space="preserve">declared.</w:t>
      </w:r>
      <w:r>
        <w:t xml:space="preserve"> </w:t>
      </w:r>
      <w:r>
        <w:rPr>
          <w:b/>
          <w:bCs/>
        </w:rPr>
        <w:t xml:space="preserve">Ethics:</w:t>
      </w:r>
      <w:r>
        <w:t xml:space="preserve"> </w:t>
      </w:r>
      <w:r>
        <w:t xml:space="preserve">the platform uses only open-source, aggregate/public data</w:t>
      </w:r>
      <w:r>
        <w:t xml:space="preserve"> </w:t>
      </w:r>
      <w:r>
        <w:t xml:space="preserve">and no individual patient data.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YHW conceived,</w:t>
      </w:r>
      <w:r>
        <w:t xml:space="preserve"> </w:t>
      </w:r>
      <w:r>
        <w:t xml:space="preserve">designed, implemented, and wrote the work.</w:t>
      </w:r>
    </w:p>
    <w:p>
      <w:pPr>
        <w:pStyle w:val="BodyText"/>
      </w:pPr>
      <w:r>
        <w:t xml:space="preserve">10</w:t>
      </w:r>
      <w:r>
        <w:t xml:space="preserve"> </w:t>
      </w:r>
      <w:r>
        <w:t xml:space="preserve">Antimicrobial Resistance Collaborators. Global burden of bacterial antimicrobial</w:t>
      </w:r>
      <w:r>
        <w:t xml:space="preserve"> </w:t>
      </w:r>
      <w:r>
        <w:t xml:space="preserve">resistance in 2019: a systematic analysis.</w:t>
      </w:r>
      <w:r>
        <w:t xml:space="preserve"> </w:t>
      </w:r>
      <w:r>
        <w:rPr>
          <w:i/>
          <w:iCs/>
        </w:rPr>
        <w:t xml:space="preserve">Lancet</w:t>
      </w:r>
      <w:r>
        <w:t xml:space="preserve">. 2022;399(10325):629–655.</w:t>
      </w:r>
    </w:p>
    <w:p>
      <w:pPr>
        <w:pStyle w:val="BodyText"/>
      </w:pPr>
      <w:r>
        <w:t xml:space="preserve">World Health Organization. Global Antimicrobial Resistance and Use Surveillance</w:t>
      </w:r>
      <w:r>
        <w:t xml:space="preserve"> </w:t>
      </w:r>
      <w:r>
        <w:t xml:space="preserve">System (GLASS). Geneva: WHO. Available from:</w:t>
      </w:r>
      <w:r>
        <w:t xml:space="preserve"> </w:t>
      </w:r>
      <w:hyperlink r:id="rId70">
        <w:r>
          <w:rPr>
            <w:rStyle w:val="Hyperlink"/>
          </w:rPr>
          <w:t xml:space="preserve">https://www.who.int/initiatives/glass</w:t>
        </w:r>
      </w:hyperlink>
    </w:p>
    <w:p>
      <w:pPr>
        <w:pStyle w:val="BodyText"/>
      </w:pPr>
      <w:r>
        <w:t xml:space="preserve">World Health Organization. Epidemic Intelligence from Open Sources (EIOS). Geneva:</w:t>
      </w:r>
      <w:r>
        <w:t xml:space="preserve"> </w:t>
      </w:r>
      <w:r>
        <w:t xml:space="preserve">WHO. Available from:</w:t>
      </w:r>
      <w:r>
        <w:t xml:space="preserve"> </w:t>
      </w:r>
      <w:hyperlink r:id="rId71">
        <w:r>
          <w:rPr>
            <w:rStyle w:val="Hyperlink"/>
          </w:rPr>
          <w:t xml:space="preserve">https://www.who.int/initiatives/eios</w:t>
        </w:r>
      </w:hyperlink>
    </w:p>
    <w:p>
      <w:pPr>
        <w:pStyle w:val="BodyText"/>
      </w:pPr>
      <w:r>
        <w:t xml:space="preserve">Freifeld CC, Mandl KD, Reis BY, Brownstein JS. HealthMap: global infectious disease</w:t>
      </w:r>
      <w:r>
        <w:t xml:space="preserve"> </w:t>
      </w:r>
      <w:r>
        <w:t xml:space="preserve">monitoring through automated classification and visualization of Internet media</w:t>
      </w:r>
      <w:r>
        <w:t xml:space="preserve"> </w:t>
      </w:r>
      <w:r>
        <w:t xml:space="preserve">reports.</w:t>
      </w:r>
      <w:r>
        <w:t xml:space="preserve"> </w:t>
      </w:r>
      <w:r>
        <w:rPr>
          <w:i/>
          <w:iCs/>
        </w:rPr>
        <w:t xml:space="preserve">J Am Med Inform Assoc</w:t>
      </w:r>
      <w:r>
        <w:t xml:space="preserve">. 2008;15(2):150–157.</w:t>
      </w:r>
    </w:p>
    <w:p>
      <w:pPr>
        <w:pStyle w:val="BodyText"/>
      </w:pPr>
      <w:r>
        <w:t xml:space="preserve">International Society for Infectious Diseases. ProMED-mail. Available from:</w:t>
      </w:r>
      <w:r>
        <w:t xml:space="preserve"> </w:t>
      </w:r>
      <w:hyperlink r:id="rId72">
        <w:r>
          <w:rPr>
            <w:rStyle w:val="Hyperlink"/>
          </w:rPr>
          <w:t xml:space="preserve">https://promedmail.org</w:t>
        </w:r>
      </w:hyperlink>
    </w:p>
    <w:p>
      <w:pPr>
        <w:pStyle w:val="BodyText"/>
      </w:pPr>
      <w:r>
        <w:t xml:space="preserve">MacIntyre CR, et al. EPIWATCH: open-source epidemic observatory. Sydney: UNSW.</w:t>
      </w:r>
      <w:r>
        <w:t xml:space="preserve"> </w:t>
      </w:r>
      <w:r>
        <w:t xml:space="preserve">Available from:</w:t>
      </w:r>
      <w:r>
        <w:t xml:space="preserve"> </w:t>
      </w:r>
      <w:hyperlink r:id="rId73">
        <w:r>
          <w:rPr>
            <w:rStyle w:val="Hyperlink"/>
          </w:rPr>
          <w:t xml:space="preserve">https://www.epiwatch.org</w:t>
        </w:r>
      </w:hyperlink>
    </w:p>
    <w:p>
      <w:pPr>
        <w:pStyle w:val="BodyText"/>
      </w:pPr>
      <w:r>
        <w:t xml:space="preserve">World Health Organization. Global Health Observatory OData API. Geneva: WHO.</w:t>
      </w:r>
      <w:r>
        <w:t xml:space="preserve"> </w:t>
      </w:r>
      <w:r>
        <w:t xml:space="preserve">Available from:</w:t>
      </w:r>
      <w:r>
        <w:t xml:space="preserve"> </w:t>
      </w:r>
      <w:hyperlink r:id="rId74">
        <w:r>
          <w:rPr>
            <w:rStyle w:val="Hyperlink"/>
          </w:rPr>
          <w:t xml:space="preserve">https://www.who.int/data/gho/info/gho-odata-api</w:t>
        </w:r>
      </w:hyperlink>
    </w:p>
    <w:p>
      <w:pPr>
        <w:pStyle w:val="BodyText"/>
      </w:pPr>
      <w:r>
        <w:t xml:space="preserve">National Center for Biotechnology Information. Entrez Programming Utilities</w:t>
      </w:r>
      <w:r>
        <w:t xml:space="preserve"> </w:t>
      </w:r>
      <w:r>
        <w:t xml:space="preserve">(E-utilities). Bethesda (MD): NCBI. Available from:</w:t>
      </w:r>
      <w:r>
        <w:t xml:space="preserve"> </w:t>
      </w:r>
      <w:hyperlink r:id="rId75">
        <w:r>
          <w:rPr>
            <w:rStyle w:val="Hyperlink"/>
          </w:rPr>
          <w:t xml:space="preserve">https://www.ncbi.nlm.nih.gov/books/NBK25501/</w:t>
        </w:r>
      </w:hyperlink>
    </w:p>
    <w:p>
      <w:pPr>
        <w:pStyle w:val="BodyText"/>
      </w:pPr>
      <w:r>
        <w:t xml:space="preserve">Europe PMC Consortium. Europe PMC RESTful Web Service. Available from:</w:t>
      </w:r>
      <w:r>
        <w:t xml:space="preserve"> </w:t>
      </w:r>
      <w:hyperlink r:id="rId76">
        <w:r>
          <w:rPr>
            <w:rStyle w:val="Hyperlink"/>
          </w:rPr>
          <w:t xml:space="preserve">https://europepmc.org/RestfulWebService</w:t>
        </w:r>
      </w:hyperlink>
    </w:p>
    <w:p>
      <w:pPr>
        <w:pStyle w:val="BodyText"/>
      </w:pPr>
      <w:r>
        <w:t xml:space="preserve">National Library of Medicine. ClinicalTrials.gov API. Bethesda (MD): NLM. Available</w:t>
      </w:r>
      <w:r>
        <w:t xml:space="preserve"> </w:t>
      </w:r>
      <w:r>
        <w:t xml:space="preserve">from:</w:t>
      </w:r>
      <w:r>
        <w:t xml:space="preserve"> </w:t>
      </w:r>
      <w:hyperlink r:id="rId77">
        <w:r>
          <w:rPr>
            <w:rStyle w:val="Hyperlink"/>
          </w:rPr>
          <w:t xml:space="preserve">https://clinicaltrials.gov/data-api/api</w:t>
        </w:r>
      </w:hyperlink>
    </w:p>
    <w:bookmarkEnd w:id="78"/>
    <w:bookmarkStart w:id="83" w:name="appendix-a.-live-instance"/>
    <w:p>
      <w:pPr>
        <w:pStyle w:val="Heading1"/>
      </w:pPr>
      <w:r>
        <w:t xml:space="preserve">Appendix A. Live instance</w:t>
      </w:r>
    </w:p>
    <w:p>
      <w:pPr>
        <w:pStyle w:val="FirstParagraph"/>
      </w:pPr>
      <w:r>
        <w:t xml:space="preserve">The infrastructure runs as a public, daily-updated web instance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streamlit.app</w:t>
        </w:r>
      </w:hyperlink>
      <w:r>
        <w:t xml:space="preserve">),</w:t>
      </w:r>
      <w:r>
        <w:t xml:space="preserve"> </w:t>
      </w:r>
      <w:r>
        <w:t xml:space="preserve">which exposes every module in Table </w:t>
      </w:r>
      <w:hyperlink w:anchor="tab:modul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together with the search,</w:t>
      </w:r>
      <w:r>
        <w:t xml:space="preserve"> </w:t>
      </w:r>
      <w:r>
        <w:t xml:space="preserve">knowledge-graph, heatmap, annotation, and benchmark tools (Figure </w:t>
      </w:r>
      <w:hyperlink w:anchor="fig:dash">
        <w:r>
          <w:rPr>
            <w:rStyle w:val="Hyperlink"/>
          </w:rPr>
          <w:t xml:space="preserve">8</w:t>
        </w:r>
      </w:hyperlink>
      <w:r>
        <w:t xml:space="preserve">).</w:t>
      </w:r>
    </w:p>
    <w:bookmarkStart w:id="82" w:name="fig:dash"/>
    <w:p>
      <w:pPr>
        <w:pStyle w:val="CaptionedFigure"/>
      </w:pPr>
      <w:r>
        <w:drawing>
          <wp:inline>
            <wp:extent cx="4160520" cy="197363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ure4_dashboar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73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VIGIL public live instance. Shown for reproducibility and reuse; it is</w:t>
      </w:r>
      <w:r>
        <w:t xml:space="preserve"> </w:t>
      </w:r>
      <w:r>
        <w:t xml:space="preserve">the running realisation of the infrastructure in Figure </w:t>
      </w:r>
      <w:hyperlink w:anchor="fig:arch">
        <w:r>
          <w:rPr>
            <w:rStyle w:val="Hyperlink"/>
          </w:rPr>
          <w:t xml:space="preserve">1</w:t>
        </w:r>
      </w:hyperlink>
      <w:r>
        <w:t xml:space="preserve">, not a</w:t>
      </w:r>
      <w:r>
        <w:t xml:space="preserve"> </w:t>
      </w:r>
      <w:r>
        <w:t xml:space="preserve">contribution in itself.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3" Target="media/rId43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4" Target="media/rId64.png" /><Relationship Type="http://schemas.openxmlformats.org/officeDocument/2006/relationships/image" Id="rId79" Target="media/rId79.png" /><Relationship Type="http://schemas.openxmlformats.org/officeDocument/2006/relationships/hyperlink" Id="rId77" Target="https://clinicaltrials.gov/data-api/api" TargetMode="External" /><Relationship Type="http://schemas.openxmlformats.org/officeDocument/2006/relationships/hyperlink" Id="rId27" Target="https://doi.org/10.5281/zenodo.21263882" TargetMode="External" /><Relationship Type="http://schemas.openxmlformats.org/officeDocument/2006/relationships/hyperlink" Id="rId76" Target="https://europepmc.org/RestfulWebService" TargetMode="External" /><Relationship Type="http://schemas.openxmlformats.org/officeDocument/2006/relationships/hyperlink" Id="rId26" Target="https://github.com/Rogerking928/id-intel-platform" TargetMode="External" /><Relationship Type="http://schemas.openxmlformats.org/officeDocument/2006/relationships/hyperlink" Id="rId28" Target="https://id-intel-platform-4gkpazd4mhtj2upak5pzm9.streamlit.app/" TargetMode="External" /><Relationship Type="http://schemas.openxmlformats.org/officeDocument/2006/relationships/hyperlink" Id="rId21" Target="https://orcid.org/0000-0003-0307-8447" TargetMode="External" /><Relationship Type="http://schemas.openxmlformats.org/officeDocument/2006/relationships/hyperlink" Id="rId72" Target="https://promedmail.org" TargetMode="External" /><Relationship Type="http://schemas.openxmlformats.org/officeDocument/2006/relationships/hyperlink" Id="rId73" Target="https://www.epiwatch.org" TargetMode="External" /><Relationship Type="http://schemas.openxmlformats.org/officeDocument/2006/relationships/hyperlink" Id="rId75" Target="https://www.ncbi.nlm.nih.gov/books/NBK25501/" TargetMode="External" /><Relationship Type="http://schemas.openxmlformats.org/officeDocument/2006/relationships/hyperlink" Id="rId74" Target="https://www.who.int/data/gho/info/gho-odata-api" TargetMode="External" /><Relationship Type="http://schemas.openxmlformats.org/officeDocument/2006/relationships/hyperlink" Id="rId71" Target="https://www.who.int/initiatives/eios" TargetMode="External" /><Relationship Type="http://schemas.openxmlformats.org/officeDocument/2006/relationships/hyperlink" Id="rId70" Target="https://www.who.int/initiatives/glass" TargetMode="External" /><Relationship Type="http://schemas.openxmlformats.org/officeDocument/2006/relationships/hyperlink" Id="rId20" Target="mailto:rogerwang890928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clinicaltrials.gov/data-api/api" TargetMode="External" /><Relationship Type="http://schemas.openxmlformats.org/officeDocument/2006/relationships/hyperlink" Id="rId27" Target="https://doi.org/10.5281/zenodo.21263882" TargetMode="External" /><Relationship Type="http://schemas.openxmlformats.org/officeDocument/2006/relationships/hyperlink" Id="rId76" Target="https://europepmc.org/RestfulWebService" TargetMode="External" /><Relationship Type="http://schemas.openxmlformats.org/officeDocument/2006/relationships/hyperlink" Id="rId26" Target="https://github.com/Rogerking928/id-intel-platform" TargetMode="External" /><Relationship Type="http://schemas.openxmlformats.org/officeDocument/2006/relationships/hyperlink" Id="rId28" Target="https://id-intel-platform-4gkpazd4mhtj2upak5pzm9.streamlit.app/" TargetMode="External" /><Relationship Type="http://schemas.openxmlformats.org/officeDocument/2006/relationships/hyperlink" Id="rId21" Target="https://orcid.org/0000-0003-0307-8447" TargetMode="External" /><Relationship Type="http://schemas.openxmlformats.org/officeDocument/2006/relationships/hyperlink" Id="rId72" Target="https://promedmail.org" TargetMode="External" /><Relationship Type="http://schemas.openxmlformats.org/officeDocument/2006/relationships/hyperlink" Id="rId73" Target="https://www.epiwatch.org" TargetMode="External" /><Relationship Type="http://schemas.openxmlformats.org/officeDocument/2006/relationships/hyperlink" Id="rId75" Target="https://www.ncbi.nlm.nih.gov/books/NBK25501/" TargetMode="External" /><Relationship Type="http://schemas.openxmlformats.org/officeDocument/2006/relationships/hyperlink" Id="rId74" Target="https://www.who.int/data/gho/info/gho-odata-api" TargetMode="External" /><Relationship Type="http://schemas.openxmlformats.org/officeDocument/2006/relationships/hyperlink" Id="rId71" Target="https://www.who.int/initiatives/eios" TargetMode="External" /><Relationship Type="http://schemas.openxmlformats.org/officeDocument/2006/relationships/hyperlink" Id="rId70" Target="https://www.who.int/initiatives/glass" TargetMode="External" /><Relationship Type="http://schemas.openxmlformats.org/officeDocument/2006/relationships/hyperlink" Id="rId20" Target="mailto:rogerwang890928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VIGIL: A Validation-First Research Infrastructure for Global Infectious-Disease Intelligence</dc:title>
  <dc:creator>Yen-Hsiang Wang, MD, MSc Graduate Institute of Medical Sciences, College of Medicine, Taipei Medical University, Taipei 11031, Taiwan  rogerwang890928@gmail.com  \cdot  ORCID 0000-0003-0307-8447</dc:creator>
  <cp:keywords/>
  <dcterms:created xsi:type="dcterms:W3CDTF">2026-07-11T11:44:16Z</dcterms:created>
  <dcterms:modified xsi:type="dcterms:W3CDTF">2026-07-11T11:44:16Z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