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560529">
        <w:rPr>
          <w:rFonts w:ascii="Times New Roman" w:hAnsi="Times New Roman" w:cs="Times New Roman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Pr="00560529" w:rsidRDefault="001F3419" w:rsidP="00560529">
      <w:pPr>
        <w:pStyle w:val="Title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56052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Pr="00560529">
        <w:rPr>
          <w:rFonts w:cs="Times New Roman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920D56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20D56">
        <w:rPr>
          <w:noProof/>
        </w:rPr>
        <w:t>Słownik pojęć</w:t>
      </w:r>
      <w:r w:rsidR="00920D56">
        <w:rPr>
          <w:noProof/>
        </w:rPr>
        <w:tab/>
      </w:r>
      <w:r w:rsidR="00920D56">
        <w:rPr>
          <w:noProof/>
        </w:rPr>
        <w:fldChar w:fldCharType="begin"/>
      </w:r>
      <w:r w:rsidR="00920D56">
        <w:rPr>
          <w:noProof/>
        </w:rPr>
        <w:instrText xml:space="preserve"> PAGEREF _Toc472295946 \h </w:instrText>
      </w:r>
      <w:r w:rsidR="00920D56">
        <w:rPr>
          <w:noProof/>
        </w:rPr>
      </w:r>
      <w:r w:rsidR="00920D56">
        <w:rPr>
          <w:noProof/>
        </w:rPr>
        <w:fldChar w:fldCharType="separate"/>
      </w:r>
      <w:r w:rsidR="00920D56">
        <w:rPr>
          <w:noProof/>
        </w:rPr>
        <w:t>- 3 -</w:t>
      </w:r>
      <w:r w:rsidR="00920D56"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2.1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ASP.NET.Core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_Toc472295955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2.2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Visual Studio 2015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_Toc472295956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2.3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Entity Framework 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_Toc472295957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2.4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GitHub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_Toc472295958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2.5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SourceTree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_Toc472295959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229594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229594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3" w:name="_Toc472295948"/>
      <w:r>
        <w:lastRenderedPageBreak/>
        <w:t>Komponowanie właściwej diety</w:t>
      </w:r>
      <w:bookmarkEnd w:id="3"/>
    </w:p>
    <w:p w:rsidR="001F3419" w:rsidRDefault="00777214" w:rsidP="00777214">
      <w:pPr>
        <w:pStyle w:val="Heading2"/>
      </w:pPr>
      <w:bookmarkStart w:id="4" w:name="_Toc472295949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Heading2"/>
      </w:pPr>
      <w:bookmarkStart w:id="6" w:name="_Toc472295950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2295951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9" w:name="_Toc470096682"/>
      <w:bookmarkStart w:id="10" w:name="_Toc472295952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229595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2295954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Heading2"/>
        <w:rPr>
          <w:rStyle w:val="bold"/>
        </w:rPr>
      </w:pPr>
      <w:bookmarkStart w:id="16" w:name="_Toc472295955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7" w:name="_Toc472295956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</w:t>
      </w:r>
      <w:proofErr w:type="spellStart"/>
      <w:r w:rsidR="00463009" w:rsidRPr="00484F0D">
        <w:rPr>
          <w:rStyle w:val="bold"/>
        </w:rPr>
        <w:t>multiplatformowego</w:t>
      </w:r>
      <w:proofErr w:type="spellEnd"/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2295957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9" w:name="_Toc47229595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0" w:name="_Toc472295959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229596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2" w:name="_Toc472295961"/>
      <w:r>
        <w:lastRenderedPageBreak/>
        <w:t>Implementacja</w:t>
      </w:r>
      <w:bookmarkEnd w:id="22"/>
    </w:p>
    <w:p w:rsidR="001F3419" w:rsidRPr="007B7361" w:rsidRDefault="003456CD" w:rsidP="007B7361">
      <w:pPr>
        <w:pStyle w:val="Heading2"/>
      </w:pPr>
      <w:bookmarkStart w:id="23" w:name="_Toc470096684"/>
      <w:bookmarkStart w:id="24" w:name="_Toc472295962"/>
      <w:r>
        <w:t>Struktura projektu</w:t>
      </w:r>
      <w:bookmarkEnd w:id="23"/>
      <w:bookmarkEnd w:id="24"/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Rys.3.0 Schemat projektu</w:t>
      </w:r>
    </w:p>
    <w:p w:rsidR="009D551D" w:rsidRDefault="0011529F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 xml:space="preserve">Solucja przedstawiona na rys.3.0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 odpowiedzialne za zarządzanie logiką i widokami</w:t>
      </w:r>
      <w:r w:rsidR="009D551D">
        <w:rPr>
          <w:rStyle w:val="bold"/>
        </w:rPr>
        <w:t xml:space="preserve"> tematyki związanej z dietetyką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984746">
        <w:rPr>
          <w:rStyle w:val="bold"/>
        </w:rPr>
        <w:t>.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3914F9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3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3914F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25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3E4422">
        <w:rPr>
          <w:rStyle w:val="bold"/>
        </w:rPr>
        <w:t xml:space="preserve">Wydobycie 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2295963"/>
      <w:r>
        <w:lastRenderedPageBreak/>
        <w:t>Nawigacja</w:t>
      </w:r>
      <w:bookmarkEnd w:id="25"/>
      <w:bookmarkEnd w:id="26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rys</w:t>
      </w:r>
      <w:r w:rsidR="00942A8C">
        <w:rPr>
          <w:rStyle w:val="bold"/>
        </w:rPr>
        <w:t>.</w:t>
      </w:r>
      <w:r w:rsidR="00FA514F">
        <w:rPr>
          <w:rStyle w:val="bold"/>
        </w:rPr>
        <w:t>3.3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3914F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44" type="#_x0000_t75" style="width:328.9pt;height:76.6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zostało zadekl</w:t>
      </w:r>
      <w:r w:rsidR="0007280A">
        <w:rPr>
          <w:rStyle w:val="bold"/>
        </w:rPr>
        <w:t xml:space="preserve">arowane 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BB12C1">
        <w:rPr>
          <w:rStyle w:val="bold"/>
        </w:rPr>
        <w:t>rys.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3914F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Heading2"/>
      </w:pPr>
      <w:bookmarkStart w:id="27" w:name="_Toc472295964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E82981">
      <w:pPr>
        <w:spacing w:before="0" w:after="0" w:line="360" w:lineRule="auto"/>
        <w:ind w:left="0" w:right="-2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F34636">
        <w:t xml:space="preserve"> Każdy nowo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rys.3.7</w:t>
      </w:r>
      <w:r w:rsidR="00025237">
        <w:t>,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notorycznym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E82981">
        <w:t xml:space="preserve">, do listy tej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>W momencie zatwierdzenia elementu, administrator ma możliwość wycofania go, co przyczynia się do odzyskania uprawnień przez twórcę produktu</w:t>
      </w:r>
      <w:r w:rsidR="00025237">
        <w:t xml:space="preserve"> </w:t>
      </w:r>
      <w:r w:rsidR="00F34636">
        <w:t>i pozwala na ponowne zgłoszenie do systemu.</w:t>
      </w:r>
    </w:p>
    <w:p w:rsidR="00300578" w:rsidRDefault="00300578" w:rsidP="00E82981">
      <w:pPr>
        <w:spacing w:before="0" w:after="0" w:line="360" w:lineRule="auto"/>
        <w:ind w:left="0" w:right="-2"/>
      </w:pPr>
    </w:p>
    <w:p w:rsidR="00D257A2" w:rsidRPr="00300578" w:rsidRDefault="00300578" w:rsidP="00E82981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 w:rsidRPr="00300578">
        <w:rPr>
          <w:noProof/>
          <w:sz w:val="20"/>
          <w:szCs w:val="20"/>
          <w:lang w:eastAsia="pl-PL"/>
        </w:rPr>
        <w:pict>
          <v:shape id="_x0000_i1081" type="#_x0000_t75" style="width:6in;height:106.55pt">
            <v:imagedata r:id="rId32" o:title="2017-01-16 01_08_27-test2.png - Windows Photo Viewer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 dodanych produktów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2295965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>o utworzenie elementom bazy swoich 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3914F9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6in;height:54.7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A80C58">
        <w:rPr>
          <w:rStyle w:val="bold"/>
        </w:rPr>
        <w:t xml:space="preserve">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>
        <w:rPr>
          <w:rStyle w:val="bold"/>
        </w:rPr>
        <w:t xml:space="preserve"> 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863938">
        <w:rPr>
          <w:rStyle w:val="bold"/>
        </w:rPr>
        <w:t>–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ListParagraph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3D3976">
        <w:rPr>
          <w:rStyle w:val="bold"/>
        </w:rPr>
        <w:t xml:space="preserve"> biblioteką, nie 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do żadnego modułu dzięki 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innego </w:t>
      </w:r>
      <w:r w:rsidR="00CA2A63">
        <w:rPr>
          <w:rStyle w:val="bold"/>
        </w:rPr>
        <w:t xml:space="preserve">projektu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3914F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0" type="#_x0000_t75" style="width:6in;height:396.85pt">
            <v:imagedata r:id="rId34" o:title="2017-01-12 18_57_47-ROGER_LOCALDB#69A57212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>między produktami</w:t>
      </w:r>
      <w:r w:rsidR="00FA3FAE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229596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Default="00AF7864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>, które zostają wygenerowane w momencie tworzenia lub logowania na konto.</w:t>
      </w:r>
      <w:r w:rsidR="000C05E1">
        <w:rPr>
          <w:rStyle w:val="bold"/>
        </w:rPr>
        <w:t xml:space="preserve"> </w:t>
      </w:r>
      <w:r w:rsidR="00E066F0">
        <w:rPr>
          <w:rStyle w:val="bold"/>
        </w:rPr>
        <w:t>Funkcje te</w:t>
      </w:r>
      <w:r w:rsidR="0000293D">
        <w:rPr>
          <w:rStyle w:val="bold"/>
        </w:rPr>
        <w:t xml:space="preserve"> zostaje wygenerowana za pomocą wybranego algorytmu hashującego</w:t>
      </w:r>
      <w:r w:rsidR="00E066F0">
        <w:rPr>
          <w:rStyle w:val="bold"/>
        </w:rPr>
        <w:t xml:space="preserve"> przy użyciu hasła podanego przez użytkownika oraz soli wygenerowanej 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3914F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9.1pt;height:180.3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731536">
        <w:rPr>
          <w:rStyle w:val="bold"/>
        </w:rPr>
        <w:t>rys.</w:t>
      </w:r>
      <w:r w:rsidR="00FF552C">
        <w:rPr>
          <w:rStyle w:val="bold"/>
        </w:rPr>
        <w:t>3.10.</w:t>
      </w:r>
    </w:p>
    <w:p w:rsidR="0063069A" w:rsidRDefault="00E066F0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3914F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.8pt;height:195.8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ListParagraph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Heading2"/>
      </w:pPr>
      <w:bookmarkStart w:id="32" w:name="_Toc472295967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>Przy starcie aplikacji pojawia się możliwość zalogowania lub rejestracji, przy której przyszły użytkownik serwisu zobowiązany jest do zaaplikowania swoich danych takich jak: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Nazwa użytkownika,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Adres e-mail,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Hasło zabezpieczające konto,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Potwierdzenie hasła,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Płeć,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Wzrost,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Waga,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Wiek.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Do utworzenia konta wymagane są niestandardowe dane dotyczące wzrostu i wagi, które będą wykorzystane w dalszym rozwoju aplikacji. W momencie, gdy posiadamy już istniejące konto logowanie odbywa się poprzez wpisanie nazwy użytkownika oraz hasła. 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>Po zalogowaniu użytkownik,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rys.3.11.  Grupy te prezentują się następująco: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– odpowiedzialna za zarządzanie dniami żywieniowymi,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– pełniąca funkcję zarządzania produktami użytkownika,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– określająca cele użytkownika oraz przedstawiająca instrukcję obsługi panelu diety.</w:t>
      </w:r>
    </w:p>
    <w:p w:rsidR="00FD7637" w:rsidRPr="00B2579E" w:rsidRDefault="00B2579E" w:rsidP="00B2579E">
      <w:pPr>
        <w:spacing w:before="0" w:after="0" w:line="360" w:lineRule="auto"/>
        <w:ind w:left="0" w:right="-2"/>
        <w:rPr>
          <w:sz w:val="20"/>
          <w:szCs w:val="20"/>
        </w:rPr>
      </w:pPr>
      <w:r w:rsidRPr="00B2579E">
        <w:rPr>
          <w:sz w:val="20"/>
          <w:szCs w:val="20"/>
        </w:rPr>
        <w:drawing>
          <wp:inline distT="0" distB="0" distL="0" distR="0" wp14:anchorId="03D3D761" wp14:editId="70FA4B6C">
            <wp:extent cx="1938020" cy="1492300"/>
            <wp:effectExtent l="0" t="0" r="5080" b="0"/>
            <wp:docPr id="3" name="Picture 3" descr="C:\Users\roger_000\AppData\Local\Microsoft\Windows\INetCacheContent.Word\2017-01-16 01_55_49-Home Page - Personal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roger_000\AppData\Local\Microsoft\Windows\INetCacheContent.Word\2017-01-16 01_55_49-Home Page - Personal train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05" cy="15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920D56" w:rsidRPr="00920D56" w:rsidRDefault="0049571F" w:rsidP="00920D56">
      <w:pPr>
        <w:spacing w:before="0" w:after="0" w:line="360" w:lineRule="auto"/>
        <w:ind w:left="0" w:right="-2"/>
        <w:rPr>
          <w:rStyle w:val="bold"/>
          <w:sz w:val="20"/>
          <w:szCs w:val="20"/>
        </w:rPr>
      </w:pPr>
      <w:r>
        <w:rPr>
          <w:rStyle w:val="bold"/>
        </w:rPr>
        <w:lastRenderedPageBreak/>
        <w:t>DO zrobienia opis panelu administracyjnego</w:t>
      </w:r>
      <w:bookmarkStart w:id="33" w:name="_GoBack"/>
      <w:bookmarkEnd w:id="33"/>
    </w:p>
    <w:p w:rsidR="00084BFA" w:rsidRPr="00F900B0" w:rsidRDefault="00084BFA" w:rsidP="00A80F58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4" w:name="_Toc472295968"/>
      <w:r>
        <w:rPr>
          <w:rStyle w:val="ListLabel1"/>
        </w:rPr>
        <w:lastRenderedPageBreak/>
        <w:t>Podsumowanie</w:t>
      </w:r>
      <w:bookmarkEnd w:id="34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5" w:name="_Toc472295969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08" w:rsidRDefault="00167E08" w:rsidP="00A42A71">
      <w:pPr>
        <w:spacing w:before="0" w:after="0" w:line="240" w:lineRule="auto"/>
      </w:pPr>
      <w:r>
        <w:separator/>
      </w:r>
    </w:p>
  </w:endnote>
  <w:endnote w:type="continuationSeparator" w:id="0">
    <w:p w:rsidR="00167E08" w:rsidRDefault="00167E08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529" w:rsidRDefault="00560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560529" w:rsidRDefault="0056052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529" w:rsidRDefault="00560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71F">
          <w:rPr>
            <w:noProof/>
          </w:rPr>
          <w:t>- 29 -</w:t>
        </w:r>
        <w:r>
          <w:rPr>
            <w:noProof/>
          </w:rPr>
          <w:fldChar w:fldCharType="end"/>
        </w:r>
      </w:p>
    </w:sdtContent>
  </w:sdt>
  <w:p w:rsidR="00560529" w:rsidRDefault="0056052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529" w:rsidRDefault="00560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560529" w:rsidRDefault="0056052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529" w:rsidRDefault="00560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71F">
          <w:rPr>
            <w:noProof/>
          </w:rPr>
          <w:t>- 30 -</w:t>
        </w:r>
        <w:r>
          <w:rPr>
            <w:noProof/>
          </w:rPr>
          <w:fldChar w:fldCharType="end"/>
        </w:r>
      </w:p>
    </w:sdtContent>
  </w:sdt>
  <w:p w:rsidR="00560529" w:rsidRDefault="0056052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08" w:rsidRDefault="00167E08" w:rsidP="00A42A71">
      <w:pPr>
        <w:spacing w:before="0" w:after="0" w:line="240" w:lineRule="auto"/>
      </w:pPr>
      <w:r>
        <w:separator/>
      </w:r>
    </w:p>
  </w:footnote>
  <w:footnote w:type="continuationSeparator" w:id="0">
    <w:p w:rsidR="00167E08" w:rsidRDefault="00167E08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29" w:rsidRDefault="0056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37E0"/>
    <w:multiLevelType w:val="multilevel"/>
    <w:tmpl w:val="EE9EDAAA"/>
    <w:numStyleLink w:val="Styldlarozdziaw"/>
  </w:abstractNum>
  <w:abstractNum w:abstractNumId="8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0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8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BBA1F33"/>
    <w:multiLevelType w:val="multilevel"/>
    <w:tmpl w:val="1A325FC0"/>
    <w:numStyleLink w:val="numerowanieliteratury"/>
  </w:abstractNum>
  <w:abstractNum w:abstractNumId="20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5"/>
  </w:num>
  <w:num w:numId="5">
    <w:abstractNumId w:val="12"/>
  </w:num>
  <w:num w:numId="6">
    <w:abstractNumId w:val="17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8"/>
  </w:num>
  <w:num w:numId="18">
    <w:abstractNumId w:val="9"/>
  </w:num>
  <w:num w:numId="19">
    <w:abstractNumId w:val="19"/>
  </w:num>
  <w:num w:numId="20">
    <w:abstractNumId w:val="1"/>
  </w:num>
  <w:num w:numId="21">
    <w:abstractNumId w:val="16"/>
  </w:num>
  <w:num w:numId="22">
    <w:abstractNumId w:val="20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31AB"/>
    <w:rsid w:val="00A55802"/>
    <w:rsid w:val="00A6066C"/>
    <w:rsid w:val="00A624B1"/>
    <w:rsid w:val="00A80C58"/>
    <w:rsid w:val="00A80F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B5935"/>
    <w:rsid w:val="00AE006E"/>
    <w:rsid w:val="00AE07F5"/>
    <w:rsid w:val="00AE1133"/>
    <w:rsid w:val="00AE2732"/>
    <w:rsid w:val="00AE30BC"/>
    <w:rsid w:val="00AE50A5"/>
    <w:rsid w:val="00AE58E6"/>
    <w:rsid w:val="00AE6FD6"/>
    <w:rsid w:val="00AE7EAE"/>
    <w:rsid w:val="00AF0455"/>
    <w:rsid w:val="00AF7864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10C41"/>
    <w:rsid w:val="00C11BE8"/>
    <w:rsid w:val="00C2009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22CC2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5819-1995-44F3-8308-1CDDBE53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31</Pages>
  <Words>5340</Words>
  <Characters>32041</Characters>
  <Application>Microsoft Office Word</Application>
  <DocSecurity>0</DocSecurity>
  <Lines>267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530</cp:revision>
  <dcterms:created xsi:type="dcterms:W3CDTF">2016-11-11T09:14:00Z</dcterms:created>
  <dcterms:modified xsi:type="dcterms:W3CDTF">2017-01-16T01:12:00Z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