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7F77EA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F77EA">
        <w:rPr>
          <w:noProof/>
        </w:rPr>
        <w:t>Słownik pojęć</w:t>
      </w:r>
      <w:r w:rsidR="007F77EA">
        <w:rPr>
          <w:noProof/>
        </w:rPr>
        <w:tab/>
      </w:r>
      <w:r w:rsidR="007F77EA">
        <w:rPr>
          <w:noProof/>
        </w:rPr>
        <w:fldChar w:fldCharType="begin"/>
      </w:r>
      <w:r w:rsidR="007F77EA">
        <w:rPr>
          <w:noProof/>
        </w:rPr>
        <w:instrText xml:space="preserve"> PAGEREF _Toc471077625 \h </w:instrText>
      </w:r>
      <w:r w:rsidR="007F77EA">
        <w:rPr>
          <w:noProof/>
        </w:rPr>
      </w:r>
      <w:r w:rsidR="007F77EA">
        <w:rPr>
          <w:noProof/>
        </w:rPr>
        <w:fldChar w:fldCharType="separate"/>
      </w:r>
      <w:r w:rsidR="007F77EA">
        <w:rPr>
          <w:noProof/>
        </w:rPr>
        <w:t>- 3 -</w:t>
      </w:r>
      <w:r w:rsidR="007F77EA">
        <w:rPr>
          <w:noProof/>
        </w:rPr>
        <w:fldChar w:fldCharType="end"/>
      </w:r>
    </w:p>
    <w:p w:rsidR="007F77EA" w:rsidRDefault="007F77E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7F77EA" w:rsidRDefault="007F77E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203727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203727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7F77EA" w:rsidRDefault="007F77E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7F77EA" w:rsidRP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2.2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Visual studio 2015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_Toc471077634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7F77EA" w:rsidRP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2.3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Entity framework Core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_Toc471077635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7F77EA" w:rsidRP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2.4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GitHub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_Toc471077636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7F77EA" w:rsidRP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2.5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SourceTree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_Toc471077637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7F77EA" w:rsidRP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2.6</w:t>
      </w:r>
      <w:r w:rsidRPr="007F77EA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Semantic UI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_Toc471077638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7F77EA" w:rsidRPr="007F77EA" w:rsidRDefault="007F77EA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7F77EA">
        <w:rPr>
          <w:noProof/>
          <w:lang w:val="en-US"/>
        </w:rPr>
        <w:t>3</w:t>
      </w:r>
      <w:r w:rsidRPr="007F77EA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7F77EA">
        <w:rPr>
          <w:noProof/>
          <w:lang w:val="en-US"/>
        </w:rPr>
        <w:t>Implementacja</w:t>
      </w:r>
      <w:r w:rsidRPr="007F77EA">
        <w:rPr>
          <w:noProof/>
          <w:lang w:val="en-US"/>
        </w:rPr>
        <w:tab/>
      </w:r>
      <w:r>
        <w:rPr>
          <w:noProof/>
        </w:rPr>
        <w:fldChar w:fldCharType="begin"/>
      </w:r>
      <w:r w:rsidRPr="007F77EA">
        <w:rPr>
          <w:noProof/>
          <w:lang w:val="en-US"/>
        </w:rPr>
        <w:instrText xml:space="preserve"> PAGEREF _Toc471077639 \h </w:instrText>
      </w:r>
      <w:r>
        <w:rPr>
          <w:noProof/>
        </w:rPr>
      </w:r>
      <w:r>
        <w:rPr>
          <w:noProof/>
        </w:rPr>
        <w:fldChar w:fldCharType="separate"/>
      </w:r>
      <w:r w:rsidRPr="007F77EA">
        <w:rPr>
          <w:noProof/>
          <w:lang w:val="en-US"/>
        </w:rPr>
        <w:t>- 19 -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- 19 -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7F77EA" w:rsidRDefault="007F77EA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7F77EA" w:rsidRDefault="007F77E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7F77EA" w:rsidRDefault="007F77EA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_Toc471077645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07762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 xml:space="preserve">Framework  - </w:t>
      </w:r>
      <w:r w:rsidR="001A72D8">
        <w:rPr>
          <w:rStyle w:val="bold"/>
        </w:rPr>
        <w:t>z</w:t>
      </w:r>
      <w:r w:rsidRPr="00F34EC0">
        <w:rPr>
          <w:rStyle w:val="bold"/>
        </w:rPr>
        <w:t>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1A72D8" w:rsidP="00742EF4">
      <w:pPr>
        <w:pStyle w:val="NormalWeb"/>
        <w:spacing w:before="100" w:after="100" w:line="360" w:lineRule="auto"/>
        <w:ind w:right="-2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 xml:space="preserve">ałkowite dzienne zapotrzebowanie kaloryczne. 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proofErr w:type="spellStart"/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termiczny</w:t>
      </w:r>
      <w:proofErr w:type="spellEnd"/>
      <w:r w:rsidRPr="00F34EC0">
        <w:rPr>
          <w:rStyle w:val="bold"/>
          <w:lang w:val="en-US"/>
        </w:rPr>
        <w:t xml:space="preserve"> </w:t>
      </w:r>
      <w:proofErr w:type="spellStart"/>
      <w:r w:rsidRPr="00F34EC0">
        <w:rPr>
          <w:rStyle w:val="bold"/>
          <w:lang w:val="en-US"/>
        </w:rPr>
        <w:t>pożywienia</w:t>
      </w:r>
      <w:proofErr w:type="spellEnd"/>
      <w:r w:rsidRPr="00F34EC0">
        <w:rPr>
          <w:rStyle w:val="bold"/>
          <w:lang w:val="en-US"/>
        </w:rPr>
        <w:t>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sylwetką, mający tendencję do tycia po 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Pr="003A6887">
        <w:rPr>
          <w:rStyle w:val="bold"/>
        </w:rPr>
        <w:t>(Dynamic-Link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07762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>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Caption"/>
        <w:rPr>
          <w:rStyle w:val="bold"/>
          <w:lang w:val="pl-PL"/>
        </w:rPr>
      </w:pPr>
      <w:bookmarkStart w:id="3" w:name="_Toc471077627"/>
      <w:r w:rsidRPr="00D257CC">
        <w:rPr>
          <w:rStyle w:val="bold"/>
          <w:lang w:val="pl-PL"/>
        </w:rPr>
        <w:lastRenderedPageBreak/>
        <w:t>Temat1</w:t>
      </w:r>
      <w:bookmarkEnd w:id="3"/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1F3419" w:rsidRDefault="003456CD" w:rsidP="00154DC2">
      <w:pPr>
        <w:pStyle w:val="Heading2"/>
      </w:pPr>
      <w:bookmarkStart w:id="5" w:name="_Toc471077628"/>
      <w:bookmarkEnd w:id="4"/>
      <w:r>
        <w:lastRenderedPageBreak/>
        <w:t>Sposób liczenia makroskładników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6" w:name="_Toc470096681"/>
      <w:bookmarkStart w:id="7" w:name="_Toc471077629"/>
      <w:r>
        <w:lastRenderedPageBreak/>
        <w:t>Zapotrzebowanie kaloryczne.</w:t>
      </w:r>
      <w:bookmarkEnd w:id="6"/>
      <w:bookmarkEnd w:id="7"/>
    </w:p>
    <w:p w:rsidR="00451372" w:rsidRDefault="003456CD" w:rsidP="00451372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3456CD" w:rsidP="00451372">
      <w:pPr>
        <w:pStyle w:val="NormalWeb"/>
        <w:numPr>
          <w:ilvl w:val="0"/>
          <w:numId w:val="19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451372" w:rsidRPr="00F900B0" w:rsidRDefault="003456CD" w:rsidP="00451372">
      <w:pPr>
        <w:pStyle w:val="Normal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451372">
      <w:pPr>
        <w:pStyle w:val="Normal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451372">
      <w:pPr>
        <w:pStyle w:val="NormalWeb"/>
        <w:numPr>
          <w:ilvl w:val="0"/>
          <w:numId w:val="19"/>
        </w:numPr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124FC8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451372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3C094C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lang w:val="en-US"/>
        </w:rPr>
      </w:pPr>
      <w:r w:rsidRPr="003C094C"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 w:rsidRPr="003C094C">
        <w:rPr>
          <w:rStyle w:val="bold"/>
          <w:rFonts w:eastAsiaTheme="majorEastAsia"/>
          <w:lang w:val="en-US"/>
        </w:rPr>
        <w:tab/>
        <w:t xml:space="preserve">+ 5 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8" w:name="_Toc470096682"/>
      <w:bookmarkStart w:id="9" w:name="_Toc471077630"/>
      <w:r>
        <w:lastRenderedPageBreak/>
        <w:t>Postrzeganie Kalorii</w:t>
      </w:r>
      <w:bookmarkEnd w:id="8"/>
      <w:bookmarkEnd w:id="9"/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451372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0" w:name="_Toc470096683"/>
      <w:bookmarkStart w:id="11" w:name="_Toc471077631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="00B27CD8" w:rsidRPr="00B27CD8">
        <w:rPr>
          <w:rStyle w:val="bold"/>
        </w:rPr>
        <w:t>żył na przełomie XIX i XX wieku,</w:t>
      </w:r>
      <w:r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Pr="00B27CD8">
        <w:rPr>
          <w:rStyle w:val="bold"/>
        </w:rPr>
        <w:t>amerykańskim psychologiem</w:t>
      </w:r>
      <w:bookmarkStart w:id="12" w:name="__DdeLink__2121_61814216"/>
      <w:bookmarkEnd w:id="12"/>
      <w:r w:rsidR="00B27CD8">
        <w:rPr>
          <w:rStyle w:val="bold"/>
        </w:rPr>
        <w:t>, s</w:t>
      </w:r>
      <w:r w:rsidRPr="00F900B0">
        <w:rPr>
          <w:rStyle w:val="bold"/>
        </w:rPr>
        <w:t>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Pr="00F900B0">
        <w:rPr>
          <w:rStyle w:val="bold"/>
        </w:rPr>
        <w:t xml:space="preserve">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DA31D1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>Typologia zakłada że somatotyp jest niezmienny i nawet głodzony endomorfik nie stanie się ektomorfikiem, komórki tłuszczowe ulegną pomniejszeniu się natomiast ich ilość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3" w:name="_Toc470096680"/>
      <w:bookmarkStart w:id="14" w:name="_Toc471077632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3"/>
      <w:bookmarkEnd w:id="14"/>
      <w:proofErr w:type="spellEnd"/>
    </w:p>
    <w:p w:rsidR="00CD665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Heading2"/>
        <w:rPr>
          <w:rStyle w:val="bold"/>
        </w:rPr>
      </w:pPr>
      <w:bookmarkStart w:id="15" w:name="_Toc471077633"/>
      <w:r>
        <w:t>ASP.NET.CORE</w:t>
      </w:r>
      <w:bookmarkEnd w:id="15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Heading2"/>
      </w:pPr>
      <w:bookmarkStart w:id="16" w:name="_Toc471077634"/>
      <w:r w:rsidRPr="00CD6659">
        <w:lastRenderedPageBreak/>
        <w:t>Visual studio 2015</w:t>
      </w:r>
      <w:bookmarkEnd w:id="16"/>
      <w:r w:rsidRPr="00CD6659">
        <w:t xml:space="preserve"> </w:t>
      </w:r>
    </w:p>
    <w:p w:rsidR="00484010" w:rsidRDefault="0089782C" w:rsidP="0046300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484010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- </w:t>
      </w:r>
      <w:r w:rsidR="00160444">
        <w:rPr>
          <w:rStyle w:val="bold"/>
        </w:rPr>
        <w:t>Rozbudowa analizy</w:t>
      </w:r>
      <w:r>
        <w:rPr>
          <w:rStyle w:val="bold"/>
        </w:rPr>
        <w:t xml:space="preserve"> kod</w:t>
      </w:r>
      <w:r w:rsidR="00160444"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0E3149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-</w:t>
      </w:r>
      <w:r w:rsidR="00484010"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r w:rsidR="00484010">
        <w:rPr>
          <w:rStyle w:val="bold"/>
        </w:rPr>
        <w:t>di</w:t>
      </w:r>
      <w:r w:rsidR="00E56201">
        <w:rPr>
          <w:rStyle w:val="bold"/>
        </w:rPr>
        <w:t>agnostykującego</w:t>
      </w:r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E56201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–</w:t>
      </w:r>
      <w:r w:rsidR="00484010" w:rsidRPr="006F3E09">
        <w:rPr>
          <w:rStyle w:val="bold"/>
        </w:rPr>
        <w:t xml:space="preserve"> CodeLens</w:t>
      </w:r>
      <w:r>
        <w:rPr>
          <w:rStyle w:val="bold"/>
        </w:rPr>
        <w:t xml:space="preserve"> dostępny tylko w wersji </w:t>
      </w:r>
      <w:r>
        <w:t xml:space="preserve">Professional </w:t>
      </w:r>
      <w:r>
        <w:rPr>
          <w:rStyle w:val="bold"/>
        </w:rPr>
        <w:t xml:space="preserve">oraz </w:t>
      </w:r>
      <w:r>
        <w:t>Enterprise visual studio.</w:t>
      </w:r>
      <w:r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7" w:name="_Toc471077635"/>
      <w:r w:rsidRPr="00CD6659">
        <w:lastRenderedPageBreak/>
        <w:t>Entity framework Core</w:t>
      </w:r>
      <w:bookmarkEnd w:id="17"/>
      <w:r w:rsidRPr="00CD6659">
        <w:t xml:space="preserve"> </w:t>
      </w:r>
    </w:p>
    <w:p w:rsidR="008A03EB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ListParagraph"/>
        <w:spacing w:line="360" w:lineRule="auto"/>
        <w:ind w:left="0" w:right="-2"/>
        <w:jc w:val="both"/>
      </w:pPr>
    </w:p>
    <w:p w:rsidR="00BB38C2" w:rsidRDefault="008A03EB" w:rsidP="00CD6659">
      <w:pPr>
        <w:pStyle w:val="ListParagraph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ListParagraph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Heading2"/>
      </w:pPr>
      <w:bookmarkStart w:id="18" w:name="_Toc471077636"/>
      <w:r w:rsidRPr="00CD6659">
        <w:lastRenderedPageBreak/>
        <w:t>Git</w:t>
      </w:r>
      <w:r w:rsidR="001178D4">
        <w:t>H</w:t>
      </w:r>
      <w:r w:rsidRPr="00CD6659">
        <w:t>ub</w:t>
      </w:r>
      <w:bookmarkEnd w:id="18"/>
      <w:r w:rsidRPr="00CD6659">
        <w:t xml:space="preserve"> </w:t>
      </w: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Heading2"/>
      </w:pPr>
      <w:bookmarkStart w:id="19" w:name="_Toc471077637"/>
      <w:r w:rsidRPr="00CD6659">
        <w:t>SourceTree</w:t>
      </w:r>
      <w:bookmarkEnd w:id="19"/>
      <w:r w:rsidRPr="00CD6659">
        <w:t xml:space="preserve"> </w:t>
      </w:r>
    </w:p>
    <w:p w:rsidR="001178D4" w:rsidRDefault="00154DC2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0" w:name="_Toc471077638"/>
      <w:r w:rsidRPr="00CD6659">
        <w:lastRenderedPageBreak/>
        <w:t>Semantic UI</w:t>
      </w:r>
      <w:bookmarkEnd w:id="20"/>
      <w:r w:rsidRPr="00CD6659">
        <w:t xml:space="preserve"> 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2413C7" w:rsidRDefault="00C90BB3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Semantic posiada braki i może stać się uciążliwy.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Semantic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Caption"/>
      </w:pPr>
      <w:bookmarkStart w:id="21" w:name="_Toc471077639"/>
      <w:r>
        <w:lastRenderedPageBreak/>
        <w:t>Implementacja</w:t>
      </w:r>
      <w:bookmarkEnd w:id="21"/>
    </w:p>
    <w:p w:rsidR="00910AFC" w:rsidRPr="00F900B0" w:rsidRDefault="006F151C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="003456CD" w:rsidRPr="00F900B0">
        <w:rPr>
          <w:rStyle w:val="bold"/>
        </w:rPr>
        <w:t>.</w:t>
      </w:r>
    </w:p>
    <w:p w:rsidR="001F3419" w:rsidRDefault="003456CD" w:rsidP="00767CFD">
      <w:pPr>
        <w:pStyle w:val="Heading2"/>
      </w:pPr>
      <w:bookmarkStart w:id="22" w:name="_Toc470096684"/>
      <w:bookmarkStart w:id="23" w:name="_Toc471077640"/>
      <w:r>
        <w:t>Struktura projektu</w:t>
      </w:r>
      <w:bookmarkEnd w:id="22"/>
      <w:bookmarkEnd w:id="23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Aplikacja powstała na platformie </w:t>
      </w:r>
      <w:hyperlink r:id="rId26">
        <w:r w:rsidR="003456CD" w:rsidRPr="00F900B0">
          <w:rPr>
            <w:rStyle w:val="bold"/>
            <w:webHidden/>
          </w:rPr>
          <w:t>ASP.NET Core</w:t>
        </w:r>
      </w:hyperlink>
      <w:r w:rsidR="000536F9" w:rsidRPr="00F900B0">
        <w:rPr>
          <w:rStyle w:val="bold"/>
        </w:rPr>
        <w:t>.</w:t>
      </w:r>
      <w:r w:rsidR="003456CD" w:rsidRPr="00F900B0">
        <w:rPr>
          <w:rStyle w:val="bold"/>
        </w:rPr>
        <w:t xml:space="preserve"> Architektura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z</w:t>
      </w:r>
      <w:r w:rsidR="00D23264">
        <w:rPr>
          <w:rStyle w:val="bold"/>
        </w:rPr>
        <w:t> </w:t>
      </w:r>
      <w:r w:rsidR="007F77EA">
        <w:rPr>
          <w:rStyle w:val="bold"/>
        </w:rPr>
        <w:t xml:space="preserve"> konfiguracją i wszystkimi referencjami</w:t>
      </w:r>
      <w:r w:rsidR="00414FF8">
        <w:rPr>
          <w:rStyle w:val="bold"/>
        </w:rPr>
        <w:t xml:space="preserve"> do bibliotek zewnętrznych zadeklarowanych w</w:t>
      </w:r>
      <w:r w:rsidR="00D23264">
        <w:rPr>
          <w:rStyle w:val="bold"/>
        </w:rPr>
        <w:t> </w:t>
      </w:r>
      <w:r w:rsidR="00414FF8">
        <w:rPr>
          <w:rStyle w:val="bold"/>
        </w:rPr>
        <w:t xml:space="preserve"> pliku project.json. Biblioteka Framework służy do odseparowania strony serwerowej od </w:t>
      </w:r>
      <w:r w:rsidR="00414FF8">
        <w:rPr>
          <w:rStyle w:val="bold"/>
        </w:rPr>
        <w:lastRenderedPageBreak/>
        <w:t>warsty GUI. Posiada implementację oraz deklarację serwisów , modeli, atrybutów, zasobów językowych, a także połączeń bazodanowych.</w:t>
      </w:r>
      <w:r w:rsidR="003456CD" w:rsidRPr="00F900B0">
        <w:rPr>
          <w:rStyle w:val="bold"/>
        </w:rPr>
        <w:t xml:space="preserve">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</w:t>
      </w:r>
      <w:r w:rsidR="00414FF8">
        <w:rPr>
          <w:rStyle w:val="bold"/>
        </w:rPr>
        <w:t>y co w łatwy sposób 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Default="007A51DF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r w:rsidR="003456CD" w:rsidRPr="007A51DF">
        <w:rPr>
          <w:rStyle w:val="bold"/>
          <w:b/>
        </w:rPr>
        <w:t>PersonalTrainerCore</w:t>
      </w:r>
      <w:r>
        <w:rPr>
          <w:rStyle w:val="bold"/>
        </w:rPr>
        <w:t xml:space="preserve">, oraz </w:t>
      </w:r>
      <w:r w:rsidRPr="007A51DF">
        <w:rPr>
          <w:rStyle w:val="bold"/>
          <w:b/>
        </w:rPr>
        <w:t>PersonalTrainerCore.WebGUI</w:t>
      </w:r>
      <w:r w:rsidR="00414FF8">
        <w:rPr>
          <w:rStyle w:val="bold"/>
        </w:rPr>
        <w:t xml:space="preserve">. </w:t>
      </w:r>
      <w:r>
        <w:rPr>
          <w:rStyle w:val="bold"/>
        </w:rPr>
        <w:t>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>ależności od wykonywaniej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dodatkowe pliki assembly, w których będa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pomocniczna, która przechowuje </w:t>
      </w:r>
      <w:r w:rsidRPr="00F900B0">
        <w:rPr>
          <w:rStyle w:val="bold"/>
        </w:rPr>
        <w:t xml:space="preserve"> informację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2A6801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45pt;height:112.75pt">
            <v:imagedata r:id="rId27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Klasa składa się z nazwy modułu, oraz pliku assembly. Plik assembly zostaje wykorzystywany do zasilenia serwisu MVC, nazwa ma na celu zabezpieczenie przed zduplikopaniem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2A680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45pt;height:301.1pt">
            <v:imagedata r:id="rId28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 i wdrożenia ich do serwisu MVC</w:t>
      </w:r>
      <w:r w:rsidR="002F1676">
        <w:rPr>
          <w:rStyle w:val="bold"/>
        </w:rPr>
        <w:t xml:space="preserve"> przedstawiony na rys.3.2</w:t>
      </w:r>
      <w:r w:rsidRPr="00F900B0">
        <w:rPr>
          <w:rStyle w:val="bold"/>
        </w:rPr>
        <w:t>: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4" w:name="_Toc470096685"/>
      <w:bookmarkStart w:id="25" w:name="_Toc471077641"/>
      <w:r>
        <w:lastRenderedPageBreak/>
        <w:t>Nawigacja</w:t>
      </w:r>
      <w:bookmarkEnd w:id="24"/>
      <w:bookmarkEnd w:id="25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</w:t>
      </w:r>
      <w:r w:rsidR="000F6CC0">
        <w:rPr>
          <w:rStyle w:val="bold"/>
        </w:rPr>
        <w:t xml:space="preserve"> obsługa nawigacji</w:t>
      </w:r>
      <w:r w:rsidR="00EC51A7">
        <w:rPr>
          <w:rStyle w:val="bold"/>
        </w:rPr>
        <w:t xml:space="preserve"> pomiędzy stronami</w:t>
      </w:r>
      <w:r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Pr="00EC51A7">
        <w:rPr>
          <w:rStyle w:val="bold"/>
          <w:b/>
        </w:rPr>
        <w:t>MapRoute</w:t>
      </w:r>
      <w:r w:rsidRPr="00F900B0">
        <w:rPr>
          <w:rStyle w:val="bold"/>
        </w:rPr>
        <w:t xml:space="preserve"> </w:t>
      </w:r>
      <w:r w:rsidR="00EC51A7">
        <w:rPr>
          <w:rStyle w:val="bold"/>
        </w:rPr>
        <w:t xml:space="preserve">przedstawionym na rysunku 3.4 </w:t>
      </w:r>
    </w:p>
    <w:p w:rsidR="001F3419" w:rsidRPr="00F900B0" w:rsidRDefault="002A6801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7" type="#_x0000_t75" style="width:329.45pt;height:76.35pt">
            <v:imagedata r:id="rId29" o:title="2016-12-19 21_43_10-PersonalTrainer - Microsoft Visual Studio"/>
          </v:shape>
        </w:pict>
      </w:r>
    </w:p>
    <w:p w:rsidR="00B54F9C" w:rsidRDefault="00EC51A7" w:rsidP="00F34EC0">
      <w:pPr>
        <w:spacing w:before="0" w:after="0" w:line="360" w:lineRule="auto"/>
        <w:ind w:left="0" w:right="-2"/>
      </w:pPr>
      <w:r>
        <w:t>Rys.3.4</w:t>
      </w:r>
      <w:r w:rsidR="007325D7"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8A17FC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>wywołujący startowo kontroler Home i akcji 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  <w:r w:rsidR="00B26506">
        <w:rPr>
          <w:rStyle w:val="bold"/>
        </w:rPr>
        <w:t>.</w:t>
      </w:r>
      <w:r w:rsidR="008A17FC">
        <w:rPr>
          <w:rStyle w:val="bold"/>
        </w:rPr>
        <w:t xml:space="preserve"> 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Nawigacja w poszukiwaniu widoków została skonfigurowana </w:t>
      </w:r>
      <w:r w:rsidR="008A17FC">
        <w:rPr>
          <w:rStyle w:val="bold"/>
        </w:rPr>
        <w:t xml:space="preserve">po przez implementację klasy ModulesViewLocationExpander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8A17FC">
        <w:rPr>
          <w:rStyle w:val="bold"/>
        </w:rPr>
        <w:t xml:space="preserve">i przekazana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3.5</w:t>
      </w:r>
      <w:r w:rsidR="008A17FC">
        <w:rPr>
          <w:rStyle w:val="bold"/>
        </w:rPr>
        <w:t xml:space="preserve"> w konfiguracji aplikacji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2A6801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8" type="#_x0000_t75" style="width:6in;height:56.75pt">
            <v:imagedata r:id="rId30" o:title="2016-12-19 21_43_54-PersonalTrainer - Microsoft Visual Studio"/>
          </v:shape>
        </w:pict>
      </w:r>
    </w:p>
    <w:p w:rsidR="008A17FC" w:rsidRDefault="008A17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Rys.3.5 Konfiguracja wyszukiwania dodatkowych widoków.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bookmarkStart w:id="26" w:name="_GoBack"/>
      <w:bookmarkEnd w:id="26"/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2A6801" w:rsidP="00F34EC0">
      <w:pPr>
        <w:spacing w:line="360" w:lineRule="auto"/>
        <w:ind w:left="0" w:right="-2"/>
      </w:pPr>
      <w:r>
        <w:pict>
          <v:shape id="_x0000_i1029" type="#_x0000_t75" style="width:426.2pt;height:194.9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Heading2"/>
      </w:pPr>
      <w:bookmarkStart w:id="27" w:name="_Toc470096686"/>
      <w:bookmarkStart w:id="28" w:name="_Toc471077642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6C72F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7728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51656704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29" w:name="_Toc470096687"/>
      <w:bookmarkStart w:id="30" w:name="_Toc471077643"/>
      <w:r>
        <w:lastRenderedPageBreak/>
        <w:t>Szyfrowanie danych</w:t>
      </w:r>
      <w:bookmarkEnd w:id="29"/>
      <w:bookmarkEnd w:id="30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2A6801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030" type="#_x0000_t75" style="width:430.55pt;height:181.1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6717F6" w:rsidRDefault="002A6801" w:rsidP="00F34EC0">
      <w:pPr>
        <w:pStyle w:val="ListParagraph"/>
        <w:spacing w:line="360" w:lineRule="auto"/>
        <w:ind w:left="0" w:right="-2"/>
      </w:pPr>
      <w:r>
        <w:pict>
          <v:shape id="_x0000_i1031" type="#_x0000_t75" style="width:426.2pt;height:196.3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E873F7" w:rsidRDefault="00E873F7" w:rsidP="00E873F7">
      <w:pPr>
        <w:pStyle w:val="NoSpacing"/>
        <w:rPr>
          <w:rFonts w:eastAsia="Microsoft YaHei" w:cs="Mangal"/>
          <w:b w:val="0"/>
          <w:color w:val="5B9BD5" w:themeColor="accent1"/>
          <w:sz w:val="32"/>
          <w:szCs w:val="28"/>
        </w:rPr>
      </w:pPr>
      <w:bookmarkStart w:id="31" w:name="_Toc471077644"/>
      <w:bookmarkStart w:id="32" w:name="_Toc470096688"/>
      <w:r w:rsidRPr="00E873F7">
        <w:rPr>
          <w:rStyle w:val="ListLabel1"/>
        </w:rPr>
        <w:lastRenderedPageBreak/>
        <w:t>Podsumowanie</w:t>
      </w:r>
      <w:bookmarkEnd w:id="31"/>
      <w:r>
        <w:br w:type="page"/>
      </w:r>
    </w:p>
    <w:p w:rsidR="00F40FAD" w:rsidRPr="00E873F7" w:rsidRDefault="003456CD" w:rsidP="00E873F7">
      <w:pPr>
        <w:pStyle w:val="NoSpacing"/>
        <w:rPr>
          <w:rStyle w:val="ListLabel1"/>
          <w:webHidden/>
        </w:rPr>
      </w:pPr>
      <w:bookmarkStart w:id="33" w:name="_Toc471077645"/>
      <w:r w:rsidRPr="00E873F7">
        <w:rPr>
          <w:rStyle w:val="ListLabel1"/>
        </w:rPr>
        <w:lastRenderedPageBreak/>
        <w:t>Literatura</w:t>
      </w:r>
      <w:bookmarkEnd w:id="32"/>
      <w:bookmarkEnd w:id="33"/>
    </w:p>
    <w:p w:rsidR="001F3419" w:rsidRPr="00264F4B" w:rsidRDefault="003456CD" w:rsidP="00264F4B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6C72F9" w:rsidP="00F34EC0">
      <w:pPr>
        <w:tabs>
          <w:tab w:val="left" w:pos="1470"/>
        </w:tabs>
        <w:spacing w:line="360" w:lineRule="auto"/>
        <w:ind w:left="0" w:right="-2"/>
      </w:pPr>
      <w:hyperlink r:id="rId38" w:history="1">
        <w:r w:rsidR="009B0E5B" w:rsidRPr="000562BF">
          <w:rPr>
            <w:rStyle w:val="Hyperlink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BBD" w:rsidRDefault="00F72BBD" w:rsidP="00A42A71">
      <w:pPr>
        <w:spacing w:before="0" w:after="0" w:line="240" w:lineRule="auto"/>
      </w:pPr>
      <w:r>
        <w:separator/>
      </w:r>
    </w:p>
  </w:endnote>
  <w:endnote w:type="continuationSeparator" w:id="0">
    <w:p w:rsidR="00F72BBD" w:rsidRDefault="00F72BBD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2F9" w:rsidRDefault="006C7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6C72F9" w:rsidRDefault="006C72F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2F9" w:rsidRDefault="006C7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7FC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6C72F9" w:rsidRDefault="006C72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2F9" w:rsidRDefault="006C7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6C72F9" w:rsidRDefault="006C72F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2F9" w:rsidRDefault="006C72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7FC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6C72F9" w:rsidRDefault="006C72F9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BBD" w:rsidRDefault="00F72BBD" w:rsidP="00A42A71">
      <w:pPr>
        <w:spacing w:before="0" w:after="0" w:line="240" w:lineRule="auto"/>
      </w:pPr>
      <w:r>
        <w:separator/>
      </w:r>
    </w:p>
  </w:footnote>
  <w:footnote w:type="continuationSeparator" w:id="0">
    <w:p w:rsidR="00F72BBD" w:rsidRDefault="00F72BBD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2F9" w:rsidRDefault="006C7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36937E0"/>
    <w:multiLevelType w:val="multilevel"/>
    <w:tmpl w:val="EE9EDAAA"/>
    <w:numStyleLink w:val="Styldlarozdziaw"/>
  </w:abstractNum>
  <w:abstractNum w:abstractNumId="5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7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2"/>
  </w:num>
  <w:num w:numId="5">
    <w:abstractNumId w:val="0"/>
  </w:num>
  <w:num w:numId="6">
    <w:abstractNumId w:val="19"/>
  </w:num>
  <w:num w:numId="7">
    <w:abstractNumId w:val="23"/>
  </w:num>
  <w:num w:numId="8">
    <w:abstractNumId w:val="3"/>
  </w:num>
  <w:num w:numId="9">
    <w:abstractNumId w:val="18"/>
  </w:num>
  <w:num w:numId="10">
    <w:abstractNumId w:val="10"/>
  </w:num>
  <w:num w:numId="11">
    <w:abstractNumId w:val="16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5"/>
  </w:num>
  <w:num w:numId="17">
    <w:abstractNumId w:val="21"/>
  </w:num>
  <w:num w:numId="18">
    <w:abstractNumId w:val="20"/>
  </w:num>
  <w:num w:numId="19">
    <w:abstractNumId w:val="17"/>
  </w:num>
  <w:num w:numId="20">
    <w:abstractNumId w:val="24"/>
  </w:num>
  <w:num w:numId="21">
    <w:abstractNumId w:val="13"/>
  </w:num>
  <w:num w:numId="22">
    <w:abstractNumId w:val="1"/>
  </w:num>
  <w:num w:numId="23">
    <w:abstractNumId w:val="4"/>
  </w:num>
  <w:num w:numId="24">
    <w:abstractNumId w:val="6"/>
  </w:num>
  <w:num w:numId="25">
    <w:abstractNumId w:val="14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73E33"/>
    <w:rsid w:val="00080C9B"/>
    <w:rsid w:val="000876D2"/>
    <w:rsid w:val="0009742C"/>
    <w:rsid w:val="000E3149"/>
    <w:rsid w:val="000F6CC0"/>
    <w:rsid w:val="00107F30"/>
    <w:rsid w:val="001178D4"/>
    <w:rsid w:val="00124FC8"/>
    <w:rsid w:val="0015304A"/>
    <w:rsid w:val="00154DC2"/>
    <w:rsid w:val="00160444"/>
    <w:rsid w:val="00161C78"/>
    <w:rsid w:val="001A5171"/>
    <w:rsid w:val="001A72D8"/>
    <w:rsid w:val="001B545D"/>
    <w:rsid w:val="001F3419"/>
    <w:rsid w:val="00204579"/>
    <w:rsid w:val="00213783"/>
    <w:rsid w:val="002413C7"/>
    <w:rsid w:val="00261C67"/>
    <w:rsid w:val="00264F4B"/>
    <w:rsid w:val="00265AEA"/>
    <w:rsid w:val="002A6801"/>
    <w:rsid w:val="002A684F"/>
    <w:rsid w:val="002A7D97"/>
    <w:rsid w:val="002B3BD8"/>
    <w:rsid w:val="002E6511"/>
    <w:rsid w:val="002F1676"/>
    <w:rsid w:val="0030598B"/>
    <w:rsid w:val="003077EF"/>
    <w:rsid w:val="0032381A"/>
    <w:rsid w:val="003244F6"/>
    <w:rsid w:val="00330F57"/>
    <w:rsid w:val="003456CD"/>
    <w:rsid w:val="00385D15"/>
    <w:rsid w:val="003868B5"/>
    <w:rsid w:val="00393C59"/>
    <w:rsid w:val="003A2E91"/>
    <w:rsid w:val="003A3096"/>
    <w:rsid w:val="003A5981"/>
    <w:rsid w:val="003A6887"/>
    <w:rsid w:val="003A710B"/>
    <w:rsid w:val="003C094C"/>
    <w:rsid w:val="003C5789"/>
    <w:rsid w:val="003C7886"/>
    <w:rsid w:val="003E40C8"/>
    <w:rsid w:val="00414FF8"/>
    <w:rsid w:val="004303C0"/>
    <w:rsid w:val="004373C1"/>
    <w:rsid w:val="00451372"/>
    <w:rsid w:val="00463009"/>
    <w:rsid w:val="00463EC2"/>
    <w:rsid w:val="00484010"/>
    <w:rsid w:val="0049181A"/>
    <w:rsid w:val="004B360A"/>
    <w:rsid w:val="004D465C"/>
    <w:rsid w:val="004F406F"/>
    <w:rsid w:val="00523CE9"/>
    <w:rsid w:val="0052550E"/>
    <w:rsid w:val="00540748"/>
    <w:rsid w:val="00544610"/>
    <w:rsid w:val="005650CE"/>
    <w:rsid w:val="0056741D"/>
    <w:rsid w:val="00594AE1"/>
    <w:rsid w:val="005A12FF"/>
    <w:rsid w:val="005C029C"/>
    <w:rsid w:val="005E66EC"/>
    <w:rsid w:val="005E67A6"/>
    <w:rsid w:val="00631D1A"/>
    <w:rsid w:val="00642627"/>
    <w:rsid w:val="00643869"/>
    <w:rsid w:val="0064726D"/>
    <w:rsid w:val="006610D0"/>
    <w:rsid w:val="006717F6"/>
    <w:rsid w:val="00673C01"/>
    <w:rsid w:val="006A4E47"/>
    <w:rsid w:val="006B6A33"/>
    <w:rsid w:val="006C72F9"/>
    <w:rsid w:val="006D0654"/>
    <w:rsid w:val="006D6A0A"/>
    <w:rsid w:val="006E5626"/>
    <w:rsid w:val="006E7148"/>
    <w:rsid w:val="006F151C"/>
    <w:rsid w:val="006F3E09"/>
    <w:rsid w:val="00710ACC"/>
    <w:rsid w:val="007325D7"/>
    <w:rsid w:val="00742EF4"/>
    <w:rsid w:val="00767CFD"/>
    <w:rsid w:val="007A51DF"/>
    <w:rsid w:val="007B342A"/>
    <w:rsid w:val="007B3E13"/>
    <w:rsid w:val="007F4D2C"/>
    <w:rsid w:val="007F70A3"/>
    <w:rsid w:val="007F77EA"/>
    <w:rsid w:val="008030C9"/>
    <w:rsid w:val="00846292"/>
    <w:rsid w:val="0087565C"/>
    <w:rsid w:val="008815C5"/>
    <w:rsid w:val="008949E7"/>
    <w:rsid w:val="0089782C"/>
    <w:rsid w:val="008A03EB"/>
    <w:rsid w:val="008A17FC"/>
    <w:rsid w:val="008A6D03"/>
    <w:rsid w:val="008A7CEB"/>
    <w:rsid w:val="008C3B49"/>
    <w:rsid w:val="008D42E9"/>
    <w:rsid w:val="008F5B53"/>
    <w:rsid w:val="00910AFC"/>
    <w:rsid w:val="00943CFB"/>
    <w:rsid w:val="00962B7F"/>
    <w:rsid w:val="009632ED"/>
    <w:rsid w:val="009A0824"/>
    <w:rsid w:val="009B0E5B"/>
    <w:rsid w:val="009B4E6B"/>
    <w:rsid w:val="009F75C2"/>
    <w:rsid w:val="00A142F6"/>
    <w:rsid w:val="00A42A71"/>
    <w:rsid w:val="00A83AD2"/>
    <w:rsid w:val="00AB0335"/>
    <w:rsid w:val="00AE30BC"/>
    <w:rsid w:val="00AE50A5"/>
    <w:rsid w:val="00AE6FD6"/>
    <w:rsid w:val="00B26506"/>
    <w:rsid w:val="00B27CD8"/>
    <w:rsid w:val="00B54F9C"/>
    <w:rsid w:val="00B64A31"/>
    <w:rsid w:val="00B8148D"/>
    <w:rsid w:val="00B93832"/>
    <w:rsid w:val="00B975DB"/>
    <w:rsid w:val="00BB1810"/>
    <w:rsid w:val="00BB2EB1"/>
    <w:rsid w:val="00BB38C2"/>
    <w:rsid w:val="00BB5C75"/>
    <w:rsid w:val="00BE2C74"/>
    <w:rsid w:val="00C7047A"/>
    <w:rsid w:val="00C74AEF"/>
    <w:rsid w:val="00C750CA"/>
    <w:rsid w:val="00C90BB3"/>
    <w:rsid w:val="00C90F73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3264"/>
    <w:rsid w:val="00D257CC"/>
    <w:rsid w:val="00D80AA0"/>
    <w:rsid w:val="00D84887"/>
    <w:rsid w:val="00DA31D1"/>
    <w:rsid w:val="00DD0E52"/>
    <w:rsid w:val="00DF4BAF"/>
    <w:rsid w:val="00E26728"/>
    <w:rsid w:val="00E5099A"/>
    <w:rsid w:val="00E50DFE"/>
    <w:rsid w:val="00E56201"/>
    <w:rsid w:val="00E773FC"/>
    <w:rsid w:val="00E84772"/>
    <w:rsid w:val="00E873F7"/>
    <w:rsid w:val="00EA070B"/>
    <w:rsid w:val="00EC51A7"/>
    <w:rsid w:val="00F0207D"/>
    <w:rsid w:val="00F0407B"/>
    <w:rsid w:val="00F06889"/>
    <w:rsid w:val="00F172BC"/>
    <w:rsid w:val="00F26AB9"/>
    <w:rsid w:val="00F34EC0"/>
    <w:rsid w:val="00F36A38"/>
    <w:rsid w:val="00F40FAD"/>
    <w:rsid w:val="00F6749A"/>
    <w:rsid w:val="00F72BBD"/>
    <w:rsid w:val="00F900B0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D4579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B93832"/>
    <w:pPr>
      <w:numPr>
        <w:ilvl w:val="1"/>
        <w:numId w:val="13"/>
      </w:numPr>
      <w:spacing w:after="360"/>
      <w:ind w:left="1068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31D1A"/>
    <w:pPr>
      <w:numPr>
        <w:numId w:val="13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B93832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hyperlink" Target="http://software-engineer-training.com/git-vs-svn-which-is-bet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BDE0-01D3-4FAA-AF52-0A1453D0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28</Pages>
  <Words>4182</Words>
  <Characters>25096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271</cp:revision>
  <dcterms:created xsi:type="dcterms:W3CDTF">2016-11-11T09:14:00Z</dcterms:created>
  <dcterms:modified xsi:type="dcterms:W3CDTF">2017-01-02T02:02:00Z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