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870E93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70E93">
        <w:rPr>
          <w:noProof/>
        </w:rPr>
        <w:t>Słownik pojęć</w:t>
      </w:r>
      <w:r w:rsidR="00870E93">
        <w:rPr>
          <w:noProof/>
        </w:rPr>
        <w:tab/>
      </w:r>
      <w:r w:rsidR="00870E93">
        <w:rPr>
          <w:noProof/>
        </w:rPr>
        <w:fldChar w:fldCharType="begin"/>
      </w:r>
      <w:r w:rsidR="00870E93">
        <w:rPr>
          <w:noProof/>
        </w:rPr>
        <w:instrText xml:space="preserve"> PAGEREF _Toc471384582 \h </w:instrText>
      </w:r>
      <w:r w:rsidR="00870E93">
        <w:rPr>
          <w:noProof/>
        </w:rPr>
      </w:r>
      <w:r w:rsidR="00870E93">
        <w:rPr>
          <w:noProof/>
        </w:rPr>
        <w:fldChar w:fldCharType="separate"/>
      </w:r>
      <w:r w:rsidR="00870E93">
        <w:rPr>
          <w:noProof/>
        </w:rPr>
        <w:t>- 3 -</w:t>
      </w:r>
      <w:r w:rsidR="00870E93">
        <w:rPr>
          <w:noProof/>
        </w:rPr>
        <w:fldChar w:fldCharType="end"/>
      </w:r>
    </w:p>
    <w:p w:rsidR="00870E93" w:rsidRDefault="00870E93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870E93" w:rsidRDefault="00870E9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870E93" w:rsidRDefault="00870E9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2.1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ASP.NET.Core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_Toc471384591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2.2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Visual Studio 2015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_Toc471384592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2.3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Entity framework Core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_Toc471384593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2.4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GitHub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_Toc471384594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70E93" w:rsidRP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70E93">
        <w:rPr>
          <w:noProof/>
          <w:lang w:val="en-US"/>
        </w:rPr>
        <w:t>2.5</w:t>
      </w:r>
      <w:r w:rsidRPr="00870E93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70E93">
        <w:rPr>
          <w:noProof/>
          <w:lang w:val="en-US"/>
        </w:rPr>
        <w:t>SourceTree</w:t>
      </w:r>
      <w:r w:rsidRPr="00870E93">
        <w:rPr>
          <w:noProof/>
          <w:lang w:val="en-US"/>
        </w:rPr>
        <w:tab/>
      </w:r>
      <w:r>
        <w:rPr>
          <w:noProof/>
        </w:rPr>
        <w:fldChar w:fldCharType="begin"/>
      </w:r>
      <w:r w:rsidRPr="00870E93">
        <w:rPr>
          <w:noProof/>
          <w:lang w:val="en-US"/>
        </w:rPr>
        <w:instrText xml:space="preserve"> PAGEREF _Toc471384595 \h </w:instrText>
      </w:r>
      <w:r>
        <w:rPr>
          <w:noProof/>
        </w:rPr>
      </w:r>
      <w:r>
        <w:rPr>
          <w:noProof/>
        </w:rPr>
        <w:fldChar w:fldCharType="separate"/>
      </w:r>
      <w:r w:rsidRPr="00870E93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870E93" w:rsidRDefault="00870E93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870E93" w:rsidRDefault="00870E93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870E93" w:rsidRDefault="00870E93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870E93" w:rsidRDefault="00870E93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_Toc471384603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384582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384583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rozpiski 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656C8A" w:rsidRDefault="00154DC2" w:rsidP="00656C8A">
      <w:pPr>
        <w:pStyle w:val="Caption"/>
      </w:pPr>
      <w:bookmarkStart w:id="3" w:name="_Toc471384584"/>
      <w:r w:rsidRPr="00656C8A">
        <w:lastRenderedPageBreak/>
        <w:t>Temat1</w:t>
      </w:r>
      <w:bookmarkEnd w:id="3"/>
    </w:p>
    <w:p w:rsidR="00DE406E" w:rsidRDefault="0063069A" w:rsidP="00570545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02C00" w:rsidRPr="00570545">
        <w:rPr>
          <w:rStyle w:val="bold"/>
        </w:rPr>
        <w:t xml:space="preserve">W tym </w:t>
      </w:r>
      <w:r w:rsidR="00485861" w:rsidRPr="00570545">
        <w:rPr>
          <w:rStyle w:val="bold"/>
        </w:rPr>
        <w:t>rozdziale zostaną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poruszone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tematy</w:t>
      </w:r>
      <w:r w:rsidR="00802C00" w:rsidRPr="00570545">
        <w:rPr>
          <w:rStyle w:val="bold"/>
        </w:rPr>
        <w:t xml:space="preserve"> dotyczące </w:t>
      </w:r>
      <w:r w:rsidR="00485861" w:rsidRPr="00570545">
        <w:rPr>
          <w:rStyle w:val="bold"/>
        </w:rPr>
        <w:t>k</w:t>
      </w:r>
      <w:r w:rsidR="00485861">
        <w:rPr>
          <w:rStyle w:val="bold"/>
        </w:rPr>
        <w:t>alorii</w:t>
      </w:r>
      <w:r w:rsidR="00DE406E">
        <w:rPr>
          <w:rStyle w:val="bold"/>
        </w:rPr>
        <w:t xml:space="preserve"> i makroskładników jak i sama przyczyna nagłego zainteresowania dietą przez </w:t>
      </w:r>
      <w:r w:rsidR="00485861">
        <w:rPr>
          <w:rStyle w:val="bold"/>
        </w:rPr>
        <w:t>społeczeństwo</w:t>
      </w:r>
      <w:r w:rsidR="00DE406E">
        <w:rPr>
          <w:rStyle w:val="bold"/>
        </w:rPr>
        <w:t xml:space="preserve"> w Polsce jak i </w:t>
      </w:r>
      <w:r w:rsidR="00B9483E">
        <w:rPr>
          <w:rStyle w:val="bold"/>
        </w:rPr>
        <w:t>na całym świecie. Zostaną przed</w:t>
      </w:r>
      <w:r w:rsidR="00DE406E">
        <w:rPr>
          <w:rStyle w:val="bold"/>
        </w:rPr>
        <w:t>s</w:t>
      </w:r>
      <w:r w:rsidR="00B9483E">
        <w:rPr>
          <w:rStyle w:val="bold"/>
        </w:rPr>
        <w:t>tawione</w:t>
      </w:r>
      <w:r w:rsidR="00DE406E">
        <w:rPr>
          <w:rStyle w:val="bold"/>
        </w:rPr>
        <w:t xml:space="preserve"> podstawowe metody wyliczania zapotrzebowania kalorycznego, a także podział makroskładników w diecie. Na koniec rozdziału </w:t>
      </w:r>
      <w:r w:rsidR="00CB5CE4">
        <w:rPr>
          <w:rStyle w:val="bold"/>
        </w:rPr>
        <w:t>omówiona</w:t>
      </w:r>
      <w:r w:rsidR="00DE406E">
        <w:rPr>
          <w:rStyle w:val="bold"/>
        </w:rPr>
        <w:t xml:space="preserve"> zostanie</w:t>
      </w:r>
      <w:r w:rsidR="00CB5CE4">
        <w:rPr>
          <w:rStyle w:val="bold"/>
        </w:rPr>
        <w:t xml:space="preserve"> słynna typologia Sheldona, która pozwala w przybliżonym stopniu uwzględnić budowę oraz genetykę ciała człowieka wykorzystywaną w wyliczaniu kalorii i makroskładników.</w:t>
      </w:r>
    </w:p>
    <w:p w:rsidR="00DE406E" w:rsidRDefault="00DE406E" w:rsidP="00F34EC0">
      <w:pPr>
        <w:ind w:left="0" w:right="-2"/>
        <w:jc w:val="both"/>
      </w:pPr>
    </w:p>
    <w:p w:rsidR="001F3419" w:rsidRDefault="00777214" w:rsidP="00777214">
      <w:pPr>
        <w:pStyle w:val="Heading2"/>
      </w:pPr>
      <w:bookmarkStart w:id="4" w:name="_Toc471384585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>eprowadzone na przełomie 10 lat prezentują się następująco.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lastRenderedPageBreak/>
        <w:t>W tabeli 1.0 z badań przeprowadzonych w latach 2006</w:t>
      </w:r>
      <w:r w:rsidR="007C7B79" w:rsidRPr="0047452F">
        <w:rPr>
          <w:rStyle w:val="bold"/>
        </w:rPr>
        <w:t xml:space="preserve"> i 2007, w wojewód</w:t>
      </w:r>
      <w:r w:rsidR="004E1139" w:rsidRPr="0047452F">
        <w:rPr>
          <w:rStyle w:val="bold"/>
        </w:rPr>
        <w:t>ztwie świętokrzyskim jako jedyn</w:t>
      </w:r>
      <w:r w:rsidR="007C7B79" w:rsidRPr="0047452F">
        <w:rPr>
          <w:rStyle w:val="bold"/>
        </w:rPr>
        <w:t>ym</w:t>
      </w:r>
      <w:r w:rsidR="004E1139" w:rsidRPr="0047452F">
        <w:rPr>
          <w:rStyle w:val="bold"/>
        </w:rPr>
        <w:t>,</w:t>
      </w:r>
      <w:r w:rsidR="007C7B79" w:rsidRPr="0047452F">
        <w:rPr>
          <w:rStyle w:val="bold"/>
        </w:rPr>
        <w:t xml:space="preserve"> </w:t>
      </w:r>
      <w:r w:rsidR="00385823">
        <w:rPr>
          <w:rStyle w:val="bold"/>
        </w:rPr>
        <w:t>prawidłowa waga przekraczała 50</w:t>
      </w:r>
      <w:r w:rsidR="007C7B79" w:rsidRPr="0047452F">
        <w:rPr>
          <w:rStyle w:val="bold"/>
        </w:rPr>
        <w:t>%.</w:t>
      </w:r>
      <w:r w:rsidR="004E1139" w:rsidRPr="0047452F">
        <w:rPr>
          <w:rStyle w:val="bold"/>
        </w:rPr>
        <w:t xml:space="preserve"> 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oraz ponad 10 % na otył</w:t>
      </w:r>
      <w:r w:rsidR="00385823">
        <w:rPr>
          <w:rStyle w:val="bold"/>
        </w:rPr>
        <w:t>ość. Niedowaga w Polsce oscylowała</w:t>
      </w:r>
      <w:r w:rsidR="004E1139" w:rsidRPr="0047452F">
        <w:rPr>
          <w:rStyle w:val="bold"/>
        </w:rPr>
        <w:t xml:space="preserve"> w granicy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47452F" w:rsidRDefault="0047452F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153F32">
        <w:rPr>
          <w:rStyle w:val="bold"/>
        </w:rPr>
        <w:t xml:space="preserve">Porównując tabelę 1.0 oraz 1.1 i 1.2 można zaobserwować znaczy przyrost otyłości </w:t>
      </w:r>
      <w:r w:rsidR="00D9526D" w:rsidRPr="00153F32">
        <w:rPr>
          <w:rStyle w:val="bold"/>
        </w:rPr>
        <w:t>i nadwagi,</w:t>
      </w:r>
      <w:r w:rsidR="00AB0335" w:rsidRPr="00153F32">
        <w:rPr>
          <w:rStyle w:val="bold"/>
        </w:rPr>
        <w:t xml:space="preserve"> która wzrosła o około 4%. Niedowaga zmalała</w:t>
      </w:r>
      <w:r w:rsidRPr="00153F32">
        <w:rPr>
          <w:rStyle w:val="bold"/>
        </w:rPr>
        <w:t xml:space="preserve"> o około 1,2 %. </w:t>
      </w:r>
      <w:r w:rsidR="003456CD" w:rsidRPr="00153F32">
        <w:rPr>
          <w:rStyle w:val="bold"/>
        </w:rPr>
        <w:t>Jest to niekorzystne zjawisko występujące w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 xml:space="preserve">Najgorzej pod tym względem sytuacja przedstawia się w krajach najbardziej rozwiniętych. Liderem w rankingu ilości otyłych osób w kraju są Stany </w:t>
      </w:r>
      <w:r w:rsidR="0060776D" w:rsidRPr="00153F32">
        <w:rPr>
          <w:rStyle w:val="bold"/>
        </w:rPr>
        <w:t>Zjednoczone,</w:t>
      </w:r>
      <w:r w:rsidR="003456CD" w:rsidRPr="00153F32">
        <w:rPr>
          <w:rStyle w:val="bold"/>
        </w:rPr>
        <w:t xml:space="preserve"> gdzie aż 1/3 społeczeństwa ma problemy z nadwagą. Przyczyną tego zjawiska jest udoskonalenie świata, skutkuje to brakiem aktywności fizycznej w społeczeństwie</w:t>
      </w:r>
      <w:bookmarkStart w:id="5" w:name="_Toc466799712"/>
      <w:r w:rsidR="00550268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6" w:name="_Toc471384586"/>
      <w:bookmarkEnd w:id="5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1384587"/>
      <w:r>
        <w:lastRenderedPageBreak/>
        <w:t>Zapotrzebowanie kaloryczne.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530A9D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</m:oMath>
      </m:oMathPara>
    </w:p>
    <w:p w:rsidR="00530A9D" w:rsidRPr="000D7DF8" w:rsidRDefault="00530A9D" w:rsidP="00530A9D">
      <w:pPr>
        <w:spacing w:before="0" w:after="0" w:line="240" w:lineRule="auto"/>
        <w:ind w:left="0" w:right="-2"/>
        <w:jc w:val="center"/>
        <w:rPr>
          <w:rStyle w:val="bold"/>
          <w:sz w:val="20"/>
          <w:szCs w:val="20"/>
        </w:rPr>
      </w:pPr>
      <w:r w:rsidRPr="000D7DF8">
        <w:rPr>
          <w:sz w:val="20"/>
          <w:szCs w:val="20"/>
        </w:rPr>
        <w:t>Wzór 1.0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1.0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 xml:space="preserve">1,4 – praca </w:t>
      </w:r>
      <w:r w:rsidR="00DB7709" w:rsidRPr="00F900B0">
        <w:rPr>
          <w:rStyle w:val="bold"/>
        </w:rPr>
        <w:t>nie fizyczna</w:t>
      </w:r>
      <w:r w:rsidRPr="00F900B0">
        <w:rPr>
          <w:rStyle w:val="bold"/>
        </w:rPr>
        <w:t>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0D7DF8" w:rsidRDefault="00530A9D" w:rsidP="004C0EFB">
      <w:pPr>
        <w:spacing w:before="0" w:after="0" w:line="240" w:lineRule="auto"/>
        <w:ind w:left="0" w:right="-2"/>
        <w:jc w:val="center"/>
        <w:rPr>
          <w:rStyle w:val="bold"/>
          <w:sz w:val="20"/>
          <w:szCs w:val="20"/>
        </w:rPr>
      </w:pPr>
      <w:r w:rsidRPr="000D7DF8">
        <w:rPr>
          <w:sz w:val="20"/>
          <w:szCs w:val="20"/>
        </w:rPr>
        <w:t>Wzór 1.1</w:t>
      </w:r>
    </w:p>
    <w:p w:rsidR="000D7DF8" w:rsidRDefault="003456CD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BMR </w:t>
      </w:r>
      <w:r w:rsidR="005C69A1">
        <w:rPr>
          <w:rStyle w:val="bold"/>
        </w:rPr>
        <w:t>w zależności od płci, dla kobiet przedstawione wzorem 1.2 i dla mężczyzn wzorem 1.3</w:t>
      </w:r>
      <w:r w:rsidR="000260C2">
        <w:rPr>
          <w:rStyle w:val="bold"/>
        </w:rPr>
        <w:t>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</m:oMath>
      </m:oMathPara>
    </w:p>
    <w:p w:rsidR="000D7DF8" w:rsidRPr="000D7DF8" w:rsidRDefault="000D7DF8" w:rsidP="005C69A1">
      <w:pPr>
        <w:spacing w:before="0" w:after="0" w:line="240" w:lineRule="auto"/>
        <w:ind w:left="0" w:right="-2"/>
        <w:jc w:val="center"/>
        <w:rPr>
          <w:rStyle w:val="bold"/>
          <w:rFonts w:cs="Times New Roman"/>
          <w:sz w:val="20"/>
          <w:szCs w:val="20"/>
        </w:rPr>
      </w:pPr>
      <w:r w:rsidRPr="000D7DF8">
        <w:rPr>
          <w:rStyle w:val="bold"/>
          <w:rFonts w:cs="Times New Roman"/>
          <w:sz w:val="20"/>
          <w:szCs w:val="20"/>
        </w:rPr>
        <w:t>Wzór 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0D7DF8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cs="Times New Roman"/>
          <w:sz w:val="20"/>
          <w:szCs w:val="20"/>
        </w:rPr>
      </w:pPr>
      <w:r w:rsidRPr="000D7DF8">
        <w:rPr>
          <w:rStyle w:val="bold"/>
          <w:rFonts w:cs="Times New Roman"/>
          <w:sz w:val="20"/>
          <w:szCs w:val="20"/>
        </w:rPr>
        <w:t>Wzór 1.3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T</w:t>
      </w:r>
      <w:r w:rsidR="000260C2">
        <w:rPr>
          <w:rStyle w:val="bold"/>
        </w:rPr>
        <w:t>EA - w</w:t>
      </w:r>
      <w:r w:rsidRPr="00F900B0">
        <w:rPr>
          <w:rStyle w:val="bold"/>
        </w:rPr>
        <w:t xml:space="preserve"> </w:t>
      </w:r>
      <w:r w:rsidR="000260C2">
        <w:rPr>
          <w:rStyle w:val="bold"/>
        </w:rPr>
        <w:t>zależności od rodzaju treningu. Dla treningu siłowego dodawane jest od 7-9 kcal na minutę w zależności od intensywności i dla aerobowego od 5-10 kcal.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</w:t>
      </w:r>
      <w:r w:rsidR="000260C2">
        <w:rPr>
          <w:rStyle w:val="bold"/>
        </w:rPr>
        <w:t xml:space="preserve">EAT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 dla ektomorfika od 700 do 900kcal, dla mezomorfika od 400 do 500 kcal i dla endomorfika od 200 do 400 kcal.</w:t>
      </w:r>
    </w:p>
    <w:p w:rsidR="00FD324B" w:rsidRDefault="00852DAA" w:rsidP="00451372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TEF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>pozyskiwany po przez przemnożenie całkowitego wyniku (TDEE) od 6 do 10 %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9" w:name="_Toc470096682"/>
      <w:bookmarkStart w:id="10" w:name="_Toc471384588"/>
      <w:r>
        <w:lastRenderedPageBreak/>
        <w:t>Postrzeganie Kalorii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Badania prof. Charlesa Libera wykonane w latach 80 za pomocą 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8149AC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 xml:space="preserve">badania na grupie 50 </w:t>
      </w:r>
      <w:r w:rsidR="008149AC" w:rsidRPr="00F900B0">
        <w:rPr>
          <w:rStyle w:val="bold"/>
        </w:rPr>
        <w:t>latków,</w:t>
      </w:r>
      <w:r w:rsidRPr="00F900B0">
        <w:rPr>
          <w:rStyle w:val="bold"/>
        </w:rPr>
        <w:t xml:space="preserve"> którzy spożywali tą samą pule kalorii, różniącą się od siebie składem makroskładników. Różnica wynikała między rozkładem węglowodanów a tłuszczów.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kaloria to kaloria.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 ciężkie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1384589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3" w:name="__DdeLink__2121_61814216"/>
      <w:bookmarkEnd w:id="13"/>
      <w:r w:rsidR="00B27CD8">
        <w:rPr>
          <w:rStyle w:val="bold"/>
        </w:rPr>
        <w:t>, s</w:t>
      </w:r>
      <w:r w:rsidRPr="00F900B0">
        <w:rPr>
          <w:rStyle w:val="bold"/>
        </w:rPr>
        <w:t xml:space="preserve">tworzył </w:t>
      </w:r>
      <w:r w:rsidR="008149AC" w:rsidRPr="00F900B0">
        <w:rPr>
          <w:rStyle w:val="bold"/>
        </w:rPr>
        <w:t>topologię,</w:t>
      </w:r>
      <w:r w:rsidRPr="00F900B0">
        <w:rPr>
          <w:rStyle w:val="bold"/>
        </w:rPr>
        <w:t xml:space="preserve"> która </w:t>
      </w:r>
      <w:r w:rsidR="008149AC" w:rsidRPr="00F900B0">
        <w:rPr>
          <w:rStyle w:val="bold"/>
        </w:rPr>
        <w:t>zakładała,</w:t>
      </w:r>
      <w:r w:rsidRPr="00F900B0">
        <w:rPr>
          <w:rStyle w:val="bold"/>
        </w:rPr>
        <w:t xml:space="preserve">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z 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1384590"/>
      <w:r w:rsidRPr="00154DC2">
        <w:lastRenderedPageBreak/>
        <w:t>Technologie użyte w projekcie</w:t>
      </w:r>
      <w:bookmarkEnd w:id="14"/>
      <w:bookmarkEnd w:id="15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 xml:space="preserve">Główny założeniem projektu było oparcie się na nowej technologii </w:t>
      </w:r>
      <w:r w:rsidR="00870E93">
        <w:rPr>
          <w:rStyle w:val="bold"/>
        </w:rPr>
        <w:t xml:space="preserve">ASP.NET.Core </w:t>
      </w:r>
      <w:r w:rsidR="00124FC8">
        <w:rPr>
          <w:rStyle w:val="bold"/>
        </w:rPr>
        <w:t>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6" w:name="_Toc471384591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F334D7">
        <w:rPr>
          <w:rStyle w:val="bold"/>
        </w:rPr>
        <w:t>a nowym</w:t>
      </w:r>
      <w:r w:rsidR="004B360A">
        <w:rPr>
          <w:rStyle w:val="bold"/>
        </w:rPr>
        <w:t xml:space="preserve">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>
        <w:rPr>
          <w:rStyle w:val="bold"/>
        </w:rPr>
        <w:t>A</w:t>
      </w:r>
      <w:r w:rsidR="00A3768D">
        <w:rPr>
          <w:rStyle w:val="bold"/>
        </w:rPr>
        <w:t>SP</w:t>
      </w:r>
      <w:r w:rsidR="00F334D7">
        <w:rPr>
          <w:rStyle w:val="bold"/>
        </w:rPr>
        <w:t>.N</w:t>
      </w:r>
      <w:r w:rsidR="00A3768D">
        <w:rPr>
          <w:rStyle w:val="bold"/>
        </w:rPr>
        <w:t>ET</w:t>
      </w:r>
      <w:r w:rsidR="00F334D7">
        <w:rPr>
          <w:rStyle w:val="bold"/>
        </w:rPr>
        <w:t xml:space="preserve">.Core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</w:t>
      </w:r>
      <w:r w:rsidR="00933C89">
        <w:rPr>
          <w:rStyle w:val="bold"/>
        </w:rPr>
        <w:t>Windowsa,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B360A">
        <w:rPr>
          <w:rStyle w:val="bold"/>
        </w:rPr>
        <w:t xml:space="preserve">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7" w:name="_Toc471384592"/>
      <w:r w:rsidRPr="00CD6659">
        <w:lastRenderedPageBreak/>
        <w:t xml:space="preserve">Visual </w:t>
      </w:r>
      <w:r w:rsidR="00D34F13">
        <w:t>S</w:t>
      </w:r>
      <w:r w:rsidRPr="00CD6659">
        <w:t>tudio 2015</w:t>
      </w:r>
      <w:bookmarkEnd w:id="17"/>
      <w:r w:rsidRPr="00CD6659">
        <w:t xml:space="preserve"> </w:t>
      </w:r>
    </w:p>
    <w:p w:rsidR="00484010" w:rsidRDefault="00870E93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</w:t>
      </w:r>
      <w:r w:rsidR="00D34F13">
        <w:rPr>
          <w:rStyle w:val="bold"/>
        </w:rPr>
        <w:t>V</w:t>
      </w:r>
      <w:r w:rsidR="00463009">
        <w:rPr>
          <w:rStyle w:val="bold"/>
        </w:rPr>
        <w:t xml:space="preserve">isual </w:t>
      </w:r>
      <w:r w:rsidR="00D34F13">
        <w:rPr>
          <w:rStyle w:val="bold"/>
        </w:rPr>
        <w:t>S</w:t>
      </w:r>
      <w:r w:rsidR="00463009">
        <w:rPr>
          <w:rStyle w:val="bold"/>
        </w:rPr>
        <w:t xml:space="preserve">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 xml:space="preserve">u na żywo wraz z podpowiedziami, jest odpowiednikiem resharpera, który jest płatną wtyczką do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 xml:space="preserve">tudio, jednak zawiera kilka dodatkowych funkcjonalności między innymi analiza kodu w języku </w:t>
      </w:r>
      <w:r w:rsidR="00933B2F">
        <w:rPr>
          <w:rStyle w:val="bold"/>
        </w:rPr>
        <w:t>J</w:t>
      </w:r>
      <w:r>
        <w:rPr>
          <w:rStyle w:val="bold"/>
        </w:rPr>
        <w:t xml:space="preserve">ava </w:t>
      </w:r>
      <w:r w:rsidR="00933B2F">
        <w:rPr>
          <w:rStyle w:val="bold"/>
        </w:rPr>
        <w:t>S</w:t>
      </w:r>
      <w:r>
        <w:rPr>
          <w:rStyle w:val="bold"/>
        </w:rPr>
        <w:t>cript.</w:t>
      </w:r>
    </w:p>
    <w:p w:rsidR="006F3E09" w:rsidRDefault="00484010" w:rsidP="00933B2F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 w:rsidR="00933B2F" w:rsidRPr="00933B2F">
        <w:rPr>
          <w:rStyle w:val="bold"/>
        </w:rPr>
        <w:t>diagnostyczne</w:t>
      </w:r>
      <w:r w:rsidR="00933B2F">
        <w:rPr>
          <w:rStyle w:val="bold"/>
        </w:rPr>
        <w:t>go</w:t>
      </w:r>
      <w:r w:rsidR="00933B2F" w:rsidRPr="00933B2F">
        <w:rPr>
          <w:rStyle w:val="bold"/>
        </w:rPr>
        <w:t xml:space="preserve"> </w:t>
      </w:r>
      <w:r w:rsidR="006F3E09">
        <w:rPr>
          <w:rStyle w:val="bold"/>
        </w:rPr>
        <w:t>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 xml:space="preserve">Enterprise </w:t>
      </w:r>
      <w:r w:rsidR="00933B2F">
        <w:t>V</w:t>
      </w:r>
      <w:r w:rsidR="00E56201">
        <w:t xml:space="preserve">isual </w:t>
      </w:r>
      <w:r w:rsidR="00933B2F">
        <w:t>S</w:t>
      </w:r>
      <w:r w:rsidR="00E56201">
        <w:t>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</w:t>
      </w:r>
      <w:r w:rsidR="00933B2F">
        <w:rPr>
          <w:rStyle w:val="bold"/>
        </w:rPr>
        <w:t>przypadku,</w:t>
      </w:r>
      <w:r>
        <w:rPr>
          <w:rStyle w:val="bold"/>
        </w:rPr>
        <w:t xml:space="preserve"> gdy posiadamy wiele kont programu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>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</w:t>
      </w:r>
      <w:r w:rsidR="000902E4">
        <w:rPr>
          <w:rStyle w:val="bold"/>
        </w:rPr>
        <w:t>). Główny</w:t>
      </w:r>
      <w:r w:rsidR="00484010">
        <w:rPr>
          <w:rStyle w:val="bold"/>
        </w:rPr>
        <w:t xml:space="preserve">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1384593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 xml:space="preserve">Jest napisane na nowo w wersji 1.0, </w:t>
      </w:r>
      <w:r w:rsidR="000902E4">
        <w:rPr>
          <w:rStyle w:val="bold"/>
        </w:rPr>
        <w:t>udoskonalone</w:t>
      </w:r>
      <w:r w:rsidR="00393C59">
        <w:rPr>
          <w:rStyle w:val="bold"/>
        </w:rPr>
        <w:t xml:space="preserve"> oraz rozbudowane o nowe funkcjonalności względem wersji </w:t>
      </w:r>
      <w:r w:rsidR="000902E4">
        <w:rPr>
          <w:rStyle w:val="bold"/>
        </w:rPr>
        <w:t>E</w:t>
      </w:r>
      <w:r w:rsidR="00393C59">
        <w:rPr>
          <w:rStyle w:val="bold"/>
        </w:rPr>
        <w:t>nti</w:t>
      </w:r>
      <w:r w:rsidR="000902E4">
        <w:rPr>
          <w:rStyle w:val="bold"/>
        </w:rPr>
        <w:t>t</w:t>
      </w:r>
      <w:r w:rsidR="00393C59">
        <w:rPr>
          <w:rStyle w:val="bold"/>
        </w:rPr>
        <w:t>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</w:t>
      </w:r>
      <w:r w:rsidR="000902E4">
        <w:rPr>
          <w:rStyle w:val="bold"/>
        </w:rPr>
        <w:t>nieprzydatne</w:t>
      </w:r>
      <w:r>
        <w:rPr>
          <w:rStyle w:val="bold"/>
        </w:rPr>
        <w:t xml:space="preserve"> zostały usunięte i nie pojawią się w nowej odsłonie, natomiast zostały też dodane </w:t>
      </w:r>
      <w:r w:rsidR="000902E4">
        <w:rPr>
          <w:rStyle w:val="bold"/>
        </w:rPr>
        <w:t>elementy,</w:t>
      </w:r>
      <w:r>
        <w:rPr>
          <w:rStyle w:val="bold"/>
        </w:rPr>
        <w:t xml:space="preserve">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r>
        <w:rPr>
          <w:lang w:val="en-US"/>
        </w:rPr>
        <w:t>Alternatywne klucze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 w:rsidRPr="00B509E6">
        <w:rPr>
          <w:b/>
        </w:rPr>
        <w:t>leniwe ładowanie</w:t>
      </w:r>
      <w:r w:rsidR="00BB38C2">
        <w:t xml:space="preserve">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</w:t>
      </w:r>
      <w:r w:rsidR="00172D3C">
        <w:rPr>
          <w:rStyle w:val="bold"/>
        </w:rPr>
        <w:t>t</w:t>
      </w:r>
      <w:r>
        <w:rPr>
          <w:rStyle w:val="bold"/>
        </w:rPr>
        <w:t xml:space="preserve">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9" w:name="_Toc471384594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 xml:space="preserve">narzędzie kontroli wersji. Pozwala na przegląd zmian w historii projektu, możliwość cofnięcia się do poprzedniej wersji, zabezpiecza nas przed utratą </w:t>
      </w:r>
      <w:r w:rsidR="00F5791C">
        <w:rPr>
          <w:rStyle w:val="bold"/>
        </w:rPr>
        <w:t>oprogramowania w przypadku awarii</w:t>
      </w:r>
      <w:r>
        <w:rPr>
          <w:rStyle w:val="bold"/>
        </w:rPr>
        <w:t xml:space="preserve"> sprzętu, a także </w:t>
      </w:r>
      <w:r w:rsidR="00F5791C">
        <w:rPr>
          <w:rStyle w:val="bold"/>
        </w:rPr>
        <w:t>umożliwi</w:t>
      </w:r>
      <w:r>
        <w:rPr>
          <w:rStyle w:val="bold"/>
        </w:rPr>
        <w:t xml:space="preserve"> prace zdalną bez potrzebny ciągłego przenoszenia projektu w </w:t>
      </w:r>
      <w:r w:rsidR="00F5791C">
        <w:rPr>
          <w:rStyle w:val="bold"/>
        </w:rPr>
        <w:t>przypadku,</w:t>
      </w:r>
      <w:r>
        <w:rPr>
          <w:rStyle w:val="bold"/>
        </w:rPr>
        <w:t xml:space="preserve"> gdy pracujemy na kilku maszynach.</w:t>
      </w:r>
      <w:r w:rsidR="005E67A6">
        <w:rPr>
          <w:rStyle w:val="bold"/>
        </w:rPr>
        <w:t xml:space="preserve"> Kontrola wersji jest </w:t>
      </w:r>
      <w:r w:rsidR="00F5791C">
        <w:rPr>
          <w:rStyle w:val="bold"/>
        </w:rPr>
        <w:t>niezbędny,</w:t>
      </w:r>
      <w:r w:rsidR="005E67A6">
        <w:rPr>
          <w:rStyle w:val="bold"/>
        </w:rPr>
        <w:t xml:space="preserve">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994B3E">
        <w:rPr>
          <w:rStyle w:val="bold"/>
        </w:rPr>
        <w:t>będą</w:t>
      </w:r>
      <w:r w:rsidR="00A142F6">
        <w:rPr>
          <w:rStyle w:val="bold"/>
        </w:rPr>
        <w:t xml:space="preserve">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</w:t>
      </w:r>
      <w:r w:rsidR="00994B3E">
        <w:rPr>
          <w:rStyle w:val="bold"/>
        </w:rPr>
        <w:t>G</w:t>
      </w:r>
      <w:r w:rsidR="00673C01">
        <w:rPr>
          <w:rStyle w:val="bold"/>
        </w:rPr>
        <w:t>it</w:t>
      </w:r>
      <w:r w:rsidR="001178D4">
        <w:rPr>
          <w:rStyle w:val="bold"/>
        </w:rPr>
        <w:t>H</w:t>
      </w:r>
      <w:r w:rsidR="00673C01">
        <w:rPr>
          <w:rStyle w:val="bold"/>
        </w:rPr>
        <w:t xml:space="preserve">ub,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 co </w:t>
      </w:r>
      <w:r w:rsidR="00994B3E">
        <w:rPr>
          <w:rStyle w:val="bold"/>
        </w:rPr>
        <w:t>powoduje,</w:t>
      </w:r>
      <w:r w:rsidR="00673C01">
        <w:rPr>
          <w:rStyle w:val="bold"/>
        </w:rPr>
        <w:t xml:space="preserve">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</w:t>
      </w:r>
      <w:r w:rsidR="00994B3E">
        <w:rPr>
          <w:rStyle w:val="bold"/>
        </w:rPr>
        <w:t>repozytorium</w:t>
      </w:r>
      <w:r>
        <w:rPr>
          <w:rStyle w:val="bold"/>
        </w:rPr>
        <w:t xml:space="preserve"> przy użyciu Git. Pozwala on na dzieleniu się własnym repozytorium z innymi użytkownikami, dostępu do repozytorium innych, a także przechowywania kopii naszego repozytorium za pomocą serwerów Githubowych. Sam Git</w:t>
      </w:r>
      <w:r w:rsidR="00994B3E">
        <w:rPr>
          <w:rStyle w:val="bold"/>
        </w:rPr>
        <w:t>H</w:t>
      </w:r>
      <w:r>
        <w:rPr>
          <w:rStyle w:val="bold"/>
        </w:rPr>
        <w:t xml:space="preserve">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20" w:name="_Toc471384595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</w:t>
      </w:r>
      <w:r w:rsidR="00994B3E">
        <w:rPr>
          <w:rStyle w:val="bold"/>
        </w:rPr>
        <w:t>git posiada swoją własną wersję</w:t>
      </w:r>
      <w:r w:rsidR="001178D4"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1178D4">
        <w:rPr>
          <w:rStyle w:val="bold"/>
        </w:rPr>
        <w:t xml:space="preserve"> która pozwala na lepsze zobrazowanie zmian za </w:t>
      </w:r>
      <w:r w:rsidR="00994B3E">
        <w:rPr>
          <w:rStyle w:val="bold"/>
        </w:rPr>
        <w:t>pomocą</w:t>
      </w:r>
      <w:r w:rsidR="001178D4">
        <w:rPr>
          <w:rStyle w:val="bold"/>
        </w:rPr>
        <w:t xml:space="preserve">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1384596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W celu przyśpieszeniu pracy nad </w:t>
      </w:r>
      <w:r w:rsidR="009F0BB9">
        <w:rPr>
          <w:rStyle w:val="bold"/>
        </w:rPr>
        <w:t>projektem, a</w:t>
      </w:r>
      <w:r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zarówno jak </w:t>
      </w:r>
      <w:r w:rsidR="001E1283">
        <w:rPr>
          <w:rStyle w:val="bold"/>
        </w:rPr>
        <w:t>B</w:t>
      </w:r>
      <w:r>
        <w:rPr>
          <w:rStyle w:val="bold"/>
        </w:rPr>
        <w:t>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1384597"/>
      <w:r>
        <w:lastRenderedPageBreak/>
        <w:t>Implementacja</w:t>
      </w:r>
      <w:bookmarkEnd w:id="22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</w:t>
      </w:r>
      <w:r w:rsidR="001B6619" w:rsidRPr="00F900B0">
        <w:rPr>
          <w:rStyle w:val="bold"/>
        </w:rPr>
        <w:t>z architekturą</w:t>
      </w:r>
      <w:r w:rsidR="00265AEA">
        <w:rPr>
          <w:rStyle w:val="bold"/>
        </w:rPr>
        <w:t xml:space="preserve">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3" w:name="_Toc470096684"/>
      <w:bookmarkStart w:id="24" w:name="_Toc471384598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 xml:space="preserve">. Biblioteka Framework służy do odseparowania strony serwerowej </w:t>
      </w:r>
      <w:r w:rsidR="00414FF8">
        <w:rPr>
          <w:rStyle w:val="bold"/>
        </w:rPr>
        <w:lastRenderedPageBreak/>
        <w:t xml:space="preserve">od </w:t>
      </w:r>
      <w:r w:rsidR="001B6619">
        <w:rPr>
          <w:rStyle w:val="bold"/>
        </w:rPr>
        <w:t>warstwy</w:t>
      </w:r>
      <w:r w:rsidR="00414FF8">
        <w:rPr>
          <w:rStyle w:val="bold"/>
        </w:rPr>
        <w:t xml:space="preserve">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>
        <w:rPr>
          <w:rStyle w:val="bold"/>
        </w:rPr>
        <w:t xml:space="preserve">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2D173D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6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2D173D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35pt;height:301.35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4.Wydobycie wszystkich plików dll. Znajdujących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5.Odczyt z pliku dll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1384599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przedstawionym na rysunku 3.3</w:t>
      </w:r>
      <w:r w:rsidR="00EC51A7">
        <w:rPr>
          <w:rStyle w:val="bold"/>
        </w:rPr>
        <w:t xml:space="preserve"> </w:t>
      </w:r>
    </w:p>
    <w:p w:rsidR="001F3419" w:rsidRPr="00FF552C" w:rsidRDefault="002D173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35pt;height:76.6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>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2D173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65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przedstawiona na rysunku 3.5</w:t>
      </w:r>
      <w:r>
        <w:rPr>
          <w:rStyle w:val="bold"/>
        </w:rPr>
        <w:t xml:space="preserve"> </w:t>
      </w:r>
      <w:r w:rsidRPr="00F900B0">
        <w:rPr>
          <w:rStyle w:val="bold"/>
        </w:rPr>
        <w:t xml:space="preserve">bazuje na wyszukiwanie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F552C" w:rsidRDefault="002D173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6pt;height:194.65pt">
            <v:imagedata r:id="rId32" o:title="2016-12-19 21_46_17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="00BB34A2" w:rsidRPr="00FF552C">
        <w:rPr>
          <w:sz w:val="20"/>
          <w:szCs w:val="20"/>
        </w:rPr>
        <w:t xml:space="preserve"> Metoda odpowiedzialna za wskazanie aktualnego </w:t>
      </w:r>
      <w:r w:rsidR="00474434" w:rsidRPr="00FF552C">
        <w:rPr>
          <w:sz w:val="20"/>
          <w:szCs w:val="20"/>
        </w:rPr>
        <w:t>modułu.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>wiona na rysunku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384600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Połączenie bazy danych z modelami biznesowymi zostało zrealizowane za pomocą Entity Framework Core. Modele zostają mapowane na poziomie kontekstu.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proofErr w:type="spellStart"/>
      <w:r w:rsidRPr="00474434">
        <w:rPr>
          <w:rStyle w:val="bold"/>
          <w:b/>
        </w:rPr>
        <w:t>DefaultContext</w:t>
      </w:r>
      <w:proofErr w:type="spellEnd"/>
      <w:r w:rsidRPr="00F900B0">
        <w:rPr>
          <w:rStyle w:val="bold"/>
        </w:rPr>
        <w:t>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</w:t>
      </w:r>
      <w:r w:rsidR="00FF552C">
        <w:rPr>
          <w:rStyle w:val="bold"/>
        </w:rPr>
        <w:t>rysunek 3.7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FF552C" w:rsidRDefault="002D173D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5.3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B43EC9" w:rsidRPr="00FF552C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</w:t>
      </w:r>
      <w:r w:rsidR="00474434">
        <w:rPr>
          <w:rStyle w:val="bold"/>
        </w:rPr>
        <w:t>deklaruje,</w:t>
      </w:r>
      <w:r w:rsidR="00A80C58">
        <w:rPr>
          <w:rStyle w:val="bold"/>
        </w:rPr>
        <w:t xml:space="preserve">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 xml:space="preserve">właściwość jako identyfikator modelu bazodanowego. Atrybuty są przyjemne w użyciu, natomiast nie można odwzorować każdej zależności za ich pomocą. Do tego celu </w:t>
      </w:r>
      <w:r w:rsidR="00474434">
        <w:rPr>
          <w:rStyle w:val="bold"/>
        </w:rPr>
        <w:t>służy</w:t>
      </w:r>
      <w:r w:rsidR="00FB29A2">
        <w:rPr>
          <w:rStyle w:val="bold"/>
        </w:rPr>
        <w:t xml:space="preserve"> </w:t>
      </w:r>
      <w:proofErr w:type="spellStart"/>
      <w:r w:rsidR="00FB29A2" w:rsidRPr="00474434">
        <w:rPr>
          <w:rStyle w:val="bold"/>
          <w:b/>
        </w:rPr>
        <w:t>fluent</w:t>
      </w:r>
      <w:proofErr w:type="spellEnd"/>
      <w:r w:rsidR="00FB29A2" w:rsidRPr="00474434">
        <w:rPr>
          <w:rStyle w:val="bold"/>
          <w:b/>
        </w:rPr>
        <w:t xml:space="preserve"> </w:t>
      </w:r>
      <w:proofErr w:type="spellStart"/>
      <w:r w:rsidR="00FB29A2" w:rsidRPr="00474434">
        <w:rPr>
          <w:rStyle w:val="bold"/>
          <w:b/>
        </w:rPr>
        <w:t>appi</w:t>
      </w:r>
      <w:proofErr w:type="spellEnd"/>
      <w:r w:rsidR="00FB29A2">
        <w:rPr>
          <w:rStyle w:val="bold"/>
        </w:rPr>
        <w:t xml:space="preserve"> z </w:t>
      </w:r>
      <w:r w:rsidR="00474434">
        <w:rPr>
          <w:rStyle w:val="bold"/>
        </w:rPr>
        <w:t>E</w:t>
      </w:r>
      <w:r w:rsidR="00FB29A2">
        <w:rPr>
          <w:rStyle w:val="bold"/>
        </w:rPr>
        <w:t>ntity framewor</w:t>
      </w:r>
      <w:r w:rsidR="00474434">
        <w:rPr>
          <w:rStyle w:val="bold"/>
        </w:rPr>
        <w:t>k</w:t>
      </w:r>
      <w:r w:rsidR="00FB29A2">
        <w:rPr>
          <w:rStyle w:val="bold"/>
        </w:rPr>
        <w:t>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E76CB2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Kluczową tabelą w schemacie bazy dan</w:t>
      </w:r>
      <w:r w:rsidR="00FF552C">
        <w:rPr>
          <w:rStyle w:val="bold"/>
        </w:rPr>
        <w:t>ych przedstawiony na rysunku 3.8</w:t>
      </w:r>
      <w:r>
        <w:rPr>
          <w:rStyle w:val="bold"/>
        </w:rPr>
        <w:t xml:space="preserve"> jest użytkownik (User). Jest on powiązany z większością tabel. Posiada on relację 1-1 z tabelą reprezentującą szczegóły użytkownika (UserDetails</w:t>
      </w:r>
      <w:r w:rsidR="00D30F8E">
        <w:rPr>
          <w:rStyle w:val="bold"/>
        </w:rPr>
        <w:t>), czy</w:t>
      </w:r>
      <w:r>
        <w:rPr>
          <w:rStyle w:val="bold"/>
        </w:rPr>
        <w:t xml:space="preserve"> też celami ustawionymi przez właściciela konta (UserGoal). Dodatkowo występują dwie </w:t>
      </w:r>
      <w:r w:rsidR="00D30F8E">
        <w:rPr>
          <w:rStyle w:val="bold"/>
        </w:rPr>
        <w:t>relację 1</w:t>
      </w:r>
      <w:r>
        <w:rPr>
          <w:rStyle w:val="bold"/>
        </w:rPr>
        <w:t xml:space="preserve">- </w:t>
      </w:r>
      <w:r w:rsidR="00D30F8E">
        <w:rPr>
          <w:rStyle w:val="bold"/>
          <w:rFonts w:cs="Times New Roman"/>
        </w:rPr>
        <w:t>∞</w:t>
      </w:r>
      <w:r w:rsidR="00D30F8E">
        <w:rPr>
          <w:rStyle w:val="bold"/>
        </w:rPr>
        <w:t>.</w:t>
      </w:r>
      <w:r>
        <w:rPr>
          <w:rStyle w:val="bold"/>
        </w:rPr>
        <w:t xml:space="preserve"> Pierwsza z nich zachodzi między dziennymi wpisami w dzienniku żywieniowym (DayFoodDiary), a użytkownikiem, który ma możliwość zawarcia wielu dni żywieniowych. Druga </w:t>
      </w:r>
      <w:r>
        <w:t xml:space="preserve">relacja </w:t>
      </w:r>
      <w:r w:rsidRPr="00E76CB2">
        <w:t>1</w:t>
      </w:r>
      <w:r>
        <w:rPr>
          <w:rStyle w:val="bold"/>
        </w:rPr>
        <w:t xml:space="preserve">-  </w:t>
      </w:r>
      <w:r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 xml:space="preserve">∞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powstawania</w:t>
      </w:r>
      <w:r w:rsidR="008C719A">
        <w:rPr>
          <w:rStyle w:val="bold"/>
          <w:rFonts w:cs="Times New Roman"/>
        </w:rPr>
        <w:t xml:space="preserve">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384601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2D173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30.65pt;height:181.3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2D173D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pt;height:196.6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1" w:name="_Toc471384602"/>
      <w:r>
        <w:rPr>
          <w:rStyle w:val="ListLabel1"/>
        </w:rPr>
        <w:lastRenderedPageBreak/>
        <w:t>Podsumowanie</w:t>
      </w:r>
      <w:bookmarkEnd w:id="31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384603"/>
      <w:r>
        <w:rPr>
          <w:rStyle w:val="ListLabel1"/>
        </w:rPr>
        <w:lastRenderedPageBreak/>
        <w:t>Literatura</w:t>
      </w:r>
      <w:bookmarkEnd w:id="32"/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</w:t>
      </w:r>
      <w:proofErr w:type="spellStart"/>
      <w:r>
        <w:rPr>
          <w:rStyle w:val="bold"/>
          <w:webHidden/>
        </w:rPr>
        <w:t>internecie</w:t>
      </w:r>
      <w:proofErr w:type="spellEnd"/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7D52A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</w:t>
      </w:r>
      <w:proofErr w:type="spellStart"/>
      <w:r w:rsidR="00C96B3F">
        <w:rPr>
          <w:rStyle w:val="bold"/>
        </w:rPr>
        <w:t>internecie</w:t>
      </w:r>
      <w:proofErr w:type="spellEnd"/>
      <w:r w:rsidR="00C96B3F">
        <w:rPr>
          <w:rStyle w:val="bold"/>
        </w:rPr>
        <w:t xml:space="preserve"> </w:t>
      </w:r>
      <w:r w:rsidR="00C32AD1" w:rsidRPr="00C32AD1">
        <w:rPr>
          <w:rStyle w:val="bold"/>
        </w:rPr>
        <w:t>https://docs.microsoft.com/en-us/aspnet/core/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  <w:bookmarkStart w:id="33" w:name="_GoBack"/>
      <w:bookmarkEnd w:id="33"/>
    </w:p>
    <w:p w:rsidR="00656C8A" w:rsidRPr="00656C8A" w:rsidRDefault="00656C8A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</w:t>
      </w:r>
      <w:proofErr w:type="spellStart"/>
      <w:r w:rsidRPr="002D173D">
        <w:rPr>
          <w:rStyle w:val="bold"/>
          <w:lang w:val="en-US"/>
        </w:rPr>
        <w:t>Beighley</w:t>
      </w:r>
      <w:proofErr w:type="spellEnd"/>
      <w:r w:rsidRPr="002D173D">
        <w:rPr>
          <w:rStyle w:val="bold"/>
          <w:lang w:val="en-US"/>
        </w:rPr>
        <w:t xml:space="preserve">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proofErr w:type="spellStart"/>
      <w:r w:rsidRPr="00656C8A">
        <w:rPr>
          <w:rStyle w:val="bold"/>
          <w:lang w:val="en-US"/>
        </w:rPr>
        <w:t>wydawnictwo</w:t>
      </w:r>
      <w:proofErr w:type="spellEnd"/>
      <w:r w:rsidRPr="00656C8A">
        <w:rPr>
          <w:rStyle w:val="bold"/>
          <w:lang w:val="en-US"/>
        </w:rPr>
        <w:t xml:space="preserve"> </w:t>
      </w:r>
      <w:proofErr w:type="spellStart"/>
      <w:r w:rsidRPr="00656C8A">
        <w:rPr>
          <w:rStyle w:val="bold"/>
          <w:lang w:val="en-US"/>
        </w:rPr>
        <w:t>O’Reily</w:t>
      </w:r>
      <w:proofErr w:type="spellEnd"/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A14" w:rsidRDefault="00A06A14" w:rsidP="00A42A71">
      <w:pPr>
        <w:spacing w:before="0" w:after="0" w:line="240" w:lineRule="auto"/>
      </w:pPr>
      <w:r>
        <w:separator/>
      </w:r>
    </w:p>
  </w:endnote>
  <w:endnote w:type="continuationSeparator" w:id="0">
    <w:p w:rsidR="00A06A14" w:rsidRDefault="00A06A14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B509E6" w:rsidRDefault="00B509E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73D">
          <w:rPr>
            <w:noProof/>
          </w:rPr>
          <w:t>- 26 -</w:t>
        </w:r>
        <w:r>
          <w:rPr>
            <w:noProof/>
          </w:rPr>
          <w:fldChar w:fldCharType="end"/>
        </w:r>
      </w:p>
    </w:sdtContent>
  </w:sdt>
  <w:p w:rsidR="00B509E6" w:rsidRDefault="00B509E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B509E6" w:rsidRDefault="00B509E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9E6" w:rsidRDefault="00B50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73D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B509E6" w:rsidRDefault="00B509E6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A14" w:rsidRDefault="00A06A14" w:rsidP="00A42A71">
      <w:pPr>
        <w:spacing w:before="0" w:after="0" w:line="240" w:lineRule="auto"/>
      </w:pPr>
      <w:r>
        <w:separator/>
      </w:r>
    </w:p>
  </w:footnote>
  <w:footnote w:type="continuationSeparator" w:id="0">
    <w:p w:rsidR="00A06A14" w:rsidRDefault="00A06A14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E6" w:rsidRDefault="00B50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937E0"/>
    <w:multiLevelType w:val="multilevel"/>
    <w:tmpl w:val="EE9EDAAA"/>
    <w:numStyleLink w:val="Styldlarozdziaw"/>
  </w:abstractNum>
  <w:abstractNum w:abstractNumId="11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4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4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5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3203"/>
    <w:multiLevelType w:val="multilevel"/>
    <w:tmpl w:val="85E410E6"/>
    <w:numStyleLink w:val="Style2"/>
  </w:abstractNum>
  <w:abstractNum w:abstractNumId="27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BA1F33"/>
    <w:multiLevelType w:val="multilevel"/>
    <w:tmpl w:val="1A325FC0"/>
    <w:numStyleLink w:val="numerowanieliteratury"/>
  </w:abstractNum>
  <w:abstractNum w:abstractNumId="34" w15:restartNumberingAfterBreak="0">
    <w:nsid w:val="6C3A3243"/>
    <w:multiLevelType w:val="multilevel"/>
    <w:tmpl w:val="1A325FC0"/>
    <w:numStyleLink w:val="numerowanieliteratury"/>
  </w:abstractNum>
  <w:abstractNum w:abstractNumId="35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39"/>
  </w:num>
  <w:num w:numId="5">
    <w:abstractNumId w:val="2"/>
  </w:num>
  <w:num w:numId="6">
    <w:abstractNumId w:val="36"/>
  </w:num>
  <w:num w:numId="7">
    <w:abstractNumId w:val="40"/>
  </w:num>
  <w:num w:numId="8">
    <w:abstractNumId w:val="7"/>
  </w:num>
  <w:num w:numId="9">
    <w:abstractNumId w:val="31"/>
  </w:num>
  <w:num w:numId="10">
    <w:abstractNumId w:val="17"/>
  </w:num>
  <w:num w:numId="11">
    <w:abstractNumId w:val="24"/>
  </w:num>
  <w:num w:numId="12">
    <w:abstractNumId w:val="14"/>
  </w:num>
  <w:num w:numId="13">
    <w:abstractNumId w:val="10"/>
  </w:num>
  <w:num w:numId="14">
    <w:abstractNumId w:val="6"/>
  </w:num>
  <w:num w:numId="15">
    <w:abstractNumId w:val="15"/>
  </w:num>
  <w:num w:numId="16">
    <w:abstractNumId w:val="11"/>
  </w:num>
  <w:num w:numId="17">
    <w:abstractNumId w:val="38"/>
  </w:num>
  <w:num w:numId="18">
    <w:abstractNumId w:val="37"/>
  </w:num>
  <w:num w:numId="19">
    <w:abstractNumId w:val="28"/>
  </w:num>
  <w:num w:numId="20">
    <w:abstractNumId w:val="41"/>
  </w:num>
  <w:num w:numId="21">
    <w:abstractNumId w:val="20"/>
  </w:num>
  <w:num w:numId="22">
    <w:abstractNumId w:val="5"/>
  </w:num>
  <w:num w:numId="23">
    <w:abstractNumId w:val="10"/>
  </w:num>
  <w:num w:numId="24">
    <w:abstractNumId w:val="12"/>
  </w:num>
  <w:num w:numId="25">
    <w:abstractNumId w:val="21"/>
  </w:num>
  <w:num w:numId="26">
    <w:abstractNumId w:val="16"/>
  </w:num>
  <w:num w:numId="27">
    <w:abstractNumId w:val="9"/>
  </w:num>
  <w:num w:numId="28">
    <w:abstractNumId w:val="27"/>
  </w:num>
  <w:num w:numId="29">
    <w:abstractNumId w:val="29"/>
  </w:num>
  <w:num w:numId="30">
    <w:abstractNumId w:val="0"/>
  </w:num>
  <w:num w:numId="31">
    <w:abstractNumId w:val="8"/>
  </w:num>
  <w:num w:numId="32">
    <w:abstractNumId w:val="1"/>
  </w:num>
  <w:num w:numId="33">
    <w:abstractNumId w:val="4"/>
  </w:num>
  <w:num w:numId="34">
    <w:abstractNumId w:val="3"/>
  </w:num>
  <w:num w:numId="35">
    <w:abstractNumId w:val="10"/>
  </w:num>
  <w:num w:numId="36">
    <w:abstractNumId w:val="22"/>
  </w:num>
  <w:num w:numId="37">
    <w:abstractNumId w:val="30"/>
  </w:num>
  <w:num w:numId="38">
    <w:abstractNumId w:val="26"/>
  </w:num>
  <w:num w:numId="39">
    <w:abstractNumId w:val="25"/>
  </w:num>
  <w:num w:numId="40">
    <w:abstractNumId w:val="32"/>
  </w:num>
  <w:num w:numId="41">
    <w:abstractNumId w:val="13"/>
  </w:num>
  <w:num w:numId="42">
    <w:abstractNumId w:val="34"/>
  </w:num>
  <w:num w:numId="43">
    <w:abstractNumId w:val="35"/>
  </w:num>
  <w:num w:numId="44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3E33"/>
    <w:rsid w:val="00080C9B"/>
    <w:rsid w:val="0008666E"/>
    <w:rsid w:val="000876D2"/>
    <w:rsid w:val="000900E8"/>
    <w:rsid w:val="000902E4"/>
    <w:rsid w:val="0009742C"/>
    <w:rsid w:val="000C05E1"/>
    <w:rsid w:val="000D7DF8"/>
    <w:rsid w:val="000E3149"/>
    <w:rsid w:val="000F6CC0"/>
    <w:rsid w:val="00104A3E"/>
    <w:rsid w:val="00107F30"/>
    <w:rsid w:val="001178D4"/>
    <w:rsid w:val="00124FC8"/>
    <w:rsid w:val="0015304A"/>
    <w:rsid w:val="00153F32"/>
    <w:rsid w:val="00154DC2"/>
    <w:rsid w:val="00160444"/>
    <w:rsid w:val="00161C78"/>
    <w:rsid w:val="00172D3C"/>
    <w:rsid w:val="001A5171"/>
    <w:rsid w:val="001A72D8"/>
    <w:rsid w:val="001B545D"/>
    <w:rsid w:val="001B6619"/>
    <w:rsid w:val="001E1283"/>
    <w:rsid w:val="001F3419"/>
    <w:rsid w:val="001F52C5"/>
    <w:rsid w:val="00204579"/>
    <w:rsid w:val="00213783"/>
    <w:rsid w:val="002413C7"/>
    <w:rsid w:val="00261C67"/>
    <w:rsid w:val="00264F4B"/>
    <w:rsid w:val="00265AEA"/>
    <w:rsid w:val="00277DFF"/>
    <w:rsid w:val="00282CE1"/>
    <w:rsid w:val="002A6801"/>
    <w:rsid w:val="002A684F"/>
    <w:rsid w:val="002A7D97"/>
    <w:rsid w:val="002B3BD8"/>
    <w:rsid w:val="002D173D"/>
    <w:rsid w:val="002D1ABF"/>
    <w:rsid w:val="002D3AC4"/>
    <w:rsid w:val="002E6511"/>
    <w:rsid w:val="002F1676"/>
    <w:rsid w:val="0030598B"/>
    <w:rsid w:val="00306683"/>
    <w:rsid w:val="003077EF"/>
    <w:rsid w:val="00312179"/>
    <w:rsid w:val="003152A1"/>
    <w:rsid w:val="0032381A"/>
    <w:rsid w:val="003244F6"/>
    <w:rsid w:val="00330F57"/>
    <w:rsid w:val="003347DF"/>
    <w:rsid w:val="003456CD"/>
    <w:rsid w:val="0035779D"/>
    <w:rsid w:val="00385823"/>
    <w:rsid w:val="00385D15"/>
    <w:rsid w:val="003868B5"/>
    <w:rsid w:val="00393C59"/>
    <w:rsid w:val="003A2E91"/>
    <w:rsid w:val="003A3096"/>
    <w:rsid w:val="003A5981"/>
    <w:rsid w:val="003A67B5"/>
    <w:rsid w:val="003A6887"/>
    <w:rsid w:val="003A710B"/>
    <w:rsid w:val="003C094C"/>
    <w:rsid w:val="003C4B40"/>
    <w:rsid w:val="003C5789"/>
    <w:rsid w:val="003C7886"/>
    <w:rsid w:val="003E40C8"/>
    <w:rsid w:val="003F2083"/>
    <w:rsid w:val="00414FF8"/>
    <w:rsid w:val="004303C0"/>
    <w:rsid w:val="004373C1"/>
    <w:rsid w:val="0044631C"/>
    <w:rsid w:val="00447313"/>
    <w:rsid w:val="00451372"/>
    <w:rsid w:val="00453412"/>
    <w:rsid w:val="00463009"/>
    <w:rsid w:val="00463EC2"/>
    <w:rsid w:val="00474434"/>
    <w:rsid w:val="0047452F"/>
    <w:rsid w:val="00484010"/>
    <w:rsid w:val="00485861"/>
    <w:rsid w:val="0049181A"/>
    <w:rsid w:val="004B360A"/>
    <w:rsid w:val="004C0EFB"/>
    <w:rsid w:val="004D465C"/>
    <w:rsid w:val="004E1139"/>
    <w:rsid w:val="004E1999"/>
    <w:rsid w:val="004F406F"/>
    <w:rsid w:val="00523CE9"/>
    <w:rsid w:val="0052550E"/>
    <w:rsid w:val="00530A9D"/>
    <w:rsid w:val="00540748"/>
    <w:rsid w:val="00544610"/>
    <w:rsid w:val="00550268"/>
    <w:rsid w:val="00562D93"/>
    <w:rsid w:val="005650CE"/>
    <w:rsid w:val="0056741D"/>
    <w:rsid w:val="00570545"/>
    <w:rsid w:val="00594AE1"/>
    <w:rsid w:val="005A12FF"/>
    <w:rsid w:val="005C029C"/>
    <w:rsid w:val="005C69A1"/>
    <w:rsid w:val="005E66EC"/>
    <w:rsid w:val="005E67A6"/>
    <w:rsid w:val="00606685"/>
    <w:rsid w:val="0060776D"/>
    <w:rsid w:val="0063069A"/>
    <w:rsid w:val="00631D1A"/>
    <w:rsid w:val="00642627"/>
    <w:rsid w:val="00643869"/>
    <w:rsid w:val="00646659"/>
    <w:rsid w:val="0064726D"/>
    <w:rsid w:val="00656C8A"/>
    <w:rsid w:val="006610D0"/>
    <w:rsid w:val="006717F6"/>
    <w:rsid w:val="00673C01"/>
    <w:rsid w:val="006A4E47"/>
    <w:rsid w:val="006B23C8"/>
    <w:rsid w:val="006B6A33"/>
    <w:rsid w:val="006B7D62"/>
    <w:rsid w:val="006C72F9"/>
    <w:rsid w:val="006D0654"/>
    <w:rsid w:val="006D6A0A"/>
    <w:rsid w:val="006E5626"/>
    <w:rsid w:val="006E7148"/>
    <w:rsid w:val="006F151C"/>
    <w:rsid w:val="006F3E09"/>
    <w:rsid w:val="0070429A"/>
    <w:rsid w:val="00710ACC"/>
    <w:rsid w:val="007325D7"/>
    <w:rsid w:val="00734B7B"/>
    <w:rsid w:val="00734D1D"/>
    <w:rsid w:val="00742EF4"/>
    <w:rsid w:val="00767CFD"/>
    <w:rsid w:val="00777214"/>
    <w:rsid w:val="007A51DF"/>
    <w:rsid w:val="007A5A66"/>
    <w:rsid w:val="007B342A"/>
    <w:rsid w:val="007B3E13"/>
    <w:rsid w:val="007C3D5B"/>
    <w:rsid w:val="007C7B79"/>
    <w:rsid w:val="007D52AD"/>
    <w:rsid w:val="007F4D2C"/>
    <w:rsid w:val="007F70A3"/>
    <w:rsid w:val="007F77EA"/>
    <w:rsid w:val="00802C00"/>
    <w:rsid w:val="008030C9"/>
    <w:rsid w:val="008149AC"/>
    <w:rsid w:val="00821CF6"/>
    <w:rsid w:val="00846292"/>
    <w:rsid w:val="00852DAA"/>
    <w:rsid w:val="00864ADE"/>
    <w:rsid w:val="0086653F"/>
    <w:rsid w:val="00870E93"/>
    <w:rsid w:val="0087565C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C719A"/>
    <w:rsid w:val="008D42E9"/>
    <w:rsid w:val="008E43EF"/>
    <w:rsid w:val="008E7CD1"/>
    <w:rsid w:val="008F41BE"/>
    <w:rsid w:val="008F5B53"/>
    <w:rsid w:val="008F5DA8"/>
    <w:rsid w:val="00910AFC"/>
    <w:rsid w:val="00914130"/>
    <w:rsid w:val="00926030"/>
    <w:rsid w:val="00933B2F"/>
    <w:rsid w:val="00933C89"/>
    <w:rsid w:val="00935D23"/>
    <w:rsid w:val="00943CFB"/>
    <w:rsid w:val="00962B7F"/>
    <w:rsid w:val="009632ED"/>
    <w:rsid w:val="00994B3E"/>
    <w:rsid w:val="009A0824"/>
    <w:rsid w:val="009B0E5B"/>
    <w:rsid w:val="009B4E6B"/>
    <w:rsid w:val="009B6CEC"/>
    <w:rsid w:val="009C037C"/>
    <w:rsid w:val="009C500E"/>
    <w:rsid w:val="009F0BB9"/>
    <w:rsid w:val="009F75C2"/>
    <w:rsid w:val="00A06A14"/>
    <w:rsid w:val="00A142F6"/>
    <w:rsid w:val="00A17F23"/>
    <w:rsid w:val="00A3768D"/>
    <w:rsid w:val="00A42A71"/>
    <w:rsid w:val="00A531AB"/>
    <w:rsid w:val="00A55802"/>
    <w:rsid w:val="00A80C58"/>
    <w:rsid w:val="00A83AD2"/>
    <w:rsid w:val="00A92C41"/>
    <w:rsid w:val="00AB0335"/>
    <w:rsid w:val="00AB228F"/>
    <w:rsid w:val="00AE07F5"/>
    <w:rsid w:val="00AE30BC"/>
    <w:rsid w:val="00AE50A5"/>
    <w:rsid w:val="00AE6FD6"/>
    <w:rsid w:val="00AF0455"/>
    <w:rsid w:val="00AF7864"/>
    <w:rsid w:val="00B151E3"/>
    <w:rsid w:val="00B15C72"/>
    <w:rsid w:val="00B26506"/>
    <w:rsid w:val="00B27CD8"/>
    <w:rsid w:val="00B35E04"/>
    <w:rsid w:val="00B43EC9"/>
    <w:rsid w:val="00B509E6"/>
    <w:rsid w:val="00B54F9C"/>
    <w:rsid w:val="00B64A31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32AD1"/>
    <w:rsid w:val="00C55F08"/>
    <w:rsid w:val="00C7047A"/>
    <w:rsid w:val="00C74AEF"/>
    <w:rsid w:val="00C750CA"/>
    <w:rsid w:val="00C90BB3"/>
    <w:rsid w:val="00C90F73"/>
    <w:rsid w:val="00C96B3F"/>
    <w:rsid w:val="00CA1B64"/>
    <w:rsid w:val="00CA2129"/>
    <w:rsid w:val="00CB5CE4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30F8E"/>
    <w:rsid w:val="00D34F13"/>
    <w:rsid w:val="00D412FB"/>
    <w:rsid w:val="00D80AA0"/>
    <w:rsid w:val="00D84887"/>
    <w:rsid w:val="00D9526D"/>
    <w:rsid w:val="00DA10C5"/>
    <w:rsid w:val="00DA31D1"/>
    <w:rsid w:val="00DB7709"/>
    <w:rsid w:val="00DD0E52"/>
    <w:rsid w:val="00DE406E"/>
    <w:rsid w:val="00DF4108"/>
    <w:rsid w:val="00DF4BAF"/>
    <w:rsid w:val="00E26728"/>
    <w:rsid w:val="00E40BFF"/>
    <w:rsid w:val="00E43FEA"/>
    <w:rsid w:val="00E5099A"/>
    <w:rsid w:val="00E50DFE"/>
    <w:rsid w:val="00E56201"/>
    <w:rsid w:val="00E76CB2"/>
    <w:rsid w:val="00E76F18"/>
    <w:rsid w:val="00E773FC"/>
    <w:rsid w:val="00E84772"/>
    <w:rsid w:val="00E873F7"/>
    <w:rsid w:val="00EA070B"/>
    <w:rsid w:val="00EC51A7"/>
    <w:rsid w:val="00EF58EB"/>
    <w:rsid w:val="00F0207D"/>
    <w:rsid w:val="00F0407B"/>
    <w:rsid w:val="00F06889"/>
    <w:rsid w:val="00F10FC2"/>
    <w:rsid w:val="00F172BC"/>
    <w:rsid w:val="00F26AB9"/>
    <w:rsid w:val="00F334D7"/>
    <w:rsid w:val="00F34EC0"/>
    <w:rsid w:val="00F36A38"/>
    <w:rsid w:val="00F40FAD"/>
    <w:rsid w:val="00F42F10"/>
    <w:rsid w:val="00F5791C"/>
    <w:rsid w:val="00F6749A"/>
    <w:rsid w:val="00F7266E"/>
    <w:rsid w:val="00F72BBD"/>
    <w:rsid w:val="00F900B0"/>
    <w:rsid w:val="00FB1AF2"/>
    <w:rsid w:val="00FB29A2"/>
    <w:rsid w:val="00FD324B"/>
    <w:rsid w:val="00FE573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DED1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086E-9028-4F69-A976-71A2870B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28</Pages>
  <Words>4952</Words>
  <Characters>29715</Characters>
  <Application>Microsoft Office Word</Application>
  <DocSecurity>0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356</cp:revision>
  <dcterms:created xsi:type="dcterms:W3CDTF">2016-11-11T09:14:00Z</dcterms:created>
  <dcterms:modified xsi:type="dcterms:W3CDTF">2017-01-05T22:59:00Z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