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3E40C8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3E40C8">
        <w:rPr>
          <w:noProof/>
        </w:rPr>
        <w:t>Słownik pojęć</w:t>
      </w:r>
      <w:r w:rsidR="003E40C8">
        <w:rPr>
          <w:noProof/>
        </w:rPr>
        <w:tab/>
      </w:r>
      <w:r w:rsidR="003E40C8">
        <w:rPr>
          <w:noProof/>
        </w:rPr>
        <w:fldChar w:fldCharType="begin"/>
      </w:r>
      <w:r w:rsidR="003E40C8">
        <w:rPr>
          <w:noProof/>
        </w:rPr>
        <w:instrText xml:space="preserve"> PAGEREF _Toc470877508 \h </w:instrText>
      </w:r>
      <w:r w:rsidR="003E40C8">
        <w:rPr>
          <w:noProof/>
        </w:rPr>
      </w:r>
      <w:r w:rsidR="003E40C8">
        <w:rPr>
          <w:noProof/>
        </w:rPr>
        <w:fldChar w:fldCharType="separate"/>
      </w:r>
      <w:r w:rsidR="003E40C8">
        <w:rPr>
          <w:noProof/>
        </w:rPr>
        <w:t>- 3 -</w:t>
      </w:r>
      <w:r w:rsidR="003E40C8">
        <w:rPr>
          <w:noProof/>
        </w:rPr>
        <w:fldChar w:fldCharType="end"/>
      </w:r>
    </w:p>
    <w:p w:rsidR="003E40C8" w:rsidRDefault="003E40C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3E40C8" w:rsidRDefault="003E40C8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AC26D0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AC26D0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- 6 -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3E40C8" w:rsidRPr="00BB2EB1" w:rsidRDefault="003E40C8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BB2EB1">
        <w:rPr>
          <w:noProof/>
        </w:rPr>
        <w:t>2</w:t>
      </w:r>
      <w:r w:rsidRPr="00BB2EB1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BB2EB1">
        <w:rPr>
          <w:noProof/>
        </w:rPr>
        <w:t>Technologie użyte w projekcie</w:t>
      </w:r>
      <w:r w:rsidRPr="00BB2EB1">
        <w:rPr>
          <w:noProof/>
        </w:rPr>
        <w:tab/>
      </w:r>
      <w:r>
        <w:rPr>
          <w:noProof/>
        </w:rPr>
        <w:fldChar w:fldCharType="begin"/>
      </w:r>
      <w:r w:rsidRPr="00BB2EB1">
        <w:rPr>
          <w:noProof/>
        </w:rPr>
        <w:instrText xml:space="preserve"> PAGEREF _Toc470877515 \h </w:instrText>
      </w:r>
      <w:r>
        <w:rPr>
          <w:noProof/>
        </w:rPr>
      </w:r>
      <w:r>
        <w:rPr>
          <w:noProof/>
        </w:rPr>
        <w:fldChar w:fldCharType="separate"/>
      </w:r>
      <w:r w:rsidRPr="00BB2EB1">
        <w:rPr>
          <w:noProof/>
        </w:rPr>
        <w:t>- 14 -</w:t>
      </w:r>
      <w:r>
        <w:rPr>
          <w:noProof/>
        </w:rPr>
        <w:fldChar w:fldCharType="end"/>
      </w:r>
    </w:p>
    <w:p w:rsidR="003E40C8" w:rsidRPr="00BB2EB1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 w:rsidRPr="00BB2EB1">
        <w:rPr>
          <w:noProof/>
        </w:rPr>
        <w:t>2.1</w:t>
      </w:r>
      <w:r w:rsidRPr="00BB2EB1"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 w:rsidRPr="00BB2EB1">
        <w:rPr>
          <w:noProof/>
        </w:rPr>
        <w:t>ASP.NET.CORE</w:t>
      </w:r>
      <w:r w:rsidRPr="00BB2EB1">
        <w:rPr>
          <w:noProof/>
        </w:rPr>
        <w:tab/>
      </w:r>
      <w:r>
        <w:rPr>
          <w:noProof/>
        </w:rPr>
        <w:fldChar w:fldCharType="begin"/>
      </w:r>
      <w:r w:rsidRPr="00BB2EB1">
        <w:rPr>
          <w:noProof/>
        </w:rPr>
        <w:instrText xml:space="preserve"> PAGEREF _Toc470877516 \h </w:instrText>
      </w:r>
      <w:r>
        <w:rPr>
          <w:noProof/>
        </w:rPr>
      </w:r>
      <w:r>
        <w:rPr>
          <w:noProof/>
        </w:rPr>
        <w:fldChar w:fldCharType="separate"/>
      </w:r>
      <w:r w:rsidRPr="00BB2EB1">
        <w:rPr>
          <w:noProof/>
        </w:rPr>
        <w:t>- 14 -</w:t>
      </w:r>
      <w:r>
        <w:rPr>
          <w:noProof/>
        </w:rPr>
        <w:fldChar w:fldCharType="end"/>
      </w:r>
    </w:p>
    <w:p w:rsidR="003E40C8" w:rsidRPr="00523CE9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523CE9">
        <w:rPr>
          <w:noProof/>
          <w:lang w:val="en-US"/>
        </w:rPr>
        <w:t>2.2</w:t>
      </w:r>
      <w:r w:rsidRPr="00523CE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523CE9">
        <w:rPr>
          <w:noProof/>
          <w:lang w:val="en-US"/>
        </w:rPr>
        <w:t>Visual studio 2015</w:t>
      </w:r>
      <w:r w:rsidRPr="00523CE9">
        <w:rPr>
          <w:noProof/>
          <w:lang w:val="en-US"/>
        </w:rPr>
        <w:tab/>
      </w:r>
      <w:r>
        <w:rPr>
          <w:noProof/>
        </w:rPr>
        <w:fldChar w:fldCharType="begin"/>
      </w:r>
      <w:r w:rsidRPr="00523CE9">
        <w:rPr>
          <w:noProof/>
          <w:lang w:val="en-US"/>
        </w:rPr>
        <w:instrText xml:space="preserve"> PAGEREF _Toc470877517 \h </w:instrText>
      </w:r>
      <w:r>
        <w:rPr>
          <w:noProof/>
        </w:rPr>
      </w:r>
      <w:r>
        <w:rPr>
          <w:noProof/>
        </w:rPr>
        <w:fldChar w:fldCharType="separate"/>
      </w:r>
      <w:r w:rsidRPr="00523CE9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3E40C8" w:rsidRPr="00523CE9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523CE9">
        <w:rPr>
          <w:noProof/>
          <w:lang w:val="en-US"/>
        </w:rPr>
        <w:t>2.3</w:t>
      </w:r>
      <w:r w:rsidRPr="00523CE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523CE9">
        <w:rPr>
          <w:noProof/>
          <w:lang w:val="en-US"/>
        </w:rPr>
        <w:t>Entity framework Core</w:t>
      </w:r>
      <w:r w:rsidRPr="00523CE9">
        <w:rPr>
          <w:noProof/>
          <w:lang w:val="en-US"/>
        </w:rPr>
        <w:tab/>
      </w:r>
      <w:r>
        <w:rPr>
          <w:noProof/>
        </w:rPr>
        <w:fldChar w:fldCharType="begin"/>
      </w:r>
      <w:r w:rsidRPr="00523CE9">
        <w:rPr>
          <w:noProof/>
          <w:lang w:val="en-US"/>
        </w:rPr>
        <w:instrText xml:space="preserve"> PAGEREF _Toc470877518 \h </w:instrText>
      </w:r>
      <w:r>
        <w:rPr>
          <w:noProof/>
        </w:rPr>
      </w:r>
      <w:r>
        <w:rPr>
          <w:noProof/>
        </w:rPr>
        <w:fldChar w:fldCharType="separate"/>
      </w:r>
      <w:r w:rsidRPr="00523CE9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3E40C8" w:rsidRPr="00523CE9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523CE9">
        <w:rPr>
          <w:noProof/>
          <w:lang w:val="en-US"/>
        </w:rPr>
        <w:t>2.4</w:t>
      </w:r>
      <w:r w:rsidRPr="00523CE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523CE9">
        <w:rPr>
          <w:noProof/>
          <w:lang w:val="en-US"/>
        </w:rPr>
        <w:t>Github</w:t>
      </w:r>
      <w:r w:rsidRPr="00523CE9">
        <w:rPr>
          <w:noProof/>
          <w:lang w:val="en-US"/>
        </w:rPr>
        <w:tab/>
      </w:r>
      <w:r>
        <w:rPr>
          <w:noProof/>
        </w:rPr>
        <w:fldChar w:fldCharType="begin"/>
      </w:r>
      <w:r w:rsidRPr="00523CE9">
        <w:rPr>
          <w:noProof/>
          <w:lang w:val="en-US"/>
        </w:rPr>
        <w:instrText xml:space="preserve"> PAGEREF _Toc470877519 \h </w:instrText>
      </w:r>
      <w:r>
        <w:rPr>
          <w:noProof/>
        </w:rPr>
      </w:r>
      <w:r>
        <w:rPr>
          <w:noProof/>
        </w:rPr>
        <w:fldChar w:fldCharType="separate"/>
      </w:r>
      <w:r w:rsidRPr="00523CE9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3E40C8" w:rsidRPr="00523CE9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523CE9">
        <w:rPr>
          <w:noProof/>
          <w:lang w:val="en-US"/>
        </w:rPr>
        <w:t>2.5</w:t>
      </w:r>
      <w:r w:rsidRPr="00523CE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523CE9">
        <w:rPr>
          <w:noProof/>
          <w:lang w:val="en-US"/>
        </w:rPr>
        <w:t>SourceTree</w:t>
      </w:r>
      <w:r w:rsidRPr="00523CE9">
        <w:rPr>
          <w:noProof/>
          <w:lang w:val="en-US"/>
        </w:rPr>
        <w:tab/>
      </w:r>
      <w:r>
        <w:rPr>
          <w:noProof/>
        </w:rPr>
        <w:fldChar w:fldCharType="begin"/>
      </w:r>
      <w:r w:rsidRPr="00523CE9">
        <w:rPr>
          <w:noProof/>
          <w:lang w:val="en-US"/>
        </w:rPr>
        <w:instrText xml:space="preserve"> PAGEREF _Toc470877520 \h </w:instrText>
      </w:r>
      <w:r>
        <w:rPr>
          <w:noProof/>
        </w:rPr>
      </w:r>
      <w:r>
        <w:rPr>
          <w:noProof/>
        </w:rPr>
        <w:fldChar w:fldCharType="separate"/>
      </w:r>
      <w:r w:rsidRPr="00523CE9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3E40C8" w:rsidRPr="00523CE9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523CE9">
        <w:rPr>
          <w:noProof/>
          <w:lang w:val="en-US"/>
        </w:rPr>
        <w:t>2.6</w:t>
      </w:r>
      <w:r w:rsidRPr="00523CE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523CE9">
        <w:rPr>
          <w:noProof/>
          <w:lang w:val="en-US"/>
        </w:rPr>
        <w:t>Semantic UI</w:t>
      </w:r>
      <w:r w:rsidRPr="00523CE9">
        <w:rPr>
          <w:noProof/>
          <w:lang w:val="en-US"/>
        </w:rPr>
        <w:tab/>
      </w:r>
      <w:r>
        <w:rPr>
          <w:noProof/>
        </w:rPr>
        <w:fldChar w:fldCharType="begin"/>
      </w:r>
      <w:r w:rsidRPr="00523CE9">
        <w:rPr>
          <w:noProof/>
          <w:lang w:val="en-US"/>
        </w:rPr>
        <w:instrText xml:space="preserve"> PAGEREF _Toc470877521 \h </w:instrText>
      </w:r>
      <w:r>
        <w:rPr>
          <w:noProof/>
        </w:rPr>
      </w:r>
      <w:r>
        <w:rPr>
          <w:noProof/>
        </w:rPr>
        <w:fldChar w:fldCharType="separate"/>
      </w:r>
      <w:r w:rsidRPr="00523CE9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3E40C8" w:rsidRPr="00523CE9" w:rsidRDefault="003E40C8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523CE9">
        <w:rPr>
          <w:noProof/>
          <w:lang w:val="en-US"/>
        </w:rPr>
        <w:t>3</w:t>
      </w:r>
      <w:r w:rsidRPr="00523CE9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523CE9">
        <w:rPr>
          <w:noProof/>
          <w:lang w:val="en-US"/>
        </w:rPr>
        <w:t>Implementacja</w:t>
      </w:r>
      <w:r w:rsidRPr="00523CE9">
        <w:rPr>
          <w:noProof/>
          <w:lang w:val="en-US"/>
        </w:rPr>
        <w:tab/>
      </w:r>
      <w:r>
        <w:rPr>
          <w:noProof/>
        </w:rPr>
        <w:fldChar w:fldCharType="begin"/>
      </w:r>
      <w:r w:rsidRPr="00523CE9">
        <w:rPr>
          <w:noProof/>
          <w:lang w:val="en-US"/>
        </w:rPr>
        <w:instrText xml:space="preserve"> PAGEREF _Toc470877522 \h </w:instrText>
      </w:r>
      <w:r>
        <w:rPr>
          <w:noProof/>
        </w:rPr>
      </w:r>
      <w:r>
        <w:rPr>
          <w:noProof/>
        </w:rPr>
        <w:fldChar w:fldCharType="separate"/>
      </w:r>
      <w:r w:rsidRPr="00523CE9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3E40C8" w:rsidRDefault="003E40C8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3E40C8" w:rsidRDefault="003E40C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3E40C8" w:rsidRDefault="003E40C8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_Toc470877528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0877508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 - Zbiór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3456CD" w:rsidP="00742EF4">
      <w:pPr>
        <w:pStyle w:val="NormalWeb"/>
        <w:spacing w:before="100" w:after="100" w:line="360" w:lineRule="auto"/>
        <w:ind w:right="-2"/>
        <w:rPr>
          <w:rStyle w:val="bold"/>
        </w:rPr>
      </w:pPr>
      <w:r w:rsidRPr="00F34EC0">
        <w:rPr>
          <w:rStyle w:val="bold"/>
        </w:rPr>
        <w:t xml:space="preserve">TDEE – (Total Daily Energy Expenditure) Całkowite dzienne zapotrzebowanie kaloryczne. 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BMR –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 w:rsidR="003456CD" w:rsidRPr="00F34EC0">
        <w:rPr>
          <w:rStyle w:val="bold"/>
        </w:rPr>
        <w:t xml:space="preserve"> Wskaźnik podstawowej przemiany materii.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NEAT – Kalorie spalane podczas codziennych czynności.</w:t>
      </w:r>
    </w:p>
    <w:p w:rsidR="001F3419" w:rsidRPr="00F34EC0" w:rsidRDefault="003A5981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 xml:space="preserve">TEF (Thermic Effect of Food)– </w:t>
      </w:r>
      <w:proofErr w:type="spellStart"/>
      <w:r w:rsidR="003456CD" w:rsidRPr="00F34EC0">
        <w:rPr>
          <w:rStyle w:val="bold"/>
          <w:lang w:val="en-US"/>
        </w:rPr>
        <w:t>Efekt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termiczny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pożywienia</w:t>
      </w:r>
      <w:proofErr w:type="spellEnd"/>
      <w:r w:rsidR="003456CD" w:rsidRPr="00F34EC0">
        <w:rPr>
          <w:rStyle w:val="bold"/>
          <w:lang w:val="en-US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Ektomorfik – Typ budowy ciała cechujący się smukłą sylwetką, drobnymi kościami, chudymi oraz długimi kończynami, a także wąskimi ramionami.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Endomorfik - Typ budowy ciała cechujący się masywną, owalną sylwetką, mający tendencję do tycia po przez wolny metabolizm oraz posiadający wysoki poziom tkanki tłuszczowej.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Assembly – Najmniejsza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 albo exe.</w:t>
      </w:r>
    </w:p>
    <w:p w:rsidR="001F3419" w:rsidRPr="00F34EC0" w:rsidRDefault="003456CD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Kaloria – W dietetyce kilo kaloria lub „Kaloria” przez duże „K”.Określenie ilość ciepła potrzebną do podgrzania 1 litra wody o 1ºC. 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lastRenderedPageBreak/>
        <w:t>D</w:t>
      </w:r>
      <w:r w:rsidR="003456CD" w:rsidRPr="003A6887">
        <w:rPr>
          <w:rStyle w:val="bold"/>
        </w:rPr>
        <w:t>ll</w:t>
      </w:r>
      <w:r w:rsidRPr="003A6887">
        <w:rPr>
          <w:rStyle w:val="bold"/>
        </w:rPr>
        <w:t xml:space="preserve"> (Dynamic-Link Library) -</w:t>
      </w:r>
      <w:r w:rsidR="003456CD" w:rsidRPr="003A6887">
        <w:rPr>
          <w:rStyle w:val="bold"/>
        </w:rPr>
        <w:t xml:space="preserve"> </w:t>
      </w:r>
      <w:hyperlink r:id="rId16">
        <w:r w:rsidR="009F75C2" w:rsidRPr="003A6887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0877509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Caption"/>
        <w:rPr>
          <w:rStyle w:val="bold"/>
          <w:lang w:val="pl-PL"/>
        </w:rPr>
      </w:pPr>
      <w:bookmarkStart w:id="3" w:name="_Toc470877510"/>
      <w:r w:rsidRPr="00D257CC">
        <w:rPr>
          <w:rStyle w:val="bold"/>
          <w:lang w:val="pl-PL"/>
        </w:rPr>
        <w:lastRenderedPageBreak/>
        <w:t>Temat1</w:t>
      </w:r>
      <w:bookmarkEnd w:id="3"/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W przeciągu dziesięciu lat w naszym kraju procent niedowagi zmniejszył się. 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Przyczyniło się to także do znacznego przyrostu osób z nadwagą oraz otyłością.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Porównując tabelę 1.0 oraz 1.1 i 1.2 można zaobserwować znaczy przyrost otyłości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nadwagi która wzrosła o około 4%. Niedowaga zmalała o około 1,2 %.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Jest to niekorzystne zjawisko występujące w Polsce jak i na całym świecie.</w:t>
      </w:r>
    </w:p>
    <w:p w:rsidR="00F36A38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4" w:name="_Toc466799712"/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5" w:name="_Toc470877511"/>
      <w:bookmarkEnd w:id="4"/>
      <w:r>
        <w:lastRenderedPageBreak/>
        <w:t>Sposób liczenia makroskładników</w:t>
      </w:r>
      <w:bookmarkEnd w:id="5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6" w:name="_Toc470096681"/>
      <w:bookmarkStart w:id="7" w:name="_Toc470877512"/>
      <w:r>
        <w:lastRenderedPageBreak/>
        <w:t>Zapotrzebowanie kaloryczne.</w:t>
      </w:r>
      <w:bookmarkEnd w:id="6"/>
      <w:bookmarkEnd w:id="7"/>
    </w:p>
    <w:p w:rsidR="00451372" w:rsidRDefault="003456CD" w:rsidP="00451372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3456CD" w:rsidP="00451372">
      <w:pPr>
        <w:pStyle w:val="NormalWeb"/>
        <w:numPr>
          <w:ilvl w:val="0"/>
          <w:numId w:val="19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Jest to najprostszy wzór który w wielu przypadkach się nie sprawdza.</w:t>
      </w:r>
    </w:p>
    <w:p w:rsidR="00451372" w:rsidRPr="00F900B0" w:rsidRDefault="003456CD" w:rsidP="00451372">
      <w:pPr>
        <w:pStyle w:val="NormalWeb"/>
        <w:numPr>
          <w:ilvl w:val="0"/>
          <w:numId w:val="20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Mnożymy wagę przez dwadzieścia cztery godziny przez co otrzymujemy (BMR) wskaźnik przemiany materii.</w:t>
      </w:r>
    </w:p>
    <w:p w:rsidR="001F3419" w:rsidRPr="00F900B0" w:rsidRDefault="003456CD" w:rsidP="00451372">
      <w:pPr>
        <w:pStyle w:val="NormalWeb"/>
        <w:numPr>
          <w:ilvl w:val="0"/>
          <w:numId w:val="20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Wskaźnik BMR mnożymy przez współczynnik aktywności fizycznej (w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przedziale od 1.0 do 2.0) i otrzymujemy zapotrzebowanie kaloryczne.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Przykładowej współczynnik aktywności: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1F3419" w:rsidRPr="00F900B0" w:rsidRDefault="003456CD" w:rsidP="00451372">
      <w:pPr>
        <w:pStyle w:val="NormalWeb"/>
        <w:numPr>
          <w:ilvl w:val="0"/>
          <w:numId w:val="19"/>
        </w:numPr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metoda która jest opisana wzorem:</w:t>
      </w:r>
      <w:r w:rsidRPr="00F900B0">
        <w:rPr>
          <w:rStyle w:val="bold"/>
        </w:rPr>
        <w:br/>
        <w:t>TDEE = BMR + TEA + NEAT + TEF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BMR – W zależności od płci:</w:t>
      </w:r>
    </w:p>
    <w:p w:rsidR="001F3419" w:rsidRPr="00F900B0" w:rsidRDefault="00F900B0" w:rsidP="00124FC8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Dla </w:t>
      </w:r>
      <w:r w:rsidR="0049181A" w:rsidRPr="00F900B0">
        <w:rPr>
          <w:rStyle w:val="bold"/>
        </w:rPr>
        <w:t>Kobiet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>BMR = (9,99 x waga (kg)) + (6,25 x wzrost (cm)) – (4,92 x wiek) – 161</w:t>
      </w:r>
      <w:r w:rsidR="009A0824" w:rsidRPr="00F900B0">
        <w:rPr>
          <w:rStyle w:val="bold"/>
        </w:rPr>
        <w:br/>
        <w:t>Dla Mężczyzn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 xml:space="preserve">BMR = (9,99 x waga (kg)) + (6,25 x wzrost (cm)) – (4,92 x wiek) + 5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TEA -  W zależności od rodzaju treningu: 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Trening siłowy - 7–9 kcal na minutę w zależności od intensywności.</w:t>
      </w:r>
      <w:r w:rsidRPr="00F900B0">
        <w:rPr>
          <w:rStyle w:val="bold"/>
        </w:rP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NEAT – Zależna od typu budowy ciała: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700-900 kcal – ektomorfik,</w:t>
      </w:r>
      <w:r w:rsidRPr="00F900B0">
        <w:rPr>
          <w:rStyle w:val="bold"/>
        </w:rPr>
        <w:br/>
        <w:t>400-500 kcal – mezomorfik,</w:t>
      </w:r>
      <w:r w:rsidRPr="00F900B0">
        <w:rPr>
          <w:rStyle w:val="bold"/>
        </w:rPr>
        <w:br/>
        <w:t xml:space="preserve">200-400 kcal – endomorfik. 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TEF – 6-10% * (TDEE)</w:t>
      </w:r>
      <w:r w:rsidRPr="00F900B0">
        <w:rPr>
          <w:rStyle w:val="bold"/>
        </w:rPr>
        <w:br/>
      </w: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3C094C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lang w:val="en-US"/>
        </w:rPr>
      </w:pPr>
      <w:r w:rsidRPr="003C094C"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 w:rsidRPr="003C094C">
        <w:rPr>
          <w:rStyle w:val="bold"/>
          <w:rFonts w:eastAsiaTheme="majorEastAsia"/>
          <w:lang w:val="en-US"/>
        </w:rPr>
        <w:tab/>
        <w:t xml:space="preserve">+ 5 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BMR = 699,3 + 1112,5 – 108,24 + 5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BMR = 1708,56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 xml:space="preserve">TEA = (4 x 90 min x 7) / 7 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TEA = 360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NEAT =  300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(BMR + TEA + NEAT) * 0.1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 1708,56 kcal + 360 kcal + 300 kcal * 0.1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 2368,56 * 0.1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236,85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 = BMR + TEA + NEAT  + TEF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= 1708,56 kcal + 360 kcal + 300 kcal  + 236,85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= 2605,41</w:t>
      </w:r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8" w:name="_Toc470096682"/>
      <w:bookmarkStart w:id="9" w:name="_Toc470877513"/>
      <w:r>
        <w:lastRenderedPageBreak/>
        <w:t>Postrzeganie Kalorii</w:t>
      </w:r>
      <w:bookmarkEnd w:id="8"/>
      <w:bookmarkEnd w:id="9"/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</w:t>
      </w:r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Dowodami na obalenie teorii kalorii sa: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F900B0" w:rsidRDefault="00451372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0" w:name="_Toc470096683"/>
      <w:bookmarkStart w:id="11" w:name="_Toc470877514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Pr="00124FC8">
        <w:rPr>
          <w:rStyle w:val="bold"/>
          <w:color w:val="FF0000"/>
        </w:rPr>
        <w:t>Urodzony 19 listopada 1898, zmarł 17 września 1977 roku. Był amerykańskim psychologiem</w:t>
      </w:r>
      <w:bookmarkStart w:id="12" w:name="__DdeLink__2121_61814216"/>
      <w:bookmarkEnd w:id="12"/>
      <w:r w:rsidRPr="00F900B0">
        <w:rPr>
          <w:rStyle w:val="bold"/>
        </w:rPr>
        <w:t>. Stworzył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DA31D1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DA31D1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DA31D1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8C3B49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Pr="00F900B0" w:rsidRDefault="0064726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 w:rsidRPr="00F900B0">
        <w:rPr>
          <w:rStyle w:val="bold"/>
        </w:rPr>
        <w:t xml:space="preserve"> Ektomorficy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3" w:name="_Toc470096680"/>
      <w:bookmarkStart w:id="14" w:name="_Toc470877515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3"/>
      <w:bookmarkEnd w:id="14"/>
      <w:proofErr w:type="spellEnd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5" w:name="_Toc470877516"/>
      <w:r>
        <w:t>ASP.NET.CORE</w:t>
      </w:r>
      <w:bookmarkEnd w:id="15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523CE9">
        <w:rPr>
          <w:rStyle w:val="bold"/>
        </w:rPr>
        <w:t>jest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6" w:name="_Toc470877517"/>
      <w:r w:rsidRPr="00CD6659">
        <w:lastRenderedPageBreak/>
        <w:t>Visual studio 2015</w:t>
      </w:r>
      <w:bookmarkEnd w:id="16"/>
      <w:r w:rsidRPr="00CD6659">
        <w:t xml:space="preserve"> </w:t>
      </w:r>
    </w:p>
    <w:p w:rsidR="00484010" w:rsidRDefault="0089782C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- </w:t>
      </w:r>
      <w:r w:rsidR="00160444">
        <w:rPr>
          <w:rStyle w:val="bold"/>
        </w:rPr>
        <w:t>Rozbudowa analizy</w:t>
      </w:r>
      <w:r>
        <w:rPr>
          <w:rStyle w:val="bold"/>
        </w:rPr>
        <w:t xml:space="preserve"> kod</w:t>
      </w:r>
      <w:r w:rsidR="00160444"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- Poprawa </w:t>
      </w:r>
      <w:r w:rsidR="00E56201">
        <w:rPr>
          <w:rStyle w:val="bold"/>
        </w:rPr>
        <w:t xml:space="preserve">narzędzia </w:t>
      </w:r>
      <w:r>
        <w:rPr>
          <w:rStyle w:val="bold"/>
        </w:rPr>
        <w:t>di</w:t>
      </w:r>
      <w:r w:rsidR="00E56201">
        <w:rPr>
          <w:rStyle w:val="bold"/>
        </w:rPr>
        <w:t>agnostykującego</w:t>
      </w:r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E56201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–</w:t>
      </w:r>
      <w:r w:rsidR="00484010" w:rsidRPr="006F3E09">
        <w:rPr>
          <w:rStyle w:val="bold"/>
        </w:rPr>
        <w:t xml:space="preserve"> CodeLens</w:t>
      </w:r>
      <w:r>
        <w:rPr>
          <w:rStyle w:val="bold"/>
        </w:rPr>
        <w:t xml:space="preserve"> dostępny tylko w wersji </w:t>
      </w:r>
      <w:r>
        <w:t xml:space="preserve">Professional </w:t>
      </w:r>
      <w:r>
        <w:rPr>
          <w:rStyle w:val="bold"/>
        </w:rPr>
        <w:t xml:space="preserve">oraz </w:t>
      </w:r>
      <w:r>
        <w:t>Enterprise visual studio.</w:t>
      </w:r>
      <w:r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7" w:name="_Toc470877518"/>
      <w:r w:rsidRPr="00CD6659">
        <w:lastRenderedPageBreak/>
        <w:t>Entity framework Core</w:t>
      </w:r>
      <w:bookmarkEnd w:id="17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proofErr w:type="spellStart"/>
      <w:r>
        <w:rPr>
          <w:lang w:val="en-US"/>
        </w:rPr>
        <w:t>Alternatywne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klucze</w:t>
      </w:r>
      <w:proofErr w:type="spellEnd"/>
      <w:r>
        <w:rPr>
          <w:lang w:val="en-US"/>
        </w:rPr>
        <w:t xml:space="preserve">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32381A" w:rsidRDefault="0032381A" w:rsidP="00742D40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r w:rsidRPr="0032381A">
        <w:rPr>
          <w:bCs/>
          <w:lang w:val="en-US"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030C9"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8" w:name="_Toc470877519"/>
      <w:r w:rsidRPr="00CD6659">
        <w:lastRenderedPageBreak/>
        <w:t>Git</w:t>
      </w:r>
      <w:r w:rsidR="001178D4">
        <w:t>H</w:t>
      </w:r>
      <w:r w:rsidRPr="00CD6659">
        <w:t>ub</w:t>
      </w:r>
      <w:bookmarkEnd w:id="18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19" w:name="_Toc470877520"/>
      <w:r w:rsidRPr="00CD6659">
        <w:t>SourceTree</w:t>
      </w:r>
      <w:bookmarkEnd w:id="19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0" w:name="_Toc470877521"/>
      <w:r w:rsidRPr="00CD6659">
        <w:lastRenderedPageBreak/>
        <w:t>Semantic UI</w:t>
      </w:r>
      <w:bookmarkEnd w:id="20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Każdy z nich ma swoje zalety i wady.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 osoób początkujących.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frontendem.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B0E5B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//todo napisac ze semantic bo aplikacja jest prosta ulatwienie pracy z nazwami klas </w:t>
      </w:r>
      <w:bookmarkStart w:id="21" w:name="_GoBack"/>
      <w:bookmarkEnd w:id="21"/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0877522"/>
      <w:r>
        <w:lastRenderedPageBreak/>
        <w:t>Implementacja</w:t>
      </w:r>
      <w:bookmarkEnd w:id="22"/>
    </w:p>
    <w:p w:rsidR="00910AFC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>implementacją architektury.</w:t>
      </w:r>
    </w:p>
    <w:p w:rsidR="001F3419" w:rsidRDefault="003456CD" w:rsidP="00767CFD">
      <w:pPr>
        <w:pStyle w:val="Heading2"/>
      </w:pPr>
      <w:bookmarkStart w:id="23" w:name="_Toc470096684"/>
      <w:bookmarkStart w:id="24" w:name="_Toc470877523"/>
      <w:r>
        <w:t>Struktura projektu</w:t>
      </w:r>
      <w:bookmarkEnd w:id="23"/>
      <w:bookmarkEnd w:id="24"/>
    </w:p>
    <w:p w:rsidR="001F3419" w:rsidRDefault="003456CD" w:rsidP="00F34EC0">
      <w:pPr>
        <w:spacing w:line="360" w:lineRule="auto"/>
        <w:ind w:left="0" w:right="-2"/>
      </w:pPr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2A7D97"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Aplikacja powstała na platformie </w:t>
      </w:r>
      <w:hyperlink r:id="rId26">
        <w:r w:rsidRPr="00F900B0">
          <w:rPr>
            <w:rStyle w:val="bold"/>
            <w:webHidden/>
          </w:rPr>
          <w:t>ASP.NET Core</w:t>
        </w:r>
      </w:hyperlink>
      <w:r w:rsidRPr="00F900B0">
        <w:rPr>
          <w:rStyle w:val="bold"/>
        </w:rPr>
        <w:t>.</w:t>
      </w:r>
      <w:r w:rsidR="000536F9" w:rsidRPr="00F900B0">
        <w:rPr>
          <w:rStyle w:val="bold"/>
        </w:rPr>
        <w:t>NET.</w:t>
      </w:r>
      <w:r w:rsidRPr="00F900B0">
        <w:rPr>
          <w:rStyle w:val="bold"/>
        </w:rPr>
        <w:t xml:space="preserve"> Architektura projektu opiera się na słynnym wzorcu architektonicznym MVC –Model-Widok-Kontroler.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1F3419" w:rsidRPr="00F900B0" w:rsidRDefault="00910AF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ab/>
      </w:r>
      <w:r w:rsidR="003456CD" w:rsidRPr="00F900B0">
        <w:rPr>
          <w:rStyle w:val="bold"/>
        </w:rPr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Metody GetModules pozwalająca na wydobycie wszystkich modułów ze struktury projektu.</w:t>
      </w:r>
    </w:p>
    <w:p w:rsidR="001F3419" w:rsidRDefault="00BB2EB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.85pt;margin-top:9.3pt;width:426.45pt;height:402.95pt;z-index:-251654144;mso-position-horizontal-relative:text;mso-position-vertical-relative:text;mso-width-relative:page;mso-height-relative:page">
            <v:imagedata r:id="rId27" o:title="2016-12-19 20_40_41-PersonalTrainer - Microsoft Visual Studio"/>
          </v:shape>
        </w:pict>
      </w:r>
    </w:p>
    <w:p w:rsidR="003A2E91" w:rsidRDefault="003A2E9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3A2E91" w:rsidRDefault="003A2E91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643869" w:rsidRDefault="00643869" w:rsidP="00F34EC0">
      <w:pPr>
        <w:spacing w:line="360" w:lineRule="auto"/>
        <w:ind w:left="0" w:right="-2"/>
      </w:pPr>
    </w:p>
    <w:p w:rsidR="002A7D97" w:rsidRDefault="00643869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 w:rsidR="002A7D97">
        <w:t xml:space="preserve">Rys3.0 Metoda pozyskująca informację na tematmodułów występujących </w:t>
      </w:r>
      <w:r w:rsidR="005650CE">
        <w:tab/>
      </w:r>
      <w:r w:rsidR="002A7D97">
        <w:t>w</w:t>
      </w:r>
      <w:r w:rsidR="005650CE">
        <w:t> </w:t>
      </w:r>
      <w:r w:rsidR="002A7D97">
        <w:t xml:space="preserve"> </w:t>
      </w:r>
      <w:r>
        <w:t xml:space="preserve">solucji </w:t>
      </w:r>
      <w:r>
        <w:tab/>
      </w:r>
      <w:r w:rsidR="002A7D97">
        <w:t>projektu.</w:t>
      </w:r>
    </w:p>
    <w:p w:rsidR="00910AFC" w:rsidRP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</w:p>
    <w:p w:rsidR="00910AFC" w:rsidRPr="00F900B0" w:rsidRDefault="00910A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Pr="00F900B0">
        <w:rPr>
          <w:rStyle w:val="bold"/>
        </w:rPr>
        <w:t>Podział na moduły został zaimplementowany przy pomocy klasy pomocniczej przechowująca informację dotyczące danego modułu.</w:t>
      </w:r>
    </w:p>
    <w:p w:rsidR="00910AFC" w:rsidRDefault="00BB2EB1" w:rsidP="00F34EC0">
      <w:pPr>
        <w:spacing w:before="0" w:after="0" w:line="360" w:lineRule="auto"/>
        <w:ind w:left="0" w:right="-2"/>
      </w:pPr>
      <w:r>
        <w:rPr>
          <w:noProof/>
        </w:rPr>
        <w:pict>
          <v:shape id="_x0000_s1027" type="#_x0000_t75" style="position:absolute;margin-left:57.5pt;margin-top:10.75pt;width:250.7pt;height:164.95pt;z-index:-251656192;mso-position-horizontal-relative:text;mso-position-vertical-relative:text;mso-width-relative:page;mso-height-relative:page">
            <v:imagedata r:id="rId28" o:title="2016-12-19 20_38_27-PersonalTrainer - Microsoft Visual Studio"/>
          </v:shape>
        </w:pict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A2E91" w:rsidRDefault="003A2E91" w:rsidP="00F34EC0">
      <w:pPr>
        <w:spacing w:line="360" w:lineRule="auto"/>
        <w:ind w:left="0" w:right="-2"/>
      </w:pPr>
    </w:p>
    <w:p w:rsidR="0009742C" w:rsidRPr="00F900B0" w:rsidRDefault="0009742C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Serwis MVC posiada zaimplementowany mechanizm AddApplicationPart dodający wyszukiwanie plików po dodatkowych plikach assembly. Dzięki temu w łatwy sposób możemy wpiąć lub wypiąć moduł w zależności od konfiguracji startowej aplikacji.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</w:t>
      </w:r>
      <w:r w:rsidR="0009742C" w:rsidRPr="00F900B0">
        <w:rPr>
          <w:rStyle w:val="bold"/>
        </w:rPr>
        <w:t xml:space="preserve"> i wdrożenia ich do serwisu MVC</w:t>
      </w:r>
      <w:r w:rsidRPr="00F900B0">
        <w:rPr>
          <w:rStyle w:val="bold"/>
        </w:rPr>
        <w:t>: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8. Dodanie listy do serwisu Mvc dostarczonego przez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0877524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 nawigacja za pomocą MapRoute występującego w serwisie MVC.</w:t>
      </w:r>
    </w:p>
    <w:p w:rsidR="001F3419" w:rsidRPr="00F900B0" w:rsidRDefault="00BB2EB1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5" type="#_x0000_t75" style="width:329.45pt;height:76.35pt">
            <v:imagedata r:id="rId29" o:title="2016-12-19 21_43_10-PersonalTrainer - Microsoft Visual Studio"/>
          </v:shape>
        </w:pict>
      </w:r>
    </w:p>
    <w:p w:rsidR="00B54F9C" w:rsidRDefault="00B54F9C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Został zdefiniowany szablon wraz ze startową ścieżką strony Home/Index.</w:t>
      </w:r>
    </w:p>
    <w:p w:rsidR="001F3419" w:rsidRPr="00F900B0" w:rsidRDefault="000445B4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Nawigacja w poszukiwaniu widoków została skonfigurowana za pomocą</w:t>
      </w:r>
      <w:r w:rsidR="005650CE" w:rsidRPr="00F900B0">
        <w:rPr>
          <w:rStyle w:val="bold"/>
        </w:rPr>
        <w:t xml:space="preserve"> 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BB2EB1" w:rsidP="00F900B0">
      <w:pPr>
        <w:spacing w:before="0" w:after="0" w:line="360" w:lineRule="auto"/>
        <w:ind w:left="0" w:right="-2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Style w:val="bold"/>
        </w:rPr>
        <w:pict>
          <v:shape id="_x0000_i1026" type="#_x0000_t75" style="width:6in;height:56.75pt">
            <v:imagedata r:id="rId30" o:title="2016-12-19 21_43_54-PersonalTrainer - Microsoft Visual Studio"/>
          </v:shape>
        </w:pict>
      </w:r>
    </w:p>
    <w:p w:rsidR="001F3419" w:rsidRPr="00DF4BAF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Oraz klasy </w:t>
      </w:r>
      <w:r w:rsidRPr="00F900B0">
        <w:rPr>
          <w:rStyle w:val="bold"/>
          <w:b/>
        </w:rPr>
        <w:t>ModuleViewLocationExpander</w:t>
      </w:r>
      <w:r w:rsidRPr="00F900B0">
        <w:rPr>
          <w:rStyle w:val="bold"/>
        </w:rPr>
        <w:t xml:space="preserve"> rozszerzającej wyszukiwanie.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0445B4" w:rsidRPr="000445B4" w:rsidRDefault="000445B4" w:rsidP="000445B4">
      <w:pPr>
        <w:spacing w:before="0" w:after="0" w:line="240" w:lineRule="auto"/>
        <w:ind w:left="0"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br w:type="page"/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BB2EB1" w:rsidP="00F34EC0">
      <w:pPr>
        <w:spacing w:line="360" w:lineRule="auto"/>
        <w:ind w:left="0" w:right="-2"/>
      </w:pPr>
      <w:r>
        <w:pict>
          <v:shape id="_x0000_i1027" type="#_x0000_t75" style="width:426.2pt;height:194.9pt">
            <v:imagedata r:id="rId32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0877525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Pr="003C094C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BB2EB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3" type="#_x0000_t75" style="position:absolute;margin-left:.2pt;margin-top:1pt;width:6in;height:55.3pt;z-index:-251652096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0877526"/>
      <w:r>
        <w:lastRenderedPageBreak/>
        <w:t>Szyfrowanie danych</w:t>
      </w:r>
      <w:bookmarkEnd w:id="29"/>
      <w:bookmarkEnd w:id="30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BB2EB1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pict>
          <v:shape id="_x0000_i1028" type="#_x0000_t75" style="width:430.55pt;height:180.3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EA070B" w:rsidRDefault="00EA070B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6717F6" w:rsidRDefault="00BB2EB1" w:rsidP="00F34EC0">
      <w:pPr>
        <w:pStyle w:val="ListParagraph"/>
        <w:spacing w:line="360" w:lineRule="auto"/>
        <w:ind w:left="0" w:right="-2"/>
      </w:pPr>
      <w:r>
        <w:pict>
          <v:shape id="_x0000_i1029" type="#_x0000_t75" style="width:426.2pt;height:196.35pt">
            <v:imagedata r:id="rId36" o:title="2016-12-20 21_27_34-PersonalTrainer - Microsoft Visual Studio"/>
          </v:shape>
        </w:pict>
      </w:r>
    </w:p>
    <w:p w:rsidR="006717F6" w:rsidRDefault="006717F6" w:rsidP="00F34EC0">
      <w:pPr>
        <w:pStyle w:val="ListParagraph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E873F7" w:rsidRDefault="00E873F7" w:rsidP="00E873F7">
      <w:pPr>
        <w:pStyle w:val="NoSpacing"/>
        <w:rPr>
          <w:rFonts w:eastAsia="Microsoft YaHei" w:cs="Mangal"/>
          <w:b w:val="0"/>
          <w:color w:val="5B9BD5" w:themeColor="accent1"/>
          <w:sz w:val="32"/>
          <w:szCs w:val="28"/>
        </w:rPr>
      </w:pPr>
      <w:bookmarkStart w:id="31" w:name="_Toc470877527"/>
      <w:bookmarkStart w:id="32" w:name="_Toc470096688"/>
      <w:r w:rsidRPr="00E873F7">
        <w:rPr>
          <w:rStyle w:val="ListLabel1"/>
        </w:rPr>
        <w:lastRenderedPageBreak/>
        <w:t>Podsumowanie</w:t>
      </w:r>
      <w:bookmarkEnd w:id="31"/>
      <w:r>
        <w:br w:type="page"/>
      </w:r>
    </w:p>
    <w:p w:rsidR="00F40FAD" w:rsidRPr="00E873F7" w:rsidRDefault="003456CD" w:rsidP="00E873F7">
      <w:pPr>
        <w:pStyle w:val="NoSpacing"/>
        <w:rPr>
          <w:rStyle w:val="ListLabel1"/>
          <w:webHidden/>
        </w:rPr>
      </w:pPr>
      <w:bookmarkStart w:id="33" w:name="_Toc470877528"/>
      <w:r w:rsidRPr="00E873F7">
        <w:rPr>
          <w:rStyle w:val="ListLabel1"/>
        </w:rPr>
        <w:lastRenderedPageBreak/>
        <w:t>Literatura</w:t>
      </w:r>
      <w:bookmarkEnd w:id="32"/>
      <w:bookmarkEnd w:id="33"/>
    </w:p>
    <w:p w:rsidR="001F3419" w:rsidRPr="00264F4B" w:rsidRDefault="003456CD" w:rsidP="00264F4B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7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9B0E5B" w:rsidP="00F34EC0">
      <w:pPr>
        <w:tabs>
          <w:tab w:val="left" w:pos="1470"/>
        </w:tabs>
        <w:spacing w:line="360" w:lineRule="auto"/>
        <w:ind w:left="0" w:right="-2"/>
      </w:pPr>
      <w:hyperlink r:id="rId38" w:history="1">
        <w:r w:rsidRPr="000562BF">
          <w:rPr>
            <w:rStyle w:val="Hyperlink"/>
          </w:rPr>
          <w:t>http://software-engineer-training.com/git-vs-svn-which-is-better/</w:t>
        </w:r>
      </w:hyperlink>
    </w:p>
    <w:p w:rsidR="009B0E5B" w:rsidRDefault="009B0E5B" w:rsidP="00F34EC0">
      <w:pPr>
        <w:tabs>
          <w:tab w:val="left" w:pos="1470"/>
        </w:tabs>
        <w:spacing w:line="360" w:lineRule="auto"/>
        <w:ind w:left="0" w:right="-2"/>
      </w:pPr>
      <w:r w:rsidRPr="009B0E5B">
        <w:t>https://www.keycdn.com/blog/front-end-frameworks/#1-Bootstrap</w:t>
      </w:r>
    </w:p>
    <w:sectPr w:rsidR="009B0E5B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772" w:rsidRDefault="00E84772" w:rsidP="00A42A71">
      <w:pPr>
        <w:spacing w:before="0" w:after="0" w:line="240" w:lineRule="auto"/>
      </w:pPr>
      <w:r>
        <w:separator/>
      </w:r>
    </w:p>
  </w:endnote>
  <w:endnote w:type="continuationSeparator" w:id="0">
    <w:p w:rsidR="00E84772" w:rsidRDefault="00E84772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B1" w:rsidRDefault="00BB2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B1" w:rsidRDefault="00BB2E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EB1" w:rsidRDefault="00BB2E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BB2EB1" w:rsidRDefault="00BB2EB1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EB1" w:rsidRDefault="00BB2E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E5B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BB2EB1" w:rsidRDefault="00BB2EB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EB1" w:rsidRDefault="00BB2E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BB2EB1" w:rsidRDefault="00BB2EB1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2EB1" w:rsidRDefault="00BB2E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E5B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BB2EB1" w:rsidRDefault="00BB2EB1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772" w:rsidRDefault="00E84772" w:rsidP="00A42A71">
      <w:pPr>
        <w:spacing w:before="0" w:after="0" w:line="240" w:lineRule="auto"/>
      </w:pPr>
      <w:r>
        <w:separator/>
      </w:r>
    </w:p>
  </w:footnote>
  <w:footnote w:type="continuationSeparator" w:id="0">
    <w:p w:rsidR="00E84772" w:rsidRDefault="00E84772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B1" w:rsidRDefault="00BB2E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B1" w:rsidRDefault="00BB2E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B1" w:rsidRDefault="00BB2E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EB1" w:rsidRDefault="00BB2E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36937E0"/>
    <w:multiLevelType w:val="multilevel"/>
    <w:tmpl w:val="EE9EDAAA"/>
    <w:numStyleLink w:val="Styldlarozdziaw"/>
  </w:abstractNum>
  <w:abstractNum w:abstractNumId="5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7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2"/>
  </w:num>
  <w:num w:numId="5">
    <w:abstractNumId w:val="0"/>
  </w:num>
  <w:num w:numId="6">
    <w:abstractNumId w:val="19"/>
  </w:num>
  <w:num w:numId="7">
    <w:abstractNumId w:val="23"/>
  </w:num>
  <w:num w:numId="8">
    <w:abstractNumId w:val="3"/>
  </w:num>
  <w:num w:numId="9">
    <w:abstractNumId w:val="18"/>
  </w:num>
  <w:num w:numId="10">
    <w:abstractNumId w:val="10"/>
  </w:num>
  <w:num w:numId="11">
    <w:abstractNumId w:val="16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5"/>
  </w:num>
  <w:num w:numId="17">
    <w:abstractNumId w:val="21"/>
  </w:num>
  <w:num w:numId="18">
    <w:abstractNumId w:val="20"/>
  </w:num>
  <w:num w:numId="19">
    <w:abstractNumId w:val="17"/>
  </w:num>
  <w:num w:numId="20">
    <w:abstractNumId w:val="24"/>
  </w:num>
  <w:num w:numId="21">
    <w:abstractNumId w:val="13"/>
  </w:num>
  <w:num w:numId="22">
    <w:abstractNumId w:val="1"/>
  </w:num>
  <w:num w:numId="23">
    <w:abstractNumId w:val="4"/>
  </w:num>
  <w:num w:numId="24">
    <w:abstractNumId w:val="6"/>
  </w:num>
  <w:num w:numId="25">
    <w:abstractNumId w:val="14"/>
  </w:num>
  <w:num w:numId="2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73E33"/>
    <w:rsid w:val="000876D2"/>
    <w:rsid w:val="0009742C"/>
    <w:rsid w:val="001178D4"/>
    <w:rsid w:val="00124FC8"/>
    <w:rsid w:val="0015304A"/>
    <w:rsid w:val="00154DC2"/>
    <w:rsid w:val="00160444"/>
    <w:rsid w:val="001B545D"/>
    <w:rsid w:val="001F3419"/>
    <w:rsid w:val="00204579"/>
    <w:rsid w:val="00213783"/>
    <w:rsid w:val="002413C7"/>
    <w:rsid w:val="00264F4B"/>
    <w:rsid w:val="002A7D97"/>
    <w:rsid w:val="002B3BD8"/>
    <w:rsid w:val="0030598B"/>
    <w:rsid w:val="003077EF"/>
    <w:rsid w:val="0032381A"/>
    <w:rsid w:val="003244F6"/>
    <w:rsid w:val="00330F57"/>
    <w:rsid w:val="003456CD"/>
    <w:rsid w:val="00385D15"/>
    <w:rsid w:val="003868B5"/>
    <w:rsid w:val="00393C59"/>
    <w:rsid w:val="003A2E91"/>
    <w:rsid w:val="003A3096"/>
    <w:rsid w:val="003A5981"/>
    <w:rsid w:val="003A6887"/>
    <w:rsid w:val="003A710B"/>
    <w:rsid w:val="003C094C"/>
    <w:rsid w:val="003E40C8"/>
    <w:rsid w:val="004303C0"/>
    <w:rsid w:val="004373C1"/>
    <w:rsid w:val="00451372"/>
    <w:rsid w:val="00463009"/>
    <w:rsid w:val="00463EC2"/>
    <w:rsid w:val="00484010"/>
    <w:rsid w:val="0049181A"/>
    <w:rsid w:val="004B360A"/>
    <w:rsid w:val="004D465C"/>
    <w:rsid w:val="004F406F"/>
    <w:rsid w:val="00523CE9"/>
    <w:rsid w:val="0052550E"/>
    <w:rsid w:val="00540748"/>
    <w:rsid w:val="00544610"/>
    <w:rsid w:val="005650CE"/>
    <w:rsid w:val="0056741D"/>
    <w:rsid w:val="00594AE1"/>
    <w:rsid w:val="005C029C"/>
    <w:rsid w:val="005E66EC"/>
    <w:rsid w:val="005E67A6"/>
    <w:rsid w:val="00631D1A"/>
    <w:rsid w:val="00642627"/>
    <w:rsid w:val="00643869"/>
    <w:rsid w:val="0064726D"/>
    <w:rsid w:val="006610D0"/>
    <w:rsid w:val="006717F6"/>
    <w:rsid w:val="00673C01"/>
    <w:rsid w:val="006A4E47"/>
    <w:rsid w:val="006B6A33"/>
    <w:rsid w:val="006D0654"/>
    <w:rsid w:val="006E5626"/>
    <w:rsid w:val="006E7148"/>
    <w:rsid w:val="006F3E09"/>
    <w:rsid w:val="00710ACC"/>
    <w:rsid w:val="00742EF4"/>
    <w:rsid w:val="00767CFD"/>
    <w:rsid w:val="007B3E13"/>
    <w:rsid w:val="007F4D2C"/>
    <w:rsid w:val="007F70A3"/>
    <w:rsid w:val="008030C9"/>
    <w:rsid w:val="00846292"/>
    <w:rsid w:val="0087565C"/>
    <w:rsid w:val="008815C5"/>
    <w:rsid w:val="008949E7"/>
    <w:rsid w:val="0089782C"/>
    <w:rsid w:val="008A03EB"/>
    <w:rsid w:val="008A6D03"/>
    <w:rsid w:val="008A7CEB"/>
    <w:rsid w:val="008C3B49"/>
    <w:rsid w:val="008D42E9"/>
    <w:rsid w:val="008F5B53"/>
    <w:rsid w:val="00910AFC"/>
    <w:rsid w:val="00943CFB"/>
    <w:rsid w:val="00962B7F"/>
    <w:rsid w:val="009A0824"/>
    <w:rsid w:val="009B0E5B"/>
    <w:rsid w:val="009B4E6B"/>
    <w:rsid w:val="009F75C2"/>
    <w:rsid w:val="00A142F6"/>
    <w:rsid w:val="00A42A71"/>
    <w:rsid w:val="00AB0335"/>
    <w:rsid w:val="00AE30BC"/>
    <w:rsid w:val="00AE50A5"/>
    <w:rsid w:val="00B54F9C"/>
    <w:rsid w:val="00B64A31"/>
    <w:rsid w:val="00B8148D"/>
    <w:rsid w:val="00B93832"/>
    <w:rsid w:val="00B975DB"/>
    <w:rsid w:val="00BB1810"/>
    <w:rsid w:val="00BB2EB1"/>
    <w:rsid w:val="00BB38C2"/>
    <w:rsid w:val="00BB5C75"/>
    <w:rsid w:val="00BE2C74"/>
    <w:rsid w:val="00C7047A"/>
    <w:rsid w:val="00C74AEF"/>
    <w:rsid w:val="00C750CA"/>
    <w:rsid w:val="00C90BB3"/>
    <w:rsid w:val="00C90F73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57CC"/>
    <w:rsid w:val="00D80AA0"/>
    <w:rsid w:val="00D84887"/>
    <w:rsid w:val="00DA31D1"/>
    <w:rsid w:val="00DD0E52"/>
    <w:rsid w:val="00DF4BAF"/>
    <w:rsid w:val="00E26728"/>
    <w:rsid w:val="00E5099A"/>
    <w:rsid w:val="00E56201"/>
    <w:rsid w:val="00E773FC"/>
    <w:rsid w:val="00E84772"/>
    <w:rsid w:val="00E873F7"/>
    <w:rsid w:val="00EA070B"/>
    <w:rsid w:val="00F0207D"/>
    <w:rsid w:val="00F0407B"/>
    <w:rsid w:val="00F06889"/>
    <w:rsid w:val="00F172BC"/>
    <w:rsid w:val="00F26AB9"/>
    <w:rsid w:val="00F34EC0"/>
    <w:rsid w:val="00F36A38"/>
    <w:rsid w:val="00F40FAD"/>
    <w:rsid w:val="00F6749A"/>
    <w:rsid w:val="00F900B0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D1C0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B93832"/>
    <w:pPr>
      <w:numPr>
        <w:ilvl w:val="1"/>
        <w:numId w:val="13"/>
      </w:numPr>
      <w:spacing w:after="360"/>
      <w:ind w:left="1068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31D1A"/>
    <w:pPr>
      <w:numPr>
        <w:numId w:val="13"/>
      </w:numPr>
      <w:suppressLineNumbers/>
      <w:spacing w:before="120" w:after="48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B93832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52550E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hyperlink" Target="http://software-engineer-training.com/git-vs-svn-which-is-bet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hyperlink" Target="http://antropologia-fizyczna.pl/antropometria/typy-budowy-ciala/somatotypy-wg-sheldon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B2BBA-FC14-4716-90BC-5EEA207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29</Pages>
  <Words>3971</Words>
  <Characters>23831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253</cp:revision>
  <dcterms:created xsi:type="dcterms:W3CDTF">2016-11-11T09:14:00Z</dcterms:created>
  <dcterms:modified xsi:type="dcterms:W3CDTF">2016-12-31T15:24:00Z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