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r w:rsidR="00D13FE8">
        <w:fldChar w:fldCharType="begin"/>
      </w:r>
      <w:r w:rsidR="00D13FE8">
        <w:instrText xml:space="preserve"> HYPERLINK "http://eksperci.polsl.pl/eksperci/szczegoly.php?scbpos=&amp;eid=1154&amp;" \h </w:instrText>
      </w:r>
      <w:r w:rsidR="00D13FE8">
        <w:fldChar w:fldCharType="separate"/>
      </w:r>
      <w:r w:rsidRPr="00DF4BAF">
        <w:rPr>
          <w:rStyle w:val="czeinternetowe"/>
          <w:rFonts w:ascii="Cambria" w:hAnsi="Cambria"/>
          <w:color w:val="000000"/>
          <w:sz w:val="26"/>
          <w:szCs w:val="26"/>
          <w:u w:val="none"/>
        </w:rPr>
        <w:t>dr inż. Bożena Wieczorek</w:t>
      </w:r>
      <w:r w:rsidR="00D13FE8">
        <w:rPr>
          <w:rStyle w:val="czeinternetowe"/>
          <w:rFonts w:ascii="Cambria" w:hAnsi="Cambria"/>
          <w:color w:val="000000"/>
          <w:sz w:val="26"/>
          <w:szCs w:val="26"/>
          <w:u w:val="none"/>
        </w:rPr>
        <w:fldChar w:fldCharType="end"/>
      </w:r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  <w:bookmarkStart w:id="0" w:name="_GoBack"/>
      <w:bookmarkEnd w:id="0"/>
    </w:p>
    <w:p w:rsidR="00B8148D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8148D">
        <w:rPr>
          <w:noProof/>
        </w:rPr>
        <w:t>Słownik pojęć</w:t>
      </w:r>
      <w:r w:rsidR="00B8148D">
        <w:rPr>
          <w:noProof/>
        </w:rPr>
        <w:tab/>
      </w:r>
      <w:r w:rsidR="00B8148D">
        <w:rPr>
          <w:noProof/>
        </w:rPr>
        <w:fldChar w:fldCharType="begin"/>
      </w:r>
      <w:r w:rsidR="00B8148D">
        <w:rPr>
          <w:noProof/>
        </w:rPr>
        <w:instrText xml:space="preserve"> PAGEREF _Toc470097177 \h </w:instrText>
      </w:r>
      <w:r w:rsidR="00B8148D">
        <w:rPr>
          <w:noProof/>
        </w:rPr>
      </w:r>
      <w:r w:rsidR="00B8148D">
        <w:rPr>
          <w:noProof/>
        </w:rPr>
        <w:fldChar w:fldCharType="separate"/>
      </w:r>
      <w:r w:rsidR="00B8148D">
        <w:rPr>
          <w:noProof/>
        </w:rPr>
        <w:t>- 3 -</w:t>
      </w:r>
      <w:r w:rsidR="00B8148D">
        <w:rPr>
          <w:noProof/>
        </w:rPr>
        <w:fldChar w:fldCharType="end"/>
      </w:r>
    </w:p>
    <w:p w:rsidR="00B8148D" w:rsidRDefault="00B8148D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B8148D" w:rsidRDefault="00B8148D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- 19 -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B8148D" w:rsidRDefault="00B8148D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_Toc470097188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1" w:name="_Toc470097177"/>
      <w:r w:rsidRPr="00385D15">
        <w:rPr>
          <w:rStyle w:val="ListLabel1"/>
        </w:rPr>
        <w:lastRenderedPageBreak/>
        <w:t>Słownik pojęć</w:t>
      </w:r>
      <w:bookmarkEnd w:id="1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lastRenderedPageBreak/>
        <w:t>D</w:t>
      </w:r>
      <w:r w:rsidR="003456CD" w:rsidRPr="003A6887">
        <w:rPr>
          <w:rStyle w:val="bold"/>
        </w:rPr>
        <w:t>ll</w:t>
      </w:r>
      <w:r w:rsidRPr="003A6887">
        <w:rPr>
          <w:rStyle w:val="bold"/>
        </w:rPr>
        <w:t xml:space="preserve"> (Dynamic-Link Library) -</w:t>
      </w:r>
      <w:r w:rsidR="003456CD" w:rsidRPr="003A6887">
        <w:rPr>
          <w:rStyle w:val="bold"/>
        </w:rPr>
        <w:t xml:space="preserve"> </w:t>
      </w:r>
      <w:hyperlink r:id="rId15">
        <w:r w:rsidR="009F75C2" w:rsidRPr="003A6887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6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7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8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19">
        <w:r w:rsidR="003456CD" w:rsidRPr="003A6887">
          <w:rPr>
            <w:rStyle w:val="bold"/>
            <w:webHidden/>
          </w:rPr>
          <w:t>zasoby programu</w:t>
        </w:r>
      </w:hyperlink>
    </w:p>
    <w:p w:rsidR="00F34EC0" w:rsidRPr="00631D1A" w:rsidRDefault="003456CD" w:rsidP="00631D1A">
      <w:pPr>
        <w:pStyle w:val="Caption"/>
      </w:pPr>
      <w:bookmarkStart w:id="2" w:name="_Toc466799711"/>
      <w:bookmarkStart w:id="3" w:name="_Toc470097178"/>
      <w:bookmarkEnd w:id="2"/>
      <w:r w:rsidRPr="00631D1A">
        <w:lastRenderedPageBreak/>
        <w:t>Wstęp</w:t>
      </w:r>
      <w:bookmarkEnd w:id="3"/>
    </w:p>
    <w:p w:rsidR="001F3419" w:rsidRPr="003A6887" w:rsidRDefault="003456CD" w:rsidP="00F34EC0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A42A71" w:rsidRPr="00594AE1" w:rsidRDefault="003456CD" w:rsidP="00631D1A">
      <w:pPr>
        <w:pStyle w:val="Heading2"/>
      </w:pPr>
      <w:bookmarkStart w:id="5" w:name="_Toc470096680"/>
      <w:bookmarkStart w:id="6" w:name="_Toc470097179"/>
      <w:r w:rsidRPr="00594AE1">
        <w:lastRenderedPageBreak/>
        <w:t>T</w:t>
      </w:r>
      <w:bookmarkEnd w:id="4"/>
      <w:r w:rsidRPr="00594AE1">
        <w:t>echnologie użyte w projekcie</w:t>
      </w:r>
      <w:bookmarkEnd w:id="5"/>
      <w:bookmarkEnd w:id="6"/>
    </w:p>
    <w:p w:rsidR="006A4E47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Visual studio 2015</w:t>
      </w:r>
      <w:r w:rsidR="006A4E47" w:rsidRPr="003A6887">
        <w:rPr>
          <w:rStyle w:val="bold"/>
        </w:rPr>
        <w:t xml:space="preserve"> - </w:t>
      </w:r>
      <w:r w:rsidR="006A4E47" w:rsidRPr="003A6887">
        <w:rPr>
          <w:rStyle w:val="bold"/>
        </w:rPr>
        <w:fldChar w:fldCharType="begin"/>
      </w:r>
      <w:r w:rsidR="006A4E47" w:rsidRPr="003A6887">
        <w:rPr>
          <w:rStyle w:val="bold"/>
        </w:rPr>
        <w:instrText xml:space="preserve"> HYPERLINK "https://pl.wikipedia.org/wiki/Zintegrowane_%C5%9Brodowisko_programistyczne" \o "Zintegrowane środowisko programistyczne" </w:instrText>
      </w:r>
      <w:r w:rsidR="006A4E47" w:rsidRPr="003A6887">
        <w:rPr>
          <w:rStyle w:val="bold"/>
        </w:rPr>
        <w:fldChar w:fldCharType="separate"/>
      </w:r>
      <w:r w:rsidR="009F75C2" w:rsidRPr="003A6887">
        <w:rPr>
          <w:rStyle w:val="bold"/>
        </w:rPr>
        <w:t>Z</w:t>
      </w:r>
      <w:r w:rsidR="006A4E47" w:rsidRPr="003A6887">
        <w:rPr>
          <w:rStyle w:val="bold"/>
        </w:rPr>
        <w:t>integrowane środowisko</w:t>
      </w:r>
    </w:p>
    <w:p w:rsidR="001F3419" w:rsidRPr="003A6887" w:rsidRDefault="006A4E47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programistyczne</w:t>
      </w:r>
      <w:r w:rsidRPr="003A6887">
        <w:rPr>
          <w:rStyle w:val="bold"/>
        </w:rPr>
        <w:fldChar w:fldCharType="end"/>
      </w:r>
      <w:r w:rsidR="009F75C2" w:rsidRPr="003A6887">
        <w:rPr>
          <w:rStyle w:val="bold"/>
        </w:rPr>
        <w:t xml:space="preserve"> (IDE)</w:t>
      </w:r>
      <w:r w:rsidRPr="003A6887">
        <w:rPr>
          <w:rStyle w:val="bold"/>
        </w:rPr>
        <w:t xml:space="preserve"> firmy </w:t>
      </w:r>
      <w:hyperlink r:id="rId20" w:tooltip="Microsoft" w:history="1">
        <w:r w:rsidRPr="003A6887">
          <w:rPr>
            <w:rStyle w:val="bold"/>
          </w:rPr>
          <w:t>Microsoft</w:t>
        </w:r>
      </w:hyperlink>
      <w:r w:rsidRPr="003A6887">
        <w:rPr>
          <w:rStyle w:val="bold"/>
        </w:rPr>
        <w:t>. Jest używane do tworzeni</w:t>
      </w:r>
      <w:r w:rsidR="009F75C2" w:rsidRPr="003A6887">
        <w:rPr>
          <w:rStyle w:val="bold"/>
        </w:rPr>
        <w:t>a oprogramowania konsolowego jak i graficznego czy webowego.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Github – Odpowiedzialny za kontrolowanie wersji </w:t>
      </w:r>
      <w:r w:rsidRPr="003A6887">
        <w:rPr>
          <w:rStyle w:val="bold"/>
        </w:rPr>
        <w:tab/>
        <w:t>projektu i wszystkich zmian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nim związanych.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SourceTree – Narzędzie pomocnicze pozwalające na </w:t>
      </w:r>
      <w:r w:rsidRPr="003A6887">
        <w:rPr>
          <w:rStyle w:val="bold"/>
        </w:rPr>
        <w:tab/>
        <w:t xml:space="preserve">lepszą wizualizację i 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przyśpieszenie pracy związanej z </w:t>
      </w:r>
      <w:r w:rsidRPr="003A6887">
        <w:rPr>
          <w:rStyle w:val="bold"/>
        </w:rPr>
        <w:tab/>
        <w:t>kontrolowaniem wersji projektu.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ASP.NET.Core 1.0 – </w:t>
      </w:r>
      <w:r w:rsidR="009F75C2" w:rsidRPr="003A6887">
        <w:rPr>
          <w:rStyle w:val="bold"/>
        </w:rPr>
        <w:t>N</w:t>
      </w:r>
      <w:r w:rsidRPr="003A6887">
        <w:rPr>
          <w:rStyle w:val="bold"/>
        </w:rPr>
        <w:t xml:space="preserve">owy framework firmy </w:t>
      </w:r>
      <w:r w:rsidRPr="003A6887">
        <w:rPr>
          <w:rStyle w:val="bold"/>
        </w:rPr>
        <w:tab/>
        <w:t>Microsoft, którego głównymi założeniami są: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Otwarte oprogramowanie (Open-Source). Jest to bardzo </w:t>
      </w:r>
      <w:r w:rsidRPr="003A6887">
        <w:rPr>
          <w:rStyle w:val="bold"/>
        </w:rPr>
        <w:tab/>
        <w:t xml:space="preserve">korzystne dla rozwoju projektu. Każdy użytkownik może </w:t>
      </w:r>
      <w:r w:rsidRPr="003A6887">
        <w:rPr>
          <w:rStyle w:val="bold"/>
        </w:rPr>
        <w:tab/>
        <w:t xml:space="preserve">mieć wpływ na kod źródłowy co przyczyni się do </w:t>
      </w:r>
      <w:r w:rsidRPr="003A6887">
        <w:rPr>
          <w:rStyle w:val="bold"/>
        </w:rPr>
        <w:tab/>
        <w:t xml:space="preserve">większej niezawodności oraz optymalizacji </w:t>
      </w:r>
      <w:r w:rsidRPr="003A6887">
        <w:rPr>
          <w:rStyle w:val="bold"/>
        </w:rPr>
        <w:tab/>
        <w:t>oprogramowania.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Obsługa multi platformowa dzięki czemu nie tylko </w:t>
      </w:r>
      <w:r w:rsidRPr="003A6887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ab/>
      </w:r>
      <w:r w:rsidR="009F75C2" w:rsidRPr="003A6887">
        <w:rPr>
          <w:rStyle w:val="bold"/>
        </w:rPr>
        <w:t xml:space="preserve">mogli pracować </w:t>
      </w:r>
      <w:r w:rsidRPr="003A6887">
        <w:rPr>
          <w:rStyle w:val="bold"/>
        </w:rPr>
        <w:t>z frameworkiem.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Modularność poprzez paczki NuGeta. Umożliwia </w:t>
      </w:r>
      <w:r w:rsidRPr="003A6887">
        <w:rPr>
          <w:rStyle w:val="bold"/>
        </w:rPr>
        <w:tab/>
        <w:t xml:space="preserve">wstrzykiwanie do projektu tylko tych modułów, które są </w:t>
      </w:r>
      <w:r w:rsidRPr="003A6887">
        <w:rPr>
          <w:rStyle w:val="bold"/>
        </w:rPr>
        <w:tab/>
        <w:t xml:space="preserve">potrzebne. Możliwość wyłączenia nawet podstawowych </w:t>
      </w:r>
      <w:r w:rsidRPr="003A6887">
        <w:rPr>
          <w:rStyle w:val="bold"/>
        </w:rPr>
        <w:tab/>
        <w:t xml:space="preserve">funkcjonalności min. sesji, MVC czy też używanie </w:t>
      </w:r>
      <w:r w:rsidRPr="003A6887">
        <w:rPr>
          <w:rStyle w:val="bold"/>
        </w:rPr>
        <w:tab/>
        <w:t>plików statycznych. Poz</w:t>
      </w:r>
      <w:r w:rsidR="00F34EC0" w:rsidRPr="003A6887">
        <w:rPr>
          <w:rStyle w:val="bold"/>
        </w:rPr>
        <w:t xml:space="preserve">wala to na przyśpieszenia pracy </w:t>
      </w:r>
      <w:r w:rsidR="00F34EC0" w:rsidRPr="003A6887">
        <w:rPr>
          <w:rStyle w:val="bold"/>
        </w:rPr>
        <w:tab/>
      </w:r>
      <w:r w:rsidRPr="003A6887">
        <w:rPr>
          <w:rStyle w:val="bold"/>
        </w:rPr>
        <w:t xml:space="preserve">jak i kompilacji samego frameworka poprzez usunięcie </w:t>
      </w:r>
      <w:r w:rsidRPr="003A6887">
        <w:rPr>
          <w:rStyle w:val="bold"/>
        </w:rPr>
        <w:tab/>
        <w:t>zbędnego kodu.</w:t>
      </w:r>
    </w:p>
    <w:p w:rsidR="001F3419" w:rsidRPr="003A6887" w:rsidRDefault="003456CD" w:rsidP="003A6887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Semantic UI – Narz</w:t>
      </w:r>
      <w:r w:rsidR="00F06889" w:rsidRPr="003A6887">
        <w:rPr>
          <w:rStyle w:val="bold"/>
        </w:rPr>
        <w:t xml:space="preserve">ędzie deweloperskie służące do </w:t>
      </w:r>
      <w:r w:rsidRPr="003A6887">
        <w:rPr>
          <w:rStyle w:val="bold"/>
        </w:rPr>
        <w:t>pomocy w tworzeniu ładnego,</w:t>
      </w:r>
      <w:r w:rsidR="00D07C2F" w:rsidRPr="003A6887">
        <w:rPr>
          <w:rStyle w:val="bold"/>
        </w:rPr>
        <w:t xml:space="preserve"> </w:t>
      </w:r>
      <w:r w:rsidRPr="003A6887">
        <w:rPr>
          <w:rStyle w:val="bold"/>
        </w:rPr>
        <w:t xml:space="preserve">responsywnego układu </w:t>
      </w:r>
      <w:r w:rsidRPr="003A6887">
        <w:rPr>
          <w:rStyle w:val="bold"/>
        </w:rPr>
        <w:tab/>
        <w:t>strony.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74AEF" w:rsidRPr="003A6887" w:rsidRDefault="003456CD" w:rsidP="003A6887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  <w:sectPr w:rsidR="00C74AEF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 xml:space="preserve">Entity framework Core – Lekkie, rozszerzalne i multi </w:t>
      </w:r>
      <w:r w:rsidRPr="003A6887">
        <w:rPr>
          <w:rStyle w:val="bold"/>
        </w:rPr>
        <w:tab/>
        <w:t xml:space="preserve">platformowe narzędzie bazujące na Entity Framework. </w:t>
      </w:r>
      <w:r w:rsidRPr="003A6887">
        <w:rPr>
          <w:rStyle w:val="bold"/>
        </w:rPr>
        <w:tab/>
        <w:t>Pozwala na odtworzeniu relacji w bazie danyc</w:t>
      </w:r>
      <w:r w:rsidR="00C74AEF" w:rsidRPr="003A6887">
        <w:rPr>
          <w:rStyle w:val="bold"/>
        </w:rPr>
        <w:t xml:space="preserve">h za </w:t>
      </w:r>
      <w:r w:rsidR="00C74AEF" w:rsidRPr="003A6887">
        <w:rPr>
          <w:rStyle w:val="bold"/>
        </w:rPr>
        <w:tab/>
        <w:t>pomocą modeli w aplikacj</w:t>
      </w:r>
    </w:p>
    <w:p w:rsidR="001F3419" w:rsidRDefault="003456CD" w:rsidP="00631D1A">
      <w:pPr>
        <w:pStyle w:val="h3"/>
      </w:pPr>
      <w:r>
        <w:lastRenderedPageBreak/>
        <w:t>Sposób liczenia makroskładników</w:t>
      </w:r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ab/>
        <w:t>Dla osób ćwiczących podstawowymi dietami wynikającymi z  podziału makroskładników są:</w:t>
      </w:r>
    </w:p>
    <w:p w:rsidR="001F3419" w:rsidRPr="003A6887" w:rsidRDefault="003456CD" w:rsidP="003A6887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3A6887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1F3419" w:rsidP="003A6887">
      <w:pPr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0097180"/>
      <w:r>
        <w:lastRenderedPageBreak/>
        <w:t>Zapotrzebowanie kaloryczne.</w:t>
      </w:r>
      <w:bookmarkEnd w:id="7"/>
      <w:bookmarkEnd w:id="8"/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1F3419" w:rsidRPr="00F900B0" w:rsidRDefault="003456CD" w:rsidP="00F900B0">
      <w:pPr>
        <w:pStyle w:val="NormalWeb"/>
        <w:numPr>
          <w:ilvl w:val="0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1F3419" w:rsidRPr="00F900B0" w:rsidRDefault="003456CD" w:rsidP="00F900B0">
      <w:pPr>
        <w:pStyle w:val="NormalWeb"/>
        <w:numPr>
          <w:ilvl w:val="1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F900B0">
      <w:pPr>
        <w:pStyle w:val="NormalWeb"/>
        <w:numPr>
          <w:ilvl w:val="1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F900B0">
      <w:pPr>
        <w:pStyle w:val="NormalWeb"/>
        <w:numPr>
          <w:ilvl w:val="0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F900B0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3C094C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  <w:lang w:val="en-US"/>
        </w:rPr>
      </w:pPr>
      <w:r w:rsidRPr="003C094C"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 w:rsidRPr="003C094C">
        <w:rPr>
          <w:rStyle w:val="bold"/>
          <w:rFonts w:eastAsiaTheme="majorEastAsia"/>
          <w:lang w:val="en-US"/>
        </w:rPr>
        <w:tab/>
        <w:t xml:space="preserve">+ 5 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F900B0">
      <w:pPr>
        <w:pStyle w:val="NormalWeb"/>
        <w:numPr>
          <w:ilvl w:val="0"/>
          <w:numId w:val="9"/>
        </w:numPr>
        <w:spacing w:before="100" w:after="100" w:line="360" w:lineRule="auto"/>
        <w:ind w:left="0" w:right="-2" w:firstLine="0"/>
        <w:jc w:val="both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0097181"/>
      <w:r>
        <w:lastRenderedPageBreak/>
        <w:t>Postrzeganie Kalorii</w:t>
      </w:r>
      <w:bookmarkEnd w:id="9"/>
      <w:bookmarkEnd w:id="10"/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Sa też zwolenicy min. prof. Thomas Sanders z King's College London, który uważa, że kaloria to kaloria.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0097182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Herbert Sheldon, Jr – Urodzony 19 listopada 1898, zmarł 17 września 1977 roku. Był amerykańskim psychologiem</w:t>
      </w:r>
      <w:bookmarkStart w:id="13" w:name="__DdeLink__2121_61814216"/>
      <w:bookmarkEnd w:id="13"/>
      <w:r w:rsidRPr="00F900B0">
        <w:rPr>
          <w:rStyle w:val="bold"/>
        </w:rPr>
        <w:t>. Stworzył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8C3B49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Pr="00F900B0" w:rsidRDefault="0064726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C74AEF" w:rsidRDefault="00C74AEF" w:rsidP="00F34EC0">
      <w:pPr>
        <w:pStyle w:val="BodyText"/>
        <w:tabs>
          <w:tab w:val="left" w:pos="0"/>
        </w:tabs>
        <w:spacing w:before="30" w:after="160" w:line="360" w:lineRule="auto"/>
        <w:ind w:left="0" w:right="-2"/>
        <w:sectPr w:rsidR="00C74AEF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14" w:name="_Toc470097183"/>
      <w:r>
        <w:lastRenderedPageBreak/>
        <w:t>Implementacja</w:t>
      </w:r>
      <w:bookmarkEnd w:id="14"/>
    </w:p>
    <w:p w:rsidR="00910AFC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>implementacją architektury.</w:t>
      </w:r>
    </w:p>
    <w:p w:rsidR="001F3419" w:rsidRDefault="003456CD" w:rsidP="00767CFD">
      <w:pPr>
        <w:pStyle w:val="Heading2"/>
      </w:pPr>
      <w:bookmarkStart w:id="15" w:name="_Toc470096684"/>
      <w:bookmarkStart w:id="16" w:name="_Toc470097184"/>
      <w:r>
        <w:t>Struktura projektu</w:t>
      </w:r>
      <w:bookmarkEnd w:id="15"/>
      <w:bookmarkEnd w:id="16"/>
    </w:p>
    <w:p w:rsidR="001F3419" w:rsidRDefault="003456CD" w:rsidP="00F34EC0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Aplikacja powstała na platformie </w:t>
      </w:r>
      <w:hyperlink r:id="rId26">
        <w:r w:rsidRPr="00F900B0">
          <w:rPr>
            <w:rStyle w:val="bold"/>
            <w:webHidden/>
          </w:rPr>
          <w:t>ASP.NET Core</w:t>
        </w:r>
      </w:hyperlink>
      <w:r w:rsidRPr="00F900B0">
        <w:rPr>
          <w:rStyle w:val="bold"/>
        </w:rPr>
        <w:t>.</w:t>
      </w:r>
      <w:r w:rsidR="000536F9" w:rsidRPr="00F900B0">
        <w:rPr>
          <w:rStyle w:val="bold"/>
        </w:rPr>
        <w:t>NET.</w:t>
      </w:r>
      <w:r w:rsidRPr="00F900B0">
        <w:rPr>
          <w:rStyle w:val="bold"/>
        </w:rPr>
        <w:t xml:space="preserve"> Architektura projektu opiera się na słynnym wzorcu architektonicznym MVC –Model-Widok-Kontroler.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Pr="00F900B0" w:rsidRDefault="00910AF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ab/>
      </w:r>
      <w:r w:rsidR="003456CD" w:rsidRPr="00F900B0">
        <w:rPr>
          <w:rStyle w:val="bold"/>
        </w:rPr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Metody GetModules pozwalająca na wydobycie wszystkich modułów ze struktury projektu.</w:t>
      </w:r>
    </w:p>
    <w:p w:rsidR="001F3419" w:rsidRDefault="006B6A3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27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 w:rsidR="002A7D97">
        <w:t xml:space="preserve">Rys3.0 Metoda pozyskująca informację na tematmodułów występujących </w:t>
      </w:r>
      <w:r w:rsidR="005650CE">
        <w:tab/>
      </w:r>
      <w:r w:rsidR="002A7D97">
        <w:t>w</w:t>
      </w:r>
      <w:r w:rsidR="005650CE">
        <w:t> </w:t>
      </w:r>
      <w:r w:rsidR="002A7D97">
        <w:t xml:space="preserve"> </w:t>
      </w:r>
      <w:r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</w:p>
    <w:p w:rsidR="00910AFC" w:rsidRPr="00F900B0" w:rsidRDefault="00910A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Pr="00F900B0">
        <w:rPr>
          <w:rStyle w:val="bold"/>
        </w:rPr>
        <w:t>Podział na moduły został zaimplementowany przy pomocy klasy pomocniczej przechowująca informację dotyczące danego modułu.</w:t>
      </w:r>
    </w:p>
    <w:p w:rsidR="00910AFC" w:rsidRDefault="006B6A33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28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Pr="00F900B0" w:rsidRDefault="0009742C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Serwis MVC posiada zaimplementowany mechanizm AddApplicationPart dodający wyszukiwanie plików po dodatkowych plikach assembly. Dzięki temu w łatwy sposób możemy wpiąć lub wypiąć moduł w zależności od konfiguracji startowej aplikacji.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</w:t>
      </w:r>
      <w:r w:rsidR="0009742C" w:rsidRPr="00F900B0">
        <w:rPr>
          <w:rStyle w:val="bold"/>
        </w:rPr>
        <w:t xml:space="preserve"> i wdrożenia ich do serwisu MVC</w:t>
      </w:r>
      <w:r w:rsidRPr="00F900B0">
        <w:rPr>
          <w:rStyle w:val="bold"/>
        </w:rPr>
        <w:t>: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8. Dodanie listy do serwisu Mvc dostarczonego przez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17" w:name="_Toc470096685"/>
      <w:bookmarkStart w:id="18" w:name="_Toc470097185"/>
      <w:r>
        <w:lastRenderedPageBreak/>
        <w:t>Nawigacja</w:t>
      </w:r>
      <w:bookmarkEnd w:id="17"/>
      <w:bookmarkEnd w:id="18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 nawigacja za pomocą MapRoute występującego w serwisie MVC.</w:t>
      </w:r>
    </w:p>
    <w:p w:rsidR="001F3419" w:rsidRPr="00F900B0" w:rsidRDefault="0084629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123" type="#_x0000_t75" style="width:328.75pt;height:76.35pt">
            <v:imagedata r:id="rId29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Został zdefiniowany szablon wraz ze startową ścieżką strony Home/Index.</w:t>
      </w:r>
    </w:p>
    <w:p w:rsidR="001F3419" w:rsidRPr="00F900B0" w:rsidRDefault="000445B4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Nawigacja w poszukiwaniu widoków została skonfigurowana za pomocą</w:t>
      </w:r>
      <w:r w:rsidR="005650CE" w:rsidRPr="00F900B0">
        <w:rPr>
          <w:rStyle w:val="bold"/>
        </w:rPr>
        <w:t xml:space="preserve"> 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846292" w:rsidP="00F900B0">
      <w:pPr>
        <w:spacing w:before="0" w:after="0" w:line="360" w:lineRule="auto"/>
        <w:ind w:left="0" w:right="-2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Style w:val="bold"/>
        </w:rPr>
        <w:pict>
          <v:shape id="_x0000_i1124" type="#_x0000_t75" style="width:6in;height:56.75pt">
            <v:imagedata r:id="rId30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Oraz klasy </w:t>
      </w:r>
      <w:r w:rsidRPr="00F900B0">
        <w:rPr>
          <w:rStyle w:val="bold"/>
          <w:b/>
        </w:rPr>
        <w:t>ModuleViewLocationExpander</w:t>
      </w:r>
      <w:r w:rsidRPr="00F900B0">
        <w:rPr>
          <w:rStyle w:val="bold"/>
        </w:rPr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846292" w:rsidP="00F34EC0">
      <w:pPr>
        <w:spacing w:line="360" w:lineRule="auto"/>
        <w:ind w:left="0" w:right="-2"/>
      </w:pPr>
      <w:r>
        <w:pict>
          <v:shape id="_x0000_i1125" type="#_x0000_t75" style="width:426.2pt;height:194.9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Heading2"/>
      </w:pPr>
      <w:bookmarkStart w:id="19" w:name="_Toc470096686"/>
      <w:bookmarkStart w:id="20" w:name="_Toc470097186"/>
      <w:r>
        <w:lastRenderedPageBreak/>
        <w:t>Baza danych</w:t>
      </w:r>
      <w:bookmarkEnd w:id="19"/>
      <w:bookmarkEnd w:id="20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6B6A3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2096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1" w:name="_Toc470096687"/>
      <w:bookmarkStart w:id="22" w:name="_Toc470097187"/>
      <w:r>
        <w:lastRenderedPageBreak/>
        <w:t>Szyfrowanie danych</w:t>
      </w:r>
      <w:bookmarkEnd w:id="21"/>
      <w:bookmarkEnd w:id="22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EA070B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846292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126" type="#_x0000_t75" style="width:430.55pt;height:179.6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6717F6" w:rsidRDefault="00846292" w:rsidP="00F34EC0">
      <w:pPr>
        <w:pStyle w:val="ListParagraph"/>
        <w:spacing w:line="360" w:lineRule="auto"/>
        <w:ind w:left="0" w:right="-2"/>
      </w:pPr>
      <w:r>
        <w:pict>
          <v:shape id="_x0000_i1127" type="#_x0000_t75" style="width:426.2pt;height:196.3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F40FAD" w:rsidRPr="00F40FAD" w:rsidRDefault="003456CD" w:rsidP="00767CFD">
      <w:pPr>
        <w:pStyle w:val="Heading2"/>
        <w:rPr>
          <w:webHidden/>
        </w:rPr>
      </w:pPr>
      <w:bookmarkStart w:id="23" w:name="_Toc470096688"/>
      <w:bookmarkStart w:id="24" w:name="_Toc470097188"/>
      <w:r w:rsidRPr="00F40FAD">
        <w:lastRenderedPageBreak/>
        <w:t>Literatura</w:t>
      </w:r>
      <w:bookmarkEnd w:id="23"/>
      <w:bookmarkEnd w:id="24"/>
    </w:p>
    <w:p w:rsidR="001F3419" w:rsidRPr="00264F4B" w:rsidRDefault="003456CD" w:rsidP="00264F4B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1F3419" w:rsidP="00F34EC0">
      <w:pPr>
        <w:tabs>
          <w:tab w:val="left" w:pos="1470"/>
        </w:tabs>
        <w:spacing w:line="360" w:lineRule="auto"/>
        <w:ind w:left="0" w:right="-2"/>
      </w:pPr>
    </w:p>
    <w:sectPr w:rsidR="001F3419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A33" w:rsidRDefault="006B6A33" w:rsidP="00A42A71">
      <w:pPr>
        <w:spacing w:before="0" w:after="0" w:line="240" w:lineRule="auto"/>
      </w:pPr>
      <w:r>
        <w:separator/>
      </w:r>
    </w:p>
  </w:endnote>
  <w:endnote w:type="continuationSeparator" w:id="0">
    <w:p w:rsidR="006B6A33" w:rsidRDefault="006B6A33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FE8" w:rsidRDefault="00D13F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D13FE8" w:rsidRDefault="00D13FE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FE8" w:rsidRDefault="00D13F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48D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D13FE8" w:rsidRDefault="00D13FE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FE8" w:rsidRDefault="00D13F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D13FE8" w:rsidRDefault="00D13FE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FE8" w:rsidRDefault="00D13F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48D">
          <w:rPr>
            <w:noProof/>
          </w:rPr>
          <w:t>- 14 -</w:t>
        </w:r>
        <w:r>
          <w:rPr>
            <w:noProof/>
          </w:rPr>
          <w:fldChar w:fldCharType="end"/>
        </w:r>
      </w:p>
    </w:sdtContent>
  </w:sdt>
  <w:p w:rsidR="00D13FE8" w:rsidRDefault="00D13FE8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A33" w:rsidRDefault="006B6A33" w:rsidP="00A42A71">
      <w:pPr>
        <w:spacing w:before="0" w:after="0" w:line="240" w:lineRule="auto"/>
      </w:pPr>
      <w:r>
        <w:separator/>
      </w:r>
    </w:p>
  </w:footnote>
  <w:footnote w:type="continuationSeparator" w:id="0">
    <w:p w:rsidR="006B6A33" w:rsidRDefault="006B6A33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FE8" w:rsidRDefault="00D13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197EF6"/>
    <w:multiLevelType w:val="multilevel"/>
    <w:tmpl w:val="C96A7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F97A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C4F6C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95065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B245F1"/>
    <w:multiLevelType w:val="multilevel"/>
    <w:tmpl w:val="DDA0DA78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D6D47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2C136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1C40B1"/>
    <w:multiLevelType w:val="multilevel"/>
    <w:tmpl w:val="BE6A6532"/>
    <w:numStyleLink w:val="Style1"/>
  </w:abstractNum>
  <w:abstractNum w:abstractNumId="10" w15:restartNumberingAfterBreak="0">
    <w:nsid w:val="1F2173DC"/>
    <w:multiLevelType w:val="hybridMultilevel"/>
    <w:tmpl w:val="1B40EBE4"/>
    <w:lvl w:ilvl="0" w:tplc="F35A4944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648556A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99625E5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32F425D"/>
    <w:multiLevelType w:val="multilevel"/>
    <w:tmpl w:val="EE9EDAAA"/>
    <w:numStyleLink w:val="Styldlarozdziaw"/>
  </w:abstractNum>
  <w:abstractNum w:abstractNumId="16" w15:restartNumberingAfterBreak="0">
    <w:nsid w:val="33D073FF"/>
    <w:multiLevelType w:val="hybridMultilevel"/>
    <w:tmpl w:val="B6B0F5EC"/>
    <w:lvl w:ilvl="0" w:tplc="23BE80BE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345E2549"/>
    <w:multiLevelType w:val="multilevel"/>
    <w:tmpl w:val="BE6A6532"/>
    <w:numStyleLink w:val="Style1"/>
  </w:abstractNum>
  <w:abstractNum w:abstractNumId="18" w15:restartNumberingAfterBreak="0">
    <w:nsid w:val="3526399D"/>
    <w:multiLevelType w:val="multilevel"/>
    <w:tmpl w:val="FC80808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1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E36E7"/>
    <w:multiLevelType w:val="multilevel"/>
    <w:tmpl w:val="EE9EDAAA"/>
    <w:numStyleLink w:val="Styldlarozdziaw"/>
  </w:abstractNum>
  <w:abstractNum w:abstractNumId="23" w15:restartNumberingAfterBreak="0">
    <w:nsid w:val="490051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D64C14"/>
    <w:multiLevelType w:val="multilevel"/>
    <w:tmpl w:val="EE9EDAAA"/>
    <w:numStyleLink w:val="Styldlarozdziaw"/>
  </w:abstractNum>
  <w:abstractNum w:abstractNumId="2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6" w15:restartNumberingAfterBreak="0">
    <w:nsid w:val="51E05749"/>
    <w:multiLevelType w:val="multilevel"/>
    <w:tmpl w:val="EE9EDAAA"/>
    <w:numStyleLink w:val="Styldlarozdziaw"/>
  </w:abstractNum>
  <w:abstractNum w:abstractNumId="27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8" w15:restartNumberingAfterBreak="0">
    <w:nsid w:val="5422671B"/>
    <w:multiLevelType w:val="multilevel"/>
    <w:tmpl w:val="BE6A6532"/>
    <w:numStyleLink w:val="Style1"/>
  </w:abstractNum>
  <w:abstractNum w:abstractNumId="29" w15:restartNumberingAfterBreak="0">
    <w:nsid w:val="5FA15C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2D70DD"/>
    <w:multiLevelType w:val="multilevel"/>
    <w:tmpl w:val="BE6A6532"/>
    <w:numStyleLink w:val="Style1"/>
  </w:abstractNum>
  <w:abstractNum w:abstractNumId="31" w15:restartNumberingAfterBreak="0">
    <w:nsid w:val="608764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3203DD"/>
    <w:multiLevelType w:val="hybridMultilevel"/>
    <w:tmpl w:val="39BAE078"/>
    <w:lvl w:ilvl="0" w:tplc="CF36C59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9DA2B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D12BFE"/>
    <w:multiLevelType w:val="multilevel"/>
    <w:tmpl w:val="EE9EDAAA"/>
    <w:numStyleLink w:val="Styldlarozdziaw"/>
  </w:abstractNum>
  <w:abstractNum w:abstractNumId="36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E9A57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76C94DA2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924DFB"/>
    <w:multiLevelType w:val="multilevel"/>
    <w:tmpl w:val="1B40EBE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E106F73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25"/>
  </w:num>
  <w:num w:numId="5">
    <w:abstractNumId w:val="5"/>
  </w:num>
  <w:num w:numId="6">
    <w:abstractNumId w:val="38"/>
  </w:num>
  <w:num w:numId="7">
    <w:abstractNumId w:val="0"/>
  </w:num>
  <w:num w:numId="8">
    <w:abstractNumId w:val="36"/>
  </w:num>
  <w:num w:numId="9">
    <w:abstractNumId w:val="41"/>
  </w:num>
  <w:num w:numId="10">
    <w:abstractNumId w:val="7"/>
  </w:num>
  <w:num w:numId="11">
    <w:abstractNumId w:val="33"/>
  </w:num>
  <w:num w:numId="12">
    <w:abstractNumId w:val="1"/>
  </w:num>
  <w:num w:numId="13">
    <w:abstractNumId w:val="19"/>
  </w:num>
  <w:num w:numId="14">
    <w:abstractNumId w:val="10"/>
  </w:num>
  <w:num w:numId="15">
    <w:abstractNumId w:val="31"/>
  </w:num>
  <w:num w:numId="16">
    <w:abstractNumId w:val="34"/>
  </w:num>
  <w:num w:numId="17">
    <w:abstractNumId w:val="2"/>
  </w:num>
  <w:num w:numId="18">
    <w:abstractNumId w:val="8"/>
  </w:num>
  <w:num w:numId="19">
    <w:abstractNumId w:val="16"/>
  </w:num>
  <w:num w:numId="20">
    <w:abstractNumId w:val="6"/>
  </w:num>
  <w:num w:numId="21">
    <w:abstractNumId w:val="27"/>
  </w:num>
  <w:num w:numId="22">
    <w:abstractNumId w:val="30"/>
  </w:num>
  <w:num w:numId="23">
    <w:abstractNumId w:val="40"/>
  </w:num>
  <w:num w:numId="24">
    <w:abstractNumId w:val="37"/>
  </w:num>
  <w:num w:numId="25">
    <w:abstractNumId w:val="4"/>
  </w:num>
  <w:num w:numId="26">
    <w:abstractNumId w:val="29"/>
  </w:num>
  <w:num w:numId="27">
    <w:abstractNumId w:val="32"/>
  </w:num>
  <w:num w:numId="28">
    <w:abstractNumId w:val="17"/>
  </w:num>
  <w:num w:numId="29">
    <w:abstractNumId w:val="9"/>
  </w:num>
  <w:num w:numId="30">
    <w:abstractNumId w:val="39"/>
  </w:num>
  <w:num w:numId="31">
    <w:abstractNumId w:val="42"/>
  </w:num>
  <w:num w:numId="32">
    <w:abstractNumId w:val="28"/>
  </w:num>
  <w:num w:numId="33">
    <w:abstractNumId w:val="23"/>
  </w:num>
  <w:num w:numId="34">
    <w:abstractNumId w:val="14"/>
  </w:num>
  <w:num w:numId="35">
    <w:abstractNumId w:val="3"/>
  </w:num>
  <w:num w:numId="36">
    <w:abstractNumId w:val="12"/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35"/>
  </w:num>
  <w:num w:numId="41">
    <w:abstractNumId w:val="24"/>
  </w:num>
  <w:num w:numId="42">
    <w:abstractNumId w:val="26"/>
  </w:num>
  <w:num w:numId="43">
    <w:abstractNumId w:val="2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876D2"/>
    <w:rsid w:val="0009742C"/>
    <w:rsid w:val="001B545D"/>
    <w:rsid w:val="001F3419"/>
    <w:rsid w:val="00204579"/>
    <w:rsid w:val="00264F4B"/>
    <w:rsid w:val="002A7D97"/>
    <w:rsid w:val="002B3BD8"/>
    <w:rsid w:val="0030598B"/>
    <w:rsid w:val="003077EF"/>
    <w:rsid w:val="003244F6"/>
    <w:rsid w:val="00330F57"/>
    <w:rsid w:val="003456CD"/>
    <w:rsid w:val="00385D15"/>
    <w:rsid w:val="003A2E91"/>
    <w:rsid w:val="003A5981"/>
    <w:rsid w:val="003A6887"/>
    <w:rsid w:val="003C094C"/>
    <w:rsid w:val="004303C0"/>
    <w:rsid w:val="00463EC2"/>
    <w:rsid w:val="0049181A"/>
    <w:rsid w:val="004F406F"/>
    <w:rsid w:val="0052550E"/>
    <w:rsid w:val="00544610"/>
    <w:rsid w:val="005650CE"/>
    <w:rsid w:val="00594AE1"/>
    <w:rsid w:val="00631D1A"/>
    <w:rsid w:val="00643869"/>
    <w:rsid w:val="0064726D"/>
    <w:rsid w:val="006610D0"/>
    <w:rsid w:val="006717F6"/>
    <w:rsid w:val="006A4E47"/>
    <w:rsid w:val="006B6A33"/>
    <w:rsid w:val="006D0654"/>
    <w:rsid w:val="006E5626"/>
    <w:rsid w:val="006E7148"/>
    <w:rsid w:val="00767CFD"/>
    <w:rsid w:val="007B3E13"/>
    <w:rsid w:val="007F4D2C"/>
    <w:rsid w:val="007F70A3"/>
    <w:rsid w:val="00846292"/>
    <w:rsid w:val="008815C5"/>
    <w:rsid w:val="008A7CEB"/>
    <w:rsid w:val="008C3B49"/>
    <w:rsid w:val="00910AFC"/>
    <w:rsid w:val="00943CFB"/>
    <w:rsid w:val="009A0824"/>
    <w:rsid w:val="009B4E6B"/>
    <w:rsid w:val="009F75C2"/>
    <w:rsid w:val="00A42A71"/>
    <w:rsid w:val="00AB0335"/>
    <w:rsid w:val="00B54F9C"/>
    <w:rsid w:val="00B64A31"/>
    <w:rsid w:val="00B8148D"/>
    <w:rsid w:val="00B975DB"/>
    <w:rsid w:val="00BB1810"/>
    <w:rsid w:val="00BB5C75"/>
    <w:rsid w:val="00BE2C74"/>
    <w:rsid w:val="00C7047A"/>
    <w:rsid w:val="00C74AEF"/>
    <w:rsid w:val="00C750CA"/>
    <w:rsid w:val="00C90F73"/>
    <w:rsid w:val="00CE11A5"/>
    <w:rsid w:val="00CF075A"/>
    <w:rsid w:val="00CF1F3C"/>
    <w:rsid w:val="00D00F21"/>
    <w:rsid w:val="00D07C2F"/>
    <w:rsid w:val="00D13FE8"/>
    <w:rsid w:val="00D80AA0"/>
    <w:rsid w:val="00DF4BAF"/>
    <w:rsid w:val="00E773FC"/>
    <w:rsid w:val="00EA070B"/>
    <w:rsid w:val="00F0407B"/>
    <w:rsid w:val="00F06889"/>
    <w:rsid w:val="00F26AB9"/>
    <w:rsid w:val="00F34EC0"/>
    <w:rsid w:val="00F36A38"/>
    <w:rsid w:val="00F40FAD"/>
    <w:rsid w:val="00F6749A"/>
    <w:rsid w:val="00F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37E4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631D1A"/>
    <w:pPr>
      <w:numPr>
        <w:ilvl w:val="1"/>
        <w:numId w:val="44"/>
      </w:numPr>
      <w:spacing w:after="360"/>
      <w:ind w:left="1434" w:hanging="357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31D1A"/>
    <w:pPr>
      <w:numPr>
        <w:numId w:val="44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44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2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631D1A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3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pl.wikipedia.org/wiki/Podprogram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pl.wikipedia.org/wiki/Implementacja_(informatyka)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Microsoft_Windows" TargetMode="External"/><Relationship Id="rId20" Type="http://schemas.openxmlformats.org/officeDocument/2006/relationships/hyperlink" Target="https://pl.wikipedia.org/wiki/Microsoft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Biblioteka_wsp&#243;&#322;dzielona" TargetMode="Externa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hyperlink" Target="https://pl.wikipedia.org/wiki/Zasoby_programu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D1"/>
    <w:rsid w:val="000A65E2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A0C6457CD41F795E8CF2E0F7DC8FB">
    <w:name w:val="084A0C6457CD41F795E8CF2E0F7DC8FB"/>
    <w:rsid w:val="00FC5CD1"/>
  </w:style>
  <w:style w:type="paragraph" w:customStyle="1" w:styleId="6A45C0AD0D714DD0BD1B70A2239B3527">
    <w:name w:val="6A45C0AD0D714DD0BD1B70A2239B3527"/>
    <w:rsid w:val="00FC5CD1"/>
  </w:style>
  <w:style w:type="paragraph" w:customStyle="1" w:styleId="FCBF3FEF064E49728A5127870BD681F1">
    <w:name w:val="FCBF3FEF064E49728A5127870BD681F1"/>
    <w:rsid w:val="00FC5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5565-52F1-4194-8A9D-E67BE87E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23</Pages>
  <Words>2975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222</cp:revision>
  <dcterms:created xsi:type="dcterms:W3CDTF">2016-11-11T09:14:00Z</dcterms:created>
  <dcterms:modified xsi:type="dcterms:W3CDTF">2016-12-21T14:24:00Z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