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AE2732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AE2732">
        <w:rPr>
          <w:noProof/>
        </w:rPr>
        <w:t>Słownik pojęć</w:t>
      </w:r>
      <w:r w:rsidR="00AE2732">
        <w:rPr>
          <w:noProof/>
        </w:rPr>
        <w:tab/>
      </w:r>
      <w:r w:rsidR="00AE2732">
        <w:rPr>
          <w:noProof/>
        </w:rPr>
        <w:fldChar w:fldCharType="begin"/>
      </w:r>
      <w:r w:rsidR="00AE2732">
        <w:rPr>
          <w:noProof/>
        </w:rPr>
        <w:instrText xml:space="preserve"> PAGEREF _Toc472017303 \h </w:instrText>
      </w:r>
      <w:r w:rsidR="00AE2732">
        <w:rPr>
          <w:noProof/>
        </w:rPr>
      </w:r>
      <w:r w:rsidR="00AE2732">
        <w:rPr>
          <w:noProof/>
        </w:rPr>
        <w:fldChar w:fldCharType="separate"/>
      </w:r>
      <w:r w:rsidR="00AE2732">
        <w:rPr>
          <w:noProof/>
        </w:rPr>
        <w:t>- 3 -</w:t>
      </w:r>
      <w:r w:rsidR="00AE2732">
        <w:rPr>
          <w:noProof/>
        </w:rPr>
        <w:fldChar w:fldCharType="end"/>
      </w:r>
    </w:p>
    <w:p w:rsidR="00AE2732" w:rsidRDefault="00AE2732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AE2732" w:rsidRDefault="00AE2732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AE2732" w:rsidRDefault="00AE2732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AE2732" w:rsidRP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2.2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Visual Studio 2015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_Toc472017313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AE2732" w:rsidRP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2.3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Entity Framework Core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_Toc472017314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AE2732" w:rsidRP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2.4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GitHub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_Toc472017315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AE2732" w:rsidRP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2.5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SourceTree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_Toc472017316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AE2732" w:rsidRP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2.6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Semantic UI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_Toc472017317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AE2732" w:rsidRPr="00AE2732" w:rsidRDefault="00AE2732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3</w:t>
      </w:r>
      <w:r w:rsidRPr="00AE2732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Implementacja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_Toc472017318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zarządzania produktami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AE2732" w:rsidRDefault="00AE2732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AE2732" w:rsidRDefault="00AE2732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AE2732" w:rsidRDefault="00AE2732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2017303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2017304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3" w:name="_Toc472017305"/>
      <w:r>
        <w:lastRenderedPageBreak/>
        <w:t>Komponowanie właściwej diety</w:t>
      </w:r>
      <w:bookmarkEnd w:id="3"/>
    </w:p>
    <w:p w:rsidR="001F3419" w:rsidRDefault="00777214" w:rsidP="00777214">
      <w:pPr>
        <w:pStyle w:val="Heading2"/>
      </w:pPr>
      <w:bookmarkStart w:id="4" w:name="_Toc472017306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Heading2"/>
      </w:pPr>
      <w:bookmarkStart w:id="6" w:name="_Toc472017307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2017308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9" w:name="_Toc470096682"/>
      <w:bookmarkStart w:id="10" w:name="_Toc472017309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2017310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2017311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Heading2"/>
        <w:rPr>
          <w:rStyle w:val="bold"/>
        </w:rPr>
      </w:pPr>
      <w:bookmarkStart w:id="16" w:name="_Toc472017312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CF1F2F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91801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7" w:name="_Toc472017313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DA3729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</w:t>
      </w:r>
      <w:proofErr w:type="spellStart"/>
      <w:r w:rsidR="00463009" w:rsidRPr="00484F0D">
        <w:rPr>
          <w:rStyle w:val="bold"/>
        </w:rPr>
        <w:t>multiplatformowego</w:t>
      </w:r>
      <w:proofErr w:type="spellEnd"/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2017314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E26CE2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9" w:name="_Toc472017315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0" w:name="_Toc472017316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2017317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2" w:name="_Toc472017318"/>
      <w:r>
        <w:lastRenderedPageBreak/>
        <w:t>Implementacja</w:t>
      </w:r>
      <w:bookmarkEnd w:id="22"/>
    </w:p>
    <w:p w:rsidR="001F3419" w:rsidRDefault="003456CD" w:rsidP="00767CFD">
      <w:pPr>
        <w:pStyle w:val="Heading2"/>
      </w:pPr>
      <w:bookmarkStart w:id="23" w:name="_Toc470096684"/>
      <w:bookmarkStart w:id="24" w:name="_Toc472017319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</w:t>
      </w:r>
      <w:r w:rsidR="00302568">
        <w:rPr>
          <w:rStyle w:val="bold"/>
        </w:rPr>
        <w:t>MVC</w:t>
      </w:r>
      <w:r w:rsidR="00302568">
        <w:rPr>
          <w:rStyle w:val="bold"/>
        </w:rPr>
        <w:t>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odseparowania strony serwerowej od </w:t>
      </w:r>
      <w:r w:rsidR="001B6619">
        <w:rPr>
          <w:rStyle w:val="bold"/>
        </w:rPr>
        <w:t>warstwy</w:t>
      </w:r>
      <w:r w:rsidR="00B2798C">
        <w:rPr>
          <w:rStyle w:val="bold"/>
        </w:rPr>
        <w:t xml:space="preserve"> GUI.</w:t>
      </w:r>
    </w:p>
    <w:p w:rsidR="009D551D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B2798C">
        <w:rPr>
          <w:rStyle w:val="bold"/>
        </w:rPr>
        <w:t xml:space="preserve">y, co </w:t>
      </w:r>
      <w:r w:rsidR="00414FF8">
        <w:rPr>
          <w:rStyle w:val="bold"/>
        </w:rPr>
        <w:t>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</w:t>
      </w:r>
      <w:r w:rsidR="00B2798C">
        <w:rPr>
          <w:rStyle w:val="bold"/>
        </w:rPr>
        <w:t xml:space="preserve">przypadku wymiany całej warstwy </w:t>
      </w:r>
      <w:r w:rsidR="00B2798C">
        <w:rPr>
          <w:rStyle w:val="bold"/>
        </w:rPr>
        <w:lastRenderedPageBreak/>
        <w:t>wizualnej</w:t>
      </w:r>
      <w:r w:rsidR="002E7E12">
        <w:rPr>
          <w:rStyle w:val="bold"/>
        </w:rPr>
        <w:t xml:space="preserve"> po</w:t>
      </w:r>
      <w:r w:rsidRPr="00F900B0">
        <w:rPr>
          <w:rStyle w:val="bold"/>
        </w:rPr>
        <w:t xml:space="preserve">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  <w:r w:rsidR="0011529F">
        <w:rPr>
          <w:rStyle w:val="bold"/>
        </w:rPr>
        <w:t xml:space="preserve"> </w:t>
      </w:r>
      <w:r w:rsidR="007A51DF">
        <w:t xml:space="preserve">Solucja przedstawiona na rys.3.0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 w:rsidR="0011529F"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 w:rsidR="0011529F">
        <w:rPr>
          <w:rStyle w:val="bold"/>
        </w:rPr>
        <w:t xml:space="preserve"> rdzenne komponenty wykorzystywane w obrębie całej aplikacji.</w:t>
      </w:r>
      <w:r w:rsidR="00AE6FD6">
        <w:rPr>
          <w:rStyle w:val="bold"/>
        </w:rPr>
        <w:t xml:space="preserve"> Po 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 odpowiedzialne za zarządzanie logiką i widokami</w:t>
      </w:r>
      <w:r w:rsidR="009D551D">
        <w:rPr>
          <w:rStyle w:val="bold"/>
        </w:rPr>
        <w:t xml:space="preserve"> tematyki związanej z dietetyką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Pr="00F900B0">
        <w:rPr>
          <w:rStyle w:val="bold"/>
        </w:rPr>
        <w:t>zaimplementowany mechanizm</w:t>
      </w:r>
      <w:r w:rsidR="00E50DFE">
        <w:rPr>
          <w:rStyle w:val="bold"/>
        </w:rPr>
        <w:t xml:space="preserve"> </w:t>
      </w:r>
      <w:r w:rsidR="009D551D">
        <w:rPr>
          <w:rStyle w:val="bold"/>
        </w:rPr>
        <w:t xml:space="preserve">wyszukujący odpowiednie elementy względem modułów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</w:t>
      </w:r>
      <w:r w:rsidR="009813A0">
        <w:rPr>
          <w:rStyle w:val="bold"/>
        </w:rPr>
        <w:t>moduły</w:t>
      </w:r>
      <w:r w:rsidR="009813A0">
        <w:rPr>
          <w:rStyle w:val="bold"/>
        </w:rPr>
        <w:t>, które zostaną załadowane do projektu w zależności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 xml:space="preserve">W celu przechowania informacji o danym module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984746">
        <w:rPr>
          <w:rStyle w:val="bold"/>
        </w:rPr>
        <w:t>.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445766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12.2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>
        <w:rPr>
          <w:rStyle w:val="bold"/>
        </w:rPr>
        <w:t xml:space="preserve"> ma na celu </w:t>
      </w:r>
      <w:r w:rsidR="00984746">
        <w:rPr>
          <w:rStyle w:val="bold"/>
        </w:rPr>
        <w:t>zabezpieczyć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445766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pt;height:301.4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</w:t>
      </w:r>
      <w:r w:rsidR="00654883">
        <w:rPr>
          <w:rStyle w:val="bold"/>
        </w:rPr>
        <w:t>ch modułów z solucji i wdrożeniu</w:t>
      </w:r>
      <w:r w:rsidRPr="00F900B0">
        <w:rPr>
          <w:rStyle w:val="bold"/>
        </w:rPr>
        <w:t xml:space="preserve"> ich do serwisu MVC</w:t>
      </w:r>
      <w:r w:rsidR="002F1676">
        <w:rPr>
          <w:rStyle w:val="bold"/>
        </w:rPr>
        <w:t xml:space="preserve"> przedstawion</w:t>
      </w:r>
      <w:r w:rsidR="00CD18BE">
        <w:rPr>
          <w:rStyle w:val="bold"/>
        </w:rPr>
        <w:t>ego</w:t>
      </w:r>
      <w:r w:rsidR="002F1676">
        <w:rPr>
          <w:rStyle w:val="bold"/>
        </w:rPr>
        <w:t xml:space="preserve"> na rys.3.2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3E4422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1.Wyszukanie folderu Modules w strukturz</w:t>
      </w:r>
      <w:r w:rsidR="003E4422">
        <w:rPr>
          <w:rStyle w:val="bold"/>
        </w:rPr>
        <w:t xml:space="preserve">e aplikacji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3.Iteracja </w:t>
      </w:r>
      <w:r w:rsidR="00CD18BE">
        <w:rPr>
          <w:rStyle w:val="bold"/>
        </w:rPr>
        <w:t>po pozyskanych ścieżkach</w:t>
      </w:r>
      <w:r w:rsidRPr="00F900B0">
        <w:rPr>
          <w:rStyle w:val="bold"/>
        </w:rPr>
        <w:t xml:space="preserve">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3E4422">
        <w:rPr>
          <w:rStyle w:val="bold"/>
        </w:rPr>
        <w:t xml:space="preserve">Wydobycie 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6.Dodanie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7.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2017320"/>
      <w:r>
        <w:lastRenderedPageBreak/>
        <w:t>Nawigacja</w:t>
      </w:r>
      <w:bookmarkEnd w:id="25"/>
      <w:bookmarkEnd w:id="26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EC51A7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za pomocą </w:t>
      </w:r>
      <w:r w:rsidR="00EC51A7">
        <w:rPr>
          <w:rStyle w:val="bold"/>
        </w:rPr>
        <w:t xml:space="preserve">wbudowanego routingu występującego w serwisie MVC, przy pomocy metody </w:t>
      </w:r>
      <w:r w:rsidR="003456CD" w:rsidRPr="00EC51A7">
        <w:rPr>
          <w:rStyle w:val="bold"/>
          <w:b/>
        </w:rPr>
        <w:t>MapRoute</w:t>
      </w:r>
      <w:r w:rsidR="003456CD" w:rsidRPr="00F900B0">
        <w:rPr>
          <w:rStyle w:val="bold"/>
        </w:rPr>
        <w:t xml:space="preserve"> </w:t>
      </w:r>
      <w:r w:rsidR="00C835E5">
        <w:rPr>
          <w:rStyle w:val="bold"/>
        </w:rPr>
        <w:t>przedstawionej na rys</w:t>
      </w:r>
      <w:r w:rsidR="0015709C">
        <w:rPr>
          <w:rStyle w:val="bold"/>
        </w:rPr>
        <w:t>.</w:t>
      </w:r>
      <w:r w:rsidR="00C835E5">
        <w:rPr>
          <w:rStyle w:val="bold"/>
        </w:rPr>
        <w:t>3.3.</w:t>
      </w:r>
      <w:r w:rsidR="00EC51A7">
        <w:rPr>
          <w:rStyle w:val="bold"/>
        </w:rPr>
        <w:t xml:space="preserve"> </w:t>
      </w:r>
    </w:p>
    <w:p w:rsidR="001F3419" w:rsidRPr="00FF552C" w:rsidRDefault="0044576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5pt;height:76.25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5709C">
        <w:rPr>
          <w:rStyle w:val="bold"/>
        </w:rPr>
        <w:t xml:space="preserve">startowy </w:t>
      </w:r>
      <w:r w:rsidR="00107F30">
        <w:rPr>
          <w:rStyle w:val="bold"/>
        </w:rPr>
        <w:t xml:space="preserve">wywołujący kontroler </w:t>
      </w:r>
      <w:r w:rsidR="00107F30" w:rsidRPr="00C835E5">
        <w:rPr>
          <w:rStyle w:val="bold"/>
          <w:b/>
        </w:rPr>
        <w:t>Home</w:t>
      </w:r>
      <w:r w:rsidR="00107F30">
        <w:rPr>
          <w:rStyle w:val="bold"/>
        </w:rPr>
        <w:t xml:space="preserve"> i akcj</w:t>
      </w:r>
      <w:r w:rsidR="0015709C">
        <w:rPr>
          <w:rStyle w:val="bold"/>
        </w:rPr>
        <w:t>e</w:t>
      </w:r>
      <w:r w:rsidR="00107F30">
        <w:rPr>
          <w:rStyle w:val="bold"/>
        </w:rPr>
        <w:t xml:space="preserve"> </w:t>
      </w:r>
      <w:r w:rsidR="00107F30" w:rsidRPr="00C835E5">
        <w:rPr>
          <w:rStyle w:val="bold"/>
          <w:b/>
        </w:rPr>
        <w:t>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="003456CD"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 xml:space="preserve">. Ze względu na podział aplikacji </w:t>
      </w:r>
      <w:r w:rsidR="0007280A">
        <w:rPr>
          <w:rStyle w:val="bold"/>
        </w:rPr>
        <w:t>na moduły i odseparowanie części wizualnej od biznesowej,</w:t>
      </w:r>
      <w:r w:rsidR="003456CD" w:rsidRPr="00F900B0">
        <w:rPr>
          <w:rStyle w:val="bold"/>
        </w:rPr>
        <w:t xml:space="preserve"> zostało zadekl</w:t>
      </w:r>
      <w:r w:rsidR="0007280A">
        <w:rPr>
          <w:rStyle w:val="bold"/>
        </w:rPr>
        <w:t xml:space="preserve">arowane 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226F15">
        <w:rPr>
          <w:rStyle w:val="bold"/>
        </w:rPr>
        <w:t>i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BB12C1">
        <w:rPr>
          <w:rStyle w:val="bold"/>
        </w:rPr>
        <w:t>rys.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44576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75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 xml:space="preserve">modułu </w:t>
      </w:r>
      <w:r w:rsidR="00BB12C1">
        <w:rPr>
          <w:rStyle w:val="bold"/>
        </w:rPr>
        <w:t>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237B06">
        <w:rPr>
          <w:rStyle w:val="bold"/>
        </w:rPr>
        <w:t xml:space="preserve">tualnie znajduje się użytkownik, przeszukując foldery Views, zawierające implementację widoków kontrolerów oraz </w:t>
      </w:r>
      <w:proofErr w:type="spellStart"/>
      <w:r w:rsidR="00237B06">
        <w:rPr>
          <w:rStyle w:val="bold"/>
        </w:rPr>
        <w:t>View</w:t>
      </w:r>
      <w:proofErr w:type="spellEnd"/>
      <w:r w:rsidR="00237B06">
        <w:rPr>
          <w:rStyle w:val="bold"/>
        </w:rPr>
        <w:t>/Shared posiadające widoki współdzielone dla danego modułu.</w:t>
      </w:r>
    </w:p>
    <w:p w:rsidR="0010677E" w:rsidRDefault="0010677E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10677E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10677E" w:rsidRDefault="0010677E" w:rsidP="00BB34A2">
      <w:pPr>
        <w:spacing w:line="360" w:lineRule="auto"/>
        <w:ind w:left="0" w:right="-2"/>
        <w:jc w:val="both"/>
        <w:rPr>
          <w:rStyle w:val="bold"/>
        </w:rPr>
      </w:pPr>
    </w:p>
    <w:p w:rsidR="00353B54" w:rsidRPr="00FF552C" w:rsidRDefault="00E82981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t>7</w:t>
      </w:r>
      <w:r w:rsidR="00353B54"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303F14" w:rsidP="00303F14">
      <w:pPr>
        <w:pStyle w:val="Heading2"/>
      </w:pPr>
      <w:bookmarkStart w:id="27" w:name="_Toc472017321"/>
      <w:r>
        <w:lastRenderedPageBreak/>
        <w:t>Mechanizm zarządzania produktami</w:t>
      </w:r>
      <w:bookmarkEnd w:id="27"/>
    </w:p>
    <w:p w:rsidR="00E82981" w:rsidRDefault="00AE2732" w:rsidP="00E82981">
      <w:pPr>
        <w:spacing w:before="0" w:after="0" w:line="360" w:lineRule="auto"/>
        <w:ind w:left="0" w:right="-2"/>
      </w:pPr>
      <w:r>
        <w:t>Jedną z podstawowych funkcjonalności aplikacji jest dodawanie produktów. Każdy użytkownik ma możliwość dodawania własnych produktów, a także wykorzyst</w:t>
      </w:r>
      <w:r w:rsidR="00D9433D">
        <w:t>ania artykułów spożywczych dostarczonych przez innych użytkowników.</w:t>
      </w:r>
      <w:r w:rsidR="00B31304">
        <w:t xml:space="preserve"> Nowo utworzony produkt jest prywatny i tylko twórca może z niego korzystać. Ma to na</w:t>
      </w:r>
      <w:r w:rsidR="00D9433D">
        <w:t xml:space="preserve"> celu </w:t>
      </w:r>
      <w:r w:rsidR="00B31304">
        <w:t>zabezpieczyć</w:t>
      </w:r>
      <w:r w:rsidR="00D9433D">
        <w:t xml:space="preserve"> </w:t>
      </w:r>
      <w:r w:rsidR="00B31304">
        <w:t>aplikację</w:t>
      </w:r>
      <w:r w:rsidR="00D9433D">
        <w:t xml:space="preserve"> przed notorycznym dodawaniem nieprawidłowych </w:t>
      </w:r>
      <w:r w:rsidR="005B4FC1">
        <w:t>produktów. Aby móc udostępnić własny produkt, należy skorzystać z mechanizmu zgłaszania produktów. Mechanizm ten polega na</w:t>
      </w:r>
      <w:r w:rsidR="00E82981">
        <w:t xml:space="preserve"> zgłoszeniu</w:t>
      </w:r>
      <w:r w:rsidR="005B4FC1">
        <w:t xml:space="preserve"> naszego produktu do listy artykułów spożywczych oczekujących na </w:t>
      </w:r>
      <w:r w:rsidR="00E82981">
        <w:t xml:space="preserve">rozpatrzenie, do listy tej mają dostęp wyłącznie administratorzy strony internetowej. W trakcie oczekiwania produktu na </w:t>
      </w:r>
      <w:r w:rsidR="000F6283">
        <w:t>zatwierdzenie</w:t>
      </w:r>
      <w:r w:rsidR="007914BA">
        <w:t xml:space="preserve"> </w:t>
      </w:r>
      <w:r w:rsidR="00E82981">
        <w:t xml:space="preserve">bądź odrzucenie użytkownik zgłaszający </w:t>
      </w:r>
      <w:r w:rsidR="007914BA">
        <w:t xml:space="preserve">artykuł posiada pełne prawa do produktu. W przypadku, gdy produkt został zatwierdzony przez administratora, twórca artykułu </w:t>
      </w:r>
      <w:r w:rsidR="000F6283">
        <w:t>traci prawo do usuwania lub edytowania elementu. Każdy zatwierdzony element może zostać odrzucony</w:t>
      </w:r>
    </w:p>
    <w:p w:rsidR="00F36A38" w:rsidRPr="00E52959" w:rsidRDefault="00060737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t>//</w:t>
      </w:r>
      <w:r w:rsidRPr="00060737">
        <w:rPr>
          <w:sz w:val="36"/>
          <w:szCs w:val="36"/>
        </w:rPr>
        <w:t>Dodam zrzut ekranu z aplikacji i dopiszę kilka zdań</w:t>
      </w:r>
      <w:r w:rsidR="00B31304" w:rsidRPr="00060737">
        <w:rPr>
          <w:sz w:val="36"/>
          <w:szCs w:val="36"/>
        </w:rPr>
        <w:t>.</w:t>
      </w:r>
      <w:r w:rsidR="00F36A38"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2017322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mapowania zadeklarowanego w kontekście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>, który został zdefiniowany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445766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6in;height:54.9pt;mso-position-horizontal-relative:text;mso-position-vertical-relative:text;mso-width-relative:page;mso-height-relative:page">
            <v:imagedata r:id="rId32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80C58">
        <w:rPr>
          <w:rStyle w:val="bold"/>
        </w:rPr>
        <w:t xml:space="preserve">podpiętych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A25B14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>
        <w:rPr>
          <w:rStyle w:val="bold"/>
        </w:rPr>
        <w:t xml:space="preserve"> 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863938">
        <w:rPr>
          <w:rStyle w:val="bold"/>
        </w:rPr>
        <w:t>–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77322C" w:rsidRDefault="0077322C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8C3908" w:rsidRDefault="008C3908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3D3976">
        <w:rPr>
          <w:rStyle w:val="bold"/>
        </w:rPr>
        <w:t xml:space="preserve"> biblioteką, nie posiadającą</w:t>
      </w:r>
      <w:r w:rsidR="00FB29A2">
        <w:rPr>
          <w:rStyle w:val="bold"/>
        </w:rPr>
        <w:t xml:space="preserve"> referencji do żadnego modułu dzięki czemu pozwala na wypięcie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z jednego projektu i wpięcie do innego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FB29A2">
        <w:rPr>
          <w:rStyle w:val="bold"/>
        </w:rPr>
        <w:t xml:space="preserve">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6520F5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2" type="#_x0000_t75" style="width:6in;height:397.2pt">
            <v:imagedata r:id="rId33" o:title="2017-01-12 18_57_47-ROGER_LOCALDB#69A57212.PersonalTrainer - Diagram_0_ - Microsoft SQL Server Manag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FF552C">
        <w:rPr>
          <w:rStyle w:val="bold"/>
        </w:rPr>
        <w:t xml:space="preserve"> na rysunku 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>między produktami</w:t>
      </w:r>
      <w:r w:rsidR="00FA3FAE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2017323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Default="00AF7864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44576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429.55pt;height:180.6pt;mso-position-horizontal-relative:text;mso-position-vertical-relative:text;mso-width-relative:page;mso-height-relative:page">
            <v:imagedata r:id="rId34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>e funkcji hashuj</w:t>
      </w:r>
      <w:r w:rsidR="00035C1E">
        <w:rPr>
          <w:rStyle w:val="bold"/>
        </w:rPr>
        <w:t>ące</w:t>
      </w:r>
      <w:r w:rsidR="00731536">
        <w:rPr>
          <w:rStyle w:val="bold"/>
        </w:rPr>
        <w:t>j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731536">
        <w:rPr>
          <w:rStyle w:val="bold"/>
        </w:rPr>
        <w:t>rys.</w:t>
      </w:r>
      <w:r w:rsidR="00FF552C">
        <w:rPr>
          <w:rStyle w:val="bold"/>
        </w:rPr>
        <w:t>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44576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6.5pt;height:195.85pt">
            <v:imagedata r:id="rId35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Zapis </w:t>
      </w:r>
      <w:r w:rsidR="00731536"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 w:rsidR="00731536">
        <w:rPr>
          <w:rStyle w:val="bold"/>
        </w:rPr>
        <w:t>.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  <w:r w:rsidR="00834172">
        <w:t>:</w:t>
      </w:r>
    </w:p>
    <w:p w:rsidR="00834172" w:rsidRPr="00F900B0" w:rsidRDefault="00447313" w:rsidP="00834172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</w:t>
      </w:r>
      <w:r w:rsidR="00834172">
        <w:rPr>
          <w:rStyle w:val="bold"/>
        </w:rPr>
        <w:t>na haśle podanym przez użytkownika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2017324"/>
      <w:r>
        <w:rPr>
          <w:rStyle w:val="ListLabel1"/>
        </w:rPr>
        <w:lastRenderedPageBreak/>
        <w:t>Podsumowanie</w:t>
      </w:r>
      <w:bookmarkEnd w:id="32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bookmarkStart w:id="33" w:name="_GoBack"/>
      <w:bookmarkEnd w:id="33"/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4" w:name="_Toc472017325"/>
      <w:r>
        <w:rPr>
          <w:rStyle w:val="ListLabel1"/>
        </w:rPr>
        <w:lastRenderedPageBreak/>
        <w:t>Literatura</w:t>
      </w:r>
      <w:bookmarkEnd w:id="34"/>
    </w:p>
    <w:p w:rsidR="004100C4" w:rsidRDefault="004100C4" w:rsidP="004100C4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4100C4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</w:t>
      </w:r>
      <w:r w:rsidRPr="00122EBF">
        <w:rPr>
          <w:lang w:val="en-US"/>
        </w:rPr>
        <w:t>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FD0258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FD0258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FD0258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4F" w:rsidRDefault="00BA0A4F" w:rsidP="00A42A71">
      <w:pPr>
        <w:spacing w:before="0" w:after="0" w:line="240" w:lineRule="auto"/>
      </w:pPr>
      <w:r>
        <w:separator/>
      </w:r>
    </w:p>
  </w:endnote>
  <w:endnote w:type="continuationSeparator" w:id="0">
    <w:p w:rsidR="00BA0A4F" w:rsidRDefault="00BA0A4F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766" w:rsidRDefault="00445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445766" w:rsidRDefault="0044576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766" w:rsidRDefault="00445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737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445766" w:rsidRDefault="0044576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766" w:rsidRDefault="00445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445766" w:rsidRDefault="0044576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766" w:rsidRDefault="00445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737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445766" w:rsidRDefault="0044576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4F" w:rsidRDefault="00BA0A4F" w:rsidP="00A42A71">
      <w:pPr>
        <w:spacing w:before="0" w:after="0" w:line="240" w:lineRule="auto"/>
      </w:pPr>
      <w:r>
        <w:separator/>
      </w:r>
    </w:p>
  </w:footnote>
  <w:footnote w:type="continuationSeparator" w:id="0">
    <w:p w:rsidR="00BA0A4F" w:rsidRDefault="00BA0A4F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66" w:rsidRDefault="00445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5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7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3203"/>
    <w:multiLevelType w:val="multilevel"/>
    <w:tmpl w:val="85E410E6"/>
    <w:numStyleLink w:val="Style2"/>
  </w:abstractNum>
  <w:abstractNum w:abstractNumId="2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BA1F33"/>
    <w:multiLevelType w:val="multilevel"/>
    <w:tmpl w:val="1A325FC0"/>
    <w:numStyleLink w:val="numerowanieliteratury"/>
  </w:abstractNum>
  <w:abstractNum w:abstractNumId="36" w15:restartNumberingAfterBreak="0">
    <w:nsid w:val="6C3A3243"/>
    <w:multiLevelType w:val="multilevel"/>
    <w:tmpl w:val="1A325FC0"/>
    <w:numStyleLink w:val="numerowanieliteratury"/>
  </w:abstractNum>
  <w:abstractNum w:abstractNumId="37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41"/>
  </w:num>
  <w:num w:numId="5">
    <w:abstractNumId w:val="2"/>
  </w:num>
  <w:num w:numId="6">
    <w:abstractNumId w:val="38"/>
  </w:num>
  <w:num w:numId="7">
    <w:abstractNumId w:val="42"/>
  </w:num>
  <w:num w:numId="8">
    <w:abstractNumId w:val="8"/>
  </w:num>
  <w:num w:numId="9">
    <w:abstractNumId w:val="33"/>
  </w:num>
  <w:num w:numId="10">
    <w:abstractNumId w:val="18"/>
  </w:num>
  <w:num w:numId="11">
    <w:abstractNumId w:val="26"/>
  </w:num>
  <w:num w:numId="12">
    <w:abstractNumId w:val="15"/>
  </w:num>
  <w:num w:numId="13">
    <w:abstractNumId w:val="11"/>
  </w:num>
  <w:num w:numId="14">
    <w:abstractNumId w:val="7"/>
  </w:num>
  <w:num w:numId="15">
    <w:abstractNumId w:val="16"/>
  </w:num>
  <w:num w:numId="16">
    <w:abstractNumId w:val="12"/>
  </w:num>
  <w:num w:numId="17">
    <w:abstractNumId w:val="40"/>
  </w:num>
  <w:num w:numId="18">
    <w:abstractNumId w:val="39"/>
  </w:num>
  <w:num w:numId="19">
    <w:abstractNumId w:val="30"/>
  </w:num>
  <w:num w:numId="20">
    <w:abstractNumId w:val="43"/>
  </w:num>
  <w:num w:numId="21">
    <w:abstractNumId w:val="21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29"/>
  </w:num>
  <w:num w:numId="29">
    <w:abstractNumId w:val="31"/>
  </w:num>
  <w:num w:numId="30">
    <w:abstractNumId w:val="0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  <w:num w:numId="35">
    <w:abstractNumId w:val="11"/>
  </w:num>
  <w:num w:numId="36">
    <w:abstractNumId w:val="23"/>
  </w:num>
  <w:num w:numId="37">
    <w:abstractNumId w:val="32"/>
  </w:num>
  <w:num w:numId="38">
    <w:abstractNumId w:val="28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3"/>
  </w:num>
  <w:num w:numId="47">
    <w:abstractNumId w:val="25"/>
  </w:num>
  <w:num w:numId="4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2E4E"/>
    <w:rsid w:val="000536F9"/>
    <w:rsid w:val="00055C79"/>
    <w:rsid w:val="00060737"/>
    <w:rsid w:val="000701E9"/>
    <w:rsid w:val="0007280A"/>
    <w:rsid w:val="00073E33"/>
    <w:rsid w:val="00080C9B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709C"/>
    <w:rsid w:val="00160444"/>
    <w:rsid w:val="00161C7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2568"/>
    <w:rsid w:val="00303F14"/>
    <w:rsid w:val="0030598B"/>
    <w:rsid w:val="00306683"/>
    <w:rsid w:val="00306B04"/>
    <w:rsid w:val="003077EF"/>
    <w:rsid w:val="00312179"/>
    <w:rsid w:val="003152A1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545"/>
    <w:rsid w:val="00576265"/>
    <w:rsid w:val="00582E75"/>
    <w:rsid w:val="0058684F"/>
    <w:rsid w:val="00594AE1"/>
    <w:rsid w:val="005A12FF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40E17"/>
    <w:rsid w:val="00642627"/>
    <w:rsid w:val="00643869"/>
    <w:rsid w:val="006458FC"/>
    <w:rsid w:val="00646659"/>
    <w:rsid w:val="0064726D"/>
    <w:rsid w:val="006520F5"/>
    <w:rsid w:val="00654883"/>
    <w:rsid w:val="00656C8A"/>
    <w:rsid w:val="006610A7"/>
    <w:rsid w:val="006610D0"/>
    <w:rsid w:val="0066344E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6A33"/>
    <w:rsid w:val="006B7D62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342A"/>
    <w:rsid w:val="007B3E13"/>
    <w:rsid w:val="007B42B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46292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3473"/>
    <w:rsid w:val="00926030"/>
    <w:rsid w:val="009267E3"/>
    <w:rsid w:val="00933B2F"/>
    <w:rsid w:val="00933C89"/>
    <w:rsid w:val="0093569B"/>
    <w:rsid w:val="00935D23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CEC"/>
    <w:rsid w:val="009C037C"/>
    <w:rsid w:val="009C500E"/>
    <w:rsid w:val="009C62D3"/>
    <w:rsid w:val="009D551D"/>
    <w:rsid w:val="009D7C94"/>
    <w:rsid w:val="009E2D3C"/>
    <w:rsid w:val="009E3C31"/>
    <w:rsid w:val="009F0BB9"/>
    <w:rsid w:val="009F75C2"/>
    <w:rsid w:val="00A01AC2"/>
    <w:rsid w:val="00A06A14"/>
    <w:rsid w:val="00A142F6"/>
    <w:rsid w:val="00A148FD"/>
    <w:rsid w:val="00A17527"/>
    <w:rsid w:val="00A17F23"/>
    <w:rsid w:val="00A25B14"/>
    <w:rsid w:val="00A25E10"/>
    <w:rsid w:val="00A3768D"/>
    <w:rsid w:val="00A42A71"/>
    <w:rsid w:val="00A531AB"/>
    <w:rsid w:val="00A55802"/>
    <w:rsid w:val="00A6066C"/>
    <w:rsid w:val="00A624B1"/>
    <w:rsid w:val="00A80C58"/>
    <w:rsid w:val="00A83AD2"/>
    <w:rsid w:val="00A85C21"/>
    <w:rsid w:val="00A86792"/>
    <w:rsid w:val="00A92C41"/>
    <w:rsid w:val="00AA1493"/>
    <w:rsid w:val="00AA25D1"/>
    <w:rsid w:val="00AB0335"/>
    <w:rsid w:val="00AB228F"/>
    <w:rsid w:val="00AE006E"/>
    <w:rsid w:val="00AE07F5"/>
    <w:rsid w:val="00AE1133"/>
    <w:rsid w:val="00AE2732"/>
    <w:rsid w:val="00AE30BC"/>
    <w:rsid w:val="00AE50A5"/>
    <w:rsid w:val="00AE6FD6"/>
    <w:rsid w:val="00AE7EAE"/>
    <w:rsid w:val="00AF0455"/>
    <w:rsid w:val="00AF7864"/>
    <w:rsid w:val="00B05980"/>
    <w:rsid w:val="00B151E3"/>
    <w:rsid w:val="00B154EF"/>
    <w:rsid w:val="00B15C72"/>
    <w:rsid w:val="00B26506"/>
    <w:rsid w:val="00B2798C"/>
    <w:rsid w:val="00B27CD8"/>
    <w:rsid w:val="00B31304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A0A4F"/>
    <w:rsid w:val="00BB12C1"/>
    <w:rsid w:val="00BB1810"/>
    <w:rsid w:val="00BB1E76"/>
    <w:rsid w:val="00BB2EB1"/>
    <w:rsid w:val="00BB34A2"/>
    <w:rsid w:val="00BB38C2"/>
    <w:rsid w:val="00BB5C75"/>
    <w:rsid w:val="00BC6D90"/>
    <w:rsid w:val="00BD78FE"/>
    <w:rsid w:val="00BE2C74"/>
    <w:rsid w:val="00BE64EC"/>
    <w:rsid w:val="00BF79FD"/>
    <w:rsid w:val="00C06AEF"/>
    <w:rsid w:val="00C10C41"/>
    <w:rsid w:val="00C11BE8"/>
    <w:rsid w:val="00C32AD1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23264"/>
    <w:rsid w:val="00D257CC"/>
    <w:rsid w:val="00D30F8E"/>
    <w:rsid w:val="00D32838"/>
    <w:rsid w:val="00D34F13"/>
    <w:rsid w:val="00D35B0D"/>
    <w:rsid w:val="00D37843"/>
    <w:rsid w:val="00D412FB"/>
    <w:rsid w:val="00D45CA6"/>
    <w:rsid w:val="00D540AB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E406E"/>
    <w:rsid w:val="00DF4108"/>
    <w:rsid w:val="00DF4BAF"/>
    <w:rsid w:val="00E03C7E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1205"/>
    <w:rsid w:val="00EA070B"/>
    <w:rsid w:val="00EA7FC5"/>
    <w:rsid w:val="00EB16E5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EC0"/>
    <w:rsid w:val="00F36A38"/>
    <w:rsid w:val="00F40FAD"/>
    <w:rsid w:val="00F42F10"/>
    <w:rsid w:val="00F53836"/>
    <w:rsid w:val="00F55673"/>
    <w:rsid w:val="00F5791C"/>
    <w:rsid w:val="00F6749A"/>
    <w:rsid w:val="00F7266E"/>
    <w:rsid w:val="00F72BBD"/>
    <w:rsid w:val="00F900B0"/>
    <w:rsid w:val="00FA3FAE"/>
    <w:rsid w:val="00FB1AF2"/>
    <w:rsid w:val="00FB29A2"/>
    <w:rsid w:val="00FC7BDC"/>
    <w:rsid w:val="00FD0258"/>
    <w:rsid w:val="00FD1AD6"/>
    <w:rsid w:val="00FD324B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F4CD0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D489-BBF3-4D30-A745-942792F2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29</Pages>
  <Words>5152</Words>
  <Characters>30912</Characters>
  <Application>Microsoft Office Word</Application>
  <DocSecurity>0</DocSecurity>
  <Lines>257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505</cp:revision>
  <dcterms:created xsi:type="dcterms:W3CDTF">2016-11-11T09:14:00Z</dcterms:created>
  <dcterms:modified xsi:type="dcterms:W3CDTF">2017-01-12T20:53:00Z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