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知识图谱约束的 Think–Act–Observe–Reflect 多模态补全方法</w:t>
      </w:r>
    </w:p>
    <w:p>
      <w:pPr>
        <w:jc w:val="center"/>
      </w:pPr>
      <w:r>
        <w:rPr>
          <w:color w:val="666666"/>
          <w:sz w:val="22"/>
        </w:rPr>
        <w:t>论文方法章节草稿（面向 MMKGC 图像补全任务）</w:t>
      </w:r>
    </w:p>
    <w:p/>
    <w:p>
      <w:r>
        <w:rPr>
          <w:b/>
        </w:rPr>
        <w:t>摘要式概述：</w:t>
      </w:r>
      <w:r>
        <w:t>本文提出一种知识图谱约束的 Think–Act–Observe–Reflect 多模态补全框架，用于在已有实体模态和局部知识图谱证据不完整的情况下生成缺失的文本或图像模态。框架首先对局部关系进行高召回筛选，并构建带有事实可信度和证据引用的实体知识模型；随后通过关系重排序确定生成重点，将关系计划编译为受约束的 prompt；生成结果再由 KG-aware 的观察模块进行事实一致性、关系一致性和内容覆盖评估；最后根据违反项和遗漏项构造有限的反思反馈，用于安全重生成。该设计将知识图谱从静态输入转化为贯穿规划、生成和评估的可追溯约束。</w:t>
      </w:r>
    </w:p>
    <w:p>
      <w:pPr>
        <w:pStyle w:val="Heading1"/>
      </w:pPr>
      <w:r>
        <w:t>1. 问题定义</w:t>
      </w:r>
    </w:p>
    <w:p>
      <w:r>
        <w:t>给定目标实体 e 的已有模态 x_e、局部知识图谱 G_e，以及需要补全的缺失模态 m，目标是利用已有模态和知识图谱中的结构化事实与关系证据，生成缺失模态的候选 y，使其与实体身份、已有模态语义和图谱事实保持一致。本文重点处理 image completion，也保留 text completion 作为统一接口。</w:t>
      </w:r>
    </w:p>
    <w:p>
      <w:pPr>
        <w:pStyle w:val="Formula"/>
        <w:jc w:val="center"/>
      </w:pPr>
      <w:r>
        <w:t>G_e = (V_e, E_e),    y_m* = argmax_y  Consistency(y | x_e, G_e)  subject to  Valid(y, m)</w:t>
      </w:r>
    </w:p>
    <w:p>
      <w:r>
        <w:t>其中，V_e 和 E_e 分别表示目标实体局部邻域中的实体和关系边；Valid(y, m) 表示候选满足目标模态、格式和生成器约束；Consistency(y, G_e) 表示候选与知识图谱证据、实体画像和生成约束的一致程度。</w:t>
      </w:r>
    </w:p>
    <w:p>
      <w:pPr>
        <w:pStyle w:val="Heading1"/>
      </w:pPr>
      <w:r>
        <w:t>2. Think–Act–Observe–Reflect 总体框架</w:t>
      </w:r>
    </w:p>
    <w:p>
      <w:r>
        <w:t>现有 MMKGC 五阶段主链路可以在更高层抽象为四个认知环节。Think 对应关系粗筛、知识建模、可信度评估和关系重排序；Act 对应受关系计划控制的 prompt 生成和图像生成；Observe 对应 KG-aware 候选一致性排序；Reflect 对应根据观察结果进行的一次受约束 safer regeneration。该抽象不改变五个阶段的工程职责，而是为方法提供统一的闭环解释。</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1247"/>
            <w:vAlign w:val="center"/>
            <w:tcMar>
              <w:top w:w="80" w:type="dxa"/>
              <w:start w:w="100" w:type="dxa"/>
              <w:bottom w:w="80" w:type="dxa"/>
              <w:end w:w="100" w:type="dxa"/>
            </w:tcMar>
            <w:shd w:fill="1F4E79"/>
          </w:tcPr>
          <w:p>
            <w:pPr>
              <w:spacing w:after="0"/>
            </w:pPr>
            <w:r/>
            <w:r>
              <w:rPr>
                <w:b/>
                <w:color w:val="FFFFFF"/>
              </w:rPr>
              <w:t>闭环环节</w:t>
            </w:r>
          </w:p>
        </w:tc>
        <w:tc>
          <w:tcPr>
            <w:tcW w:type="dxa" w:w="1361"/>
            <w:vAlign w:val="center"/>
            <w:tcMar>
              <w:top w:w="80" w:type="dxa"/>
              <w:start w:w="100" w:type="dxa"/>
              <w:bottom w:w="80" w:type="dxa"/>
              <w:end w:w="100" w:type="dxa"/>
            </w:tcMar>
            <w:shd w:fill="1F4E79"/>
          </w:tcPr>
          <w:p>
            <w:pPr>
              <w:spacing w:after="0"/>
            </w:pPr>
            <w:r/>
            <w:r>
              <w:rPr>
                <w:b/>
                <w:color w:val="FFFFFF"/>
              </w:rPr>
              <w:t>对应阶段</w:t>
            </w:r>
          </w:p>
        </w:tc>
        <w:tc>
          <w:tcPr>
            <w:tcW w:type="dxa" w:w="3402"/>
            <w:vAlign w:val="center"/>
            <w:tcMar>
              <w:top w:w="80" w:type="dxa"/>
              <w:start w:w="100" w:type="dxa"/>
              <w:bottom w:w="80" w:type="dxa"/>
              <w:end w:w="100" w:type="dxa"/>
            </w:tcMar>
            <w:shd w:fill="1F4E79"/>
          </w:tcPr>
          <w:p>
            <w:pPr>
              <w:spacing w:after="0"/>
            </w:pPr>
            <w:r/>
            <w:r>
              <w:rPr>
                <w:b/>
                <w:color w:val="FFFFFF"/>
              </w:rPr>
              <w:t>核心问题</w:t>
            </w:r>
          </w:p>
        </w:tc>
        <w:tc>
          <w:tcPr>
            <w:tcW w:type="dxa" w:w="2835"/>
            <w:vAlign w:val="center"/>
            <w:tcMar>
              <w:top w:w="80" w:type="dxa"/>
              <w:start w:w="100" w:type="dxa"/>
              <w:bottom w:w="80" w:type="dxa"/>
              <w:end w:w="100" w:type="dxa"/>
            </w:tcMar>
            <w:shd w:fill="1F4E79"/>
          </w:tcPr>
          <w:p>
            <w:pPr>
              <w:spacing w:after="0"/>
            </w:pPr>
            <w:r/>
            <w:r>
              <w:rPr>
                <w:b/>
                <w:color w:val="FFFFFF"/>
              </w:rPr>
              <w:t>主要输出</w:t>
            </w:r>
          </w:p>
        </w:tc>
      </w:tr>
      <w:tr>
        <w:tc>
          <w:tcPr>
            <w:tcW w:type="dxa" w:w="1247"/>
            <w:vAlign w:val="center"/>
            <w:tcMar>
              <w:top w:w="80" w:type="dxa"/>
              <w:start w:w="100" w:type="dxa"/>
              <w:bottom w:w="80" w:type="dxa"/>
              <w:end w:w="100" w:type="dxa"/>
            </w:tcMar>
            <w:shd w:fill="F2F6FA"/>
          </w:tcPr>
          <w:p>
            <w:pPr>
              <w:spacing w:after="0"/>
            </w:pPr>
            <w:r/>
            <w:r>
              <w:rPr>
                <w:b w:val="0"/>
              </w:rPr>
              <w:t>Think</w:t>
            </w:r>
          </w:p>
        </w:tc>
        <w:tc>
          <w:tcPr>
            <w:tcW w:type="dxa" w:w="1361"/>
            <w:vAlign w:val="center"/>
            <w:tcMar>
              <w:top w:w="80" w:type="dxa"/>
              <w:start w:w="100" w:type="dxa"/>
              <w:bottom w:w="80" w:type="dxa"/>
              <w:end w:w="100" w:type="dxa"/>
            </w:tcMar>
            <w:shd w:fill="F2F6FA"/>
          </w:tcPr>
          <w:p>
            <w:pPr>
              <w:spacing w:after="0"/>
            </w:pPr>
            <w:r/>
            <w:r>
              <w:rPr>
                <w:b w:val="0"/>
              </w:rPr>
              <w:t>Stage 0–2</w:t>
            </w:r>
          </w:p>
        </w:tc>
        <w:tc>
          <w:tcPr>
            <w:tcW w:type="dxa" w:w="3402"/>
            <w:vAlign w:val="center"/>
            <w:tcMar>
              <w:top w:w="80" w:type="dxa"/>
              <w:start w:w="100" w:type="dxa"/>
              <w:bottom w:w="80" w:type="dxa"/>
              <w:end w:w="100" w:type="dxa"/>
            </w:tcMar>
            <w:shd w:fill="F2F6FA"/>
          </w:tcPr>
          <w:p>
            <w:pPr>
              <w:spacing w:after="0"/>
            </w:pPr>
            <w:r/>
            <w:r>
              <w:rPr>
                <w:b w:val="0"/>
              </w:rPr>
              <w:t>哪些证据可靠，哪些关系值得驱动生成？</w:t>
            </w:r>
          </w:p>
        </w:tc>
        <w:tc>
          <w:tcPr>
            <w:tcW w:type="dxa" w:w="2835"/>
            <w:vAlign w:val="center"/>
            <w:tcMar>
              <w:top w:w="80" w:type="dxa"/>
              <w:start w:w="100" w:type="dxa"/>
              <w:bottom w:w="80" w:type="dxa"/>
              <w:end w:w="100" w:type="dxa"/>
            </w:tcMar>
            <w:shd w:fill="F2F6FA"/>
          </w:tcPr>
          <w:p>
            <w:pPr>
              <w:spacing w:after="0"/>
            </w:pPr>
            <w:r/>
            <w:r>
              <w:rPr>
                <w:b w:val="0"/>
              </w:rPr>
              <w:t>知识模型、事实可信度、关系计划</w:t>
            </w:r>
          </w:p>
        </w:tc>
      </w:tr>
      <w:tr>
        <w:tc>
          <w:tcPr>
            <w:tcW w:type="dxa" w:w="1247"/>
            <w:vAlign w:val="center"/>
            <w:tcMar>
              <w:top w:w="80" w:type="dxa"/>
              <w:start w:w="100" w:type="dxa"/>
              <w:bottom w:w="80" w:type="dxa"/>
              <w:end w:w="100" w:type="dxa"/>
            </w:tcMar>
          </w:tcPr>
          <w:p>
            <w:pPr>
              <w:spacing w:after="0"/>
            </w:pPr>
            <w:r/>
            <w:r>
              <w:rPr>
                <w:b w:val="0"/>
              </w:rPr>
              <w:t>Act</w:t>
            </w:r>
          </w:p>
        </w:tc>
        <w:tc>
          <w:tcPr>
            <w:tcW w:type="dxa" w:w="1361"/>
            <w:vAlign w:val="center"/>
            <w:tcMar>
              <w:top w:w="80" w:type="dxa"/>
              <w:start w:w="100" w:type="dxa"/>
              <w:bottom w:w="80" w:type="dxa"/>
              <w:end w:w="100" w:type="dxa"/>
            </w:tcMar>
          </w:tcPr>
          <w:p>
            <w:pPr>
              <w:spacing w:after="0"/>
            </w:pPr>
            <w:r/>
            <w:r>
              <w:rPr>
                <w:b w:val="0"/>
              </w:rPr>
              <w:t>Stage 3</w:t>
            </w:r>
          </w:p>
        </w:tc>
        <w:tc>
          <w:tcPr>
            <w:tcW w:type="dxa" w:w="3402"/>
            <w:vAlign w:val="center"/>
            <w:tcMar>
              <w:top w:w="80" w:type="dxa"/>
              <w:start w:w="100" w:type="dxa"/>
              <w:bottom w:w="80" w:type="dxa"/>
              <w:end w:w="100" w:type="dxa"/>
            </w:tcMar>
          </w:tcPr>
          <w:p>
            <w:pPr>
              <w:spacing w:after="0"/>
            </w:pPr>
            <w:r/>
            <w:r>
              <w:rPr>
                <w:b w:val="0"/>
              </w:rPr>
              <w:t>如何把关系计划转化为生成行为？</w:t>
            </w:r>
          </w:p>
        </w:tc>
        <w:tc>
          <w:tcPr>
            <w:tcW w:type="dxa" w:w="2835"/>
            <w:vAlign w:val="center"/>
            <w:tcMar>
              <w:top w:w="80" w:type="dxa"/>
              <w:start w:w="100" w:type="dxa"/>
              <w:bottom w:w="80" w:type="dxa"/>
              <w:end w:w="100" w:type="dxa"/>
            </w:tcMar>
          </w:tcPr>
          <w:p>
            <w:pPr>
              <w:spacing w:after="0"/>
            </w:pPr>
            <w:r/>
            <w:r>
              <w:rPr>
                <w:b w:val="0"/>
              </w:rPr>
              <w:t>prompt、文本候选或图像候选</w:t>
            </w:r>
          </w:p>
        </w:tc>
      </w:tr>
      <w:tr>
        <w:tc>
          <w:tcPr>
            <w:tcW w:type="dxa" w:w="1247"/>
            <w:vAlign w:val="center"/>
            <w:tcMar>
              <w:top w:w="80" w:type="dxa"/>
              <w:start w:w="100" w:type="dxa"/>
              <w:bottom w:w="80" w:type="dxa"/>
              <w:end w:w="100" w:type="dxa"/>
            </w:tcMar>
            <w:shd w:fill="F2F6FA"/>
          </w:tcPr>
          <w:p>
            <w:pPr>
              <w:spacing w:after="0"/>
            </w:pPr>
            <w:r/>
            <w:r>
              <w:rPr>
                <w:b w:val="0"/>
              </w:rPr>
              <w:t>Observe</w:t>
            </w:r>
          </w:p>
        </w:tc>
        <w:tc>
          <w:tcPr>
            <w:tcW w:type="dxa" w:w="1361"/>
            <w:vAlign w:val="center"/>
            <w:tcMar>
              <w:top w:w="80" w:type="dxa"/>
              <w:start w:w="100" w:type="dxa"/>
              <w:bottom w:w="80" w:type="dxa"/>
              <w:end w:w="100" w:type="dxa"/>
            </w:tcMar>
            <w:shd w:fill="F2F6FA"/>
          </w:tcPr>
          <w:p>
            <w:pPr>
              <w:spacing w:after="0"/>
            </w:pPr>
            <w:r/>
            <w:r>
              <w:rPr>
                <w:b w:val="0"/>
              </w:rPr>
              <w:t>Stage 4</w:t>
            </w:r>
          </w:p>
        </w:tc>
        <w:tc>
          <w:tcPr>
            <w:tcW w:type="dxa" w:w="3402"/>
            <w:vAlign w:val="center"/>
            <w:tcMar>
              <w:top w:w="80" w:type="dxa"/>
              <w:start w:w="100" w:type="dxa"/>
              <w:bottom w:w="80" w:type="dxa"/>
              <w:end w:w="100" w:type="dxa"/>
            </w:tcMar>
            <w:shd w:fill="F2F6FA"/>
          </w:tcPr>
          <w:p>
            <w:pPr>
              <w:spacing w:after="0"/>
            </w:pPr>
            <w:r/>
            <w:r>
              <w:rPr>
                <w:b w:val="0"/>
              </w:rPr>
              <w:t>候选是否符合实体、事实和关系约束？</w:t>
            </w:r>
          </w:p>
        </w:tc>
        <w:tc>
          <w:tcPr>
            <w:tcW w:type="dxa" w:w="2835"/>
            <w:vAlign w:val="center"/>
            <w:tcMar>
              <w:top w:w="80" w:type="dxa"/>
              <w:start w:w="100" w:type="dxa"/>
              <w:bottom w:w="80" w:type="dxa"/>
              <w:end w:w="100" w:type="dxa"/>
            </w:tcMar>
            <w:shd w:fill="F2F6FA"/>
          </w:tcPr>
          <w:p>
            <w:pPr>
              <w:spacing w:after="0"/>
            </w:pPr>
            <w:r/>
            <w:r>
              <w:rPr>
                <w:b w:val="0"/>
              </w:rPr>
              <w:t>质量分数、违反项、覆盖信号</w:t>
            </w:r>
          </w:p>
        </w:tc>
      </w:tr>
      <w:tr>
        <w:tc>
          <w:tcPr>
            <w:tcW w:type="dxa" w:w="1247"/>
            <w:vAlign w:val="center"/>
            <w:tcMar>
              <w:top w:w="80" w:type="dxa"/>
              <w:start w:w="100" w:type="dxa"/>
              <w:bottom w:w="80" w:type="dxa"/>
              <w:end w:w="100" w:type="dxa"/>
            </w:tcMar>
          </w:tcPr>
          <w:p>
            <w:pPr>
              <w:spacing w:after="0"/>
            </w:pPr>
            <w:r/>
            <w:r>
              <w:rPr>
                <w:b w:val="0"/>
              </w:rPr>
              <w:t>Reflect</w:t>
            </w:r>
          </w:p>
        </w:tc>
        <w:tc>
          <w:tcPr>
            <w:tcW w:type="dxa" w:w="1361"/>
            <w:vAlign w:val="center"/>
            <w:tcMar>
              <w:top w:w="80" w:type="dxa"/>
              <w:start w:w="100" w:type="dxa"/>
              <w:bottom w:w="80" w:type="dxa"/>
              <w:end w:w="100" w:type="dxa"/>
            </w:tcMar>
          </w:tcPr>
          <w:p>
            <w:pPr>
              <w:spacing w:after="0"/>
            </w:pPr>
            <w:r/>
            <w:r>
              <w:rPr>
                <w:b w:val="0"/>
              </w:rPr>
              <w:t>反馈到 Stage 3，必要时反馈到 Stage 2</w:t>
            </w:r>
          </w:p>
        </w:tc>
        <w:tc>
          <w:tcPr>
            <w:tcW w:type="dxa" w:w="3402"/>
            <w:vAlign w:val="center"/>
            <w:tcMar>
              <w:top w:w="80" w:type="dxa"/>
              <w:start w:w="100" w:type="dxa"/>
              <w:bottom w:w="80" w:type="dxa"/>
              <w:end w:w="100" w:type="dxa"/>
            </w:tcMar>
          </w:tcPr>
          <w:p>
            <w:pPr>
              <w:spacing w:after="0"/>
            </w:pPr>
            <w:r/>
            <w:r>
              <w:rPr>
                <w:b w:val="0"/>
              </w:rPr>
              <w:t>如何修复违反和遗漏？</w:t>
            </w:r>
          </w:p>
        </w:tc>
        <w:tc>
          <w:tcPr>
            <w:tcW w:type="dxa" w:w="2835"/>
            <w:vAlign w:val="center"/>
            <w:tcMar>
              <w:top w:w="80" w:type="dxa"/>
              <w:start w:w="100" w:type="dxa"/>
              <w:bottom w:w="80" w:type="dxa"/>
              <w:end w:w="100" w:type="dxa"/>
            </w:tcMar>
          </w:tcPr>
          <w:p>
            <w:pPr>
              <w:spacing w:after="0"/>
            </w:pPr>
            <w:r/>
            <w:r>
              <w:rPr>
                <w:b w:val="0"/>
              </w:rPr>
              <w:t>结构化修正反馈、重新生成结果</w:t>
            </w:r>
          </w:p>
        </w:tc>
      </w:tr>
    </w:tbl>
    <w:p>
      <w:pPr>
        <w:spacing w:after="40"/>
      </w:pPr>
    </w:p>
    <w:p>
      <w:pPr>
        <w:pStyle w:val="Formula"/>
        <w:jc w:val="center"/>
      </w:pPr>
      <w:r>
        <w:t>K = Think(G_e, x_e),    P = Act(K, m),    y = Generate(P),    O = Observe(y, K),    P' = Reflect(P, O, K)</w:t>
      </w:r>
    </w:p>
    <w:p>
      <w:pPr>
        <w:pStyle w:val="Heading1"/>
      </w:pPr>
      <w:r>
        <w:t>3. Think：知识建模与关系重排序</w:t>
      </w:r>
    </w:p>
    <w:p>
      <w:r>
        <w:t>Think 阶段不要求生成模型自由地产生事实，而是首先建立一个可追溯、可分级使用的知识模型。其输入为局部图谱证据和已有模态，输出为实体画像、关系事实、可信度标签、模态约束和关系生成计划。</w:t>
      </w:r>
    </w:p>
    <w:p>
      <w:pPr>
        <w:pStyle w:val="Heading2"/>
      </w:pPr>
      <w:r>
        <w:t>3.1 局部关系筛选</w:t>
      </w:r>
    </w:p>
    <w:p>
      <w:r>
        <w:t>对于目标实体，从一跳邻域及有限路径上下文中获得候选关系集合：</w:t>
      </w:r>
    </w:p>
    <w:p>
      <w:pPr>
        <w:pStyle w:val="Formula"/>
        <w:jc w:val="center"/>
      </w:pPr>
      <w:r>
        <w:t>R_e = {r_1, r_2, ..., r_n}</w:t>
      </w:r>
    </w:p>
    <w:p>
      <w:r>
        <w:t>系统首先按关系和方向聚合邻居，保留频次、邻居实体、证据三元组和路径上下文，并过滤 ID、URL、归档和其他低生成价值的元数据关系。该步骤的目标是高召回地压缩知识邻域，而不是在此处完成最终关系选择。</w:t>
      </w:r>
    </w:p>
    <w:p>
      <w:pPr>
        <w:pStyle w:val="Heading2"/>
      </w:pPr>
      <w:r>
        <w:t>3.2 知识建模与事实可信度</w:t>
      </w:r>
    </w:p>
    <w:p>
      <w:r>
        <w:t>每个候选关系被转换为带证据引用的事实对象：</w:t>
      </w:r>
    </w:p>
    <w:p>
      <w:pPr>
        <w:pStyle w:val="Formula"/>
        <w:jc w:val="center"/>
      </w:pPr>
      <w:r>
        <w:t>f_i = (e, r_i, o_i, d_i, E_i, c_i)</w:t>
      </w:r>
    </w:p>
    <w:p>
      <w:r>
        <w:t>其中 r_i 为关系，o_i 为邻居实体，d_i 为关系方向，E_i 为支持事实的证据集合，c_i 为最终可信度。可信度由确定性证据先验和有限的语义修正共同决定：</w:t>
      </w:r>
    </w:p>
    <w:p>
      <w:pPr>
        <w:pStyle w:val="Formula"/>
        <w:jc w:val="center"/>
      </w:pPr>
      <w:r>
        <w:t>c_i = clip(c_i^prior + Δ_i, 0, 1),    Δ_i ∈ [-δ, δ]</w:t>
      </w:r>
    </w:p>
    <w:p>
      <w:r>
        <w:t>语义模型只能针对已有 fact_id 返回有限的修正量、风险等级和理由，不能新增事实、修改证据或直接指定生成权限。根据最终可信度和风险，事实被编译为以下四类使用策略：</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2268"/>
            <w:vAlign w:val="center"/>
            <w:tcMar>
              <w:top w:w="80" w:type="dxa"/>
              <w:start w:w="100" w:type="dxa"/>
              <w:bottom w:w="80" w:type="dxa"/>
              <w:end w:w="100" w:type="dxa"/>
            </w:tcMar>
            <w:shd w:fill="1F4E79"/>
          </w:tcPr>
          <w:p>
            <w:pPr>
              <w:spacing w:after="0"/>
            </w:pPr>
            <w:r/>
            <w:r>
              <w:rPr>
                <w:b/>
                <w:color w:val="FFFFFF"/>
              </w:rPr>
              <w:t>事实类别</w:t>
            </w:r>
          </w:p>
        </w:tc>
        <w:tc>
          <w:tcPr>
            <w:tcW w:type="dxa" w:w="2268"/>
            <w:vAlign w:val="center"/>
            <w:tcMar>
              <w:top w:w="80" w:type="dxa"/>
              <w:start w:w="100" w:type="dxa"/>
              <w:bottom w:w="80" w:type="dxa"/>
              <w:end w:w="100" w:type="dxa"/>
            </w:tcMar>
            <w:shd w:fill="1F4E79"/>
          </w:tcPr>
          <w:p>
            <w:pPr>
              <w:spacing w:after="0"/>
            </w:pPr>
            <w:r/>
            <w:r>
              <w:rPr>
                <w:b/>
                <w:color w:val="FFFFFF"/>
              </w:rPr>
              <w:t>生成使用方式</w:t>
            </w:r>
          </w:p>
        </w:tc>
        <w:tc>
          <w:tcPr>
            <w:tcW w:type="dxa" w:w="4309"/>
            <w:vAlign w:val="center"/>
            <w:tcMar>
              <w:top w:w="80" w:type="dxa"/>
              <w:start w:w="100" w:type="dxa"/>
              <w:bottom w:w="80" w:type="dxa"/>
              <w:end w:w="100" w:type="dxa"/>
            </w:tcMar>
            <w:shd w:fill="1F4E79"/>
          </w:tcPr>
          <w:p>
            <w:pPr>
              <w:spacing w:after="0"/>
            </w:pPr>
            <w:r/>
            <w:r>
              <w:rPr>
                <w:b/>
                <w:color w:val="FFFFFF"/>
              </w:rPr>
              <w:t>含义</w:t>
            </w:r>
          </w:p>
        </w:tc>
      </w:tr>
      <w:tr>
        <w:tc>
          <w:tcPr>
            <w:tcW w:type="dxa" w:w="2268"/>
            <w:vAlign w:val="center"/>
            <w:tcMar>
              <w:top w:w="80" w:type="dxa"/>
              <w:start w:w="100" w:type="dxa"/>
              <w:bottom w:w="80" w:type="dxa"/>
              <w:end w:w="100" w:type="dxa"/>
            </w:tcMar>
            <w:shd w:fill="F2F6FA"/>
          </w:tcPr>
          <w:p>
            <w:pPr>
              <w:spacing w:after="0"/>
            </w:pPr>
            <w:r/>
            <w:r>
              <w:rPr>
                <w:b w:val="0"/>
              </w:rPr>
              <w:t>direct_generation</w:t>
            </w:r>
          </w:p>
        </w:tc>
        <w:tc>
          <w:tcPr>
            <w:tcW w:type="dxa" w:w="2268"/>
            <w:vAlign w:val="center"/>
            <w:tcMar>
              <w:top w:w="80" w:type="dxa"/>
              <w:start w:w="100" w:type="dxa"/>
              <w:bottom w:w="80" w:type="dxa"/>
              <w:end w:w="100" w:type="dxa"/>
            </w:tcMar>
            <w:shd w:fill="F2F6FA"/>
          </w:tcPr>
          <w:p>
            <w:pPr>
              <w:spacing w:after="0"/>
            </w:pPr>
            <w:r/>
            <w:r>
              <w:rPr>
                <w:b w:val="0"/>
              </w:rPr>
              <w:t>must_include</w:t>
            </w:r>
          </w:p>
        </w:tc>
        <w:tc>
          <w:tcPr>
            <w:tcW w:type="dxa" w:w="4309"/>
            <w:vAlign w:val="center"/>
            <w:tcMar>
              <w:top w:w="80" w:type="dxa"/>
              <w:start w:w="100" w:type="dxa"/>
              <w:bottom w:w="80" w:type="dxa"/>
              <w:end w:w="100" w:type="dxa"/>
            </w:tcMar>
            <w:shd w:fill="F2F6FA"/>
          </w:tcPr>
          <w:p>
            <w:pPr>
              <w:spacing w:after="0"/>
            </w:pPr>
            <w:r/>
            <w:r>
              <w:rPr>
                <w:b w:val="0"/>
              </w:rPr>
              <w:t>有直接证据支持，可作为核心生成内容</w:t>
            </w:r>
          </w:p>
        </w:tc>
      </w:tr>
      <w:tr>
        <w:tc>
          <w:tcPr>
            <w:tcW w:type="dxa" w:w="2268"/>
            <w:vAlign w:val="center"/>
            <w:tcMar>
              <w:top w:w="80" w:type="dxa"/>
              <w:start w:w="100" w:type="dxa"/>
              <w:bottom w:w="80" w:type="dxa"/>
              <w:end w:w="100" w:type="dxa"/>
            </w:tcMar>
          </w:tcPr>
          <w:p>
            <w:pPr>
              <w:spacing w:after="0"/>
            </w:pPr>
            <w:r/>
            <w:r>
              <w:rPr>
                <w:b w:val="0"/>
              </w:rPr>
              <w:t>supporting_only</w:t>
            </w:r>
          </w:p>
        </w:tc>
        <w:tc>
          <w:tcPr>
            <w:tcW w:type="dxa" w:w="2268"/>
            <w:vAlign w:val="center"/>
            <w:tcMar>
              <w:top w:w="80" w:type="dxa"/>
              <w:start w:w="100" w:type="dxa"/>
              <w:bottom w:w="80" w:type="dxa"/>
              <w:end w:w="100" w:type="dxa"/>
            </w:tcMar>
          </w:tcPr>
          <w:p>
            <w:pPr>
              <w:spacing w:after="0"/>
            </w:pPr>
            <w:r/>
            <w:r>
              <w:rPr>
                <w:b w:val="0"/>
              </w:rPr>
              <w:t>should_include</w:t>
            </w:r>
          </w:p>
        </w:tc>
        <w:tc>
          <w:tcPr>
            <w:tcW w:type="dxa" w:w="4309"/>
            <w:vAlign w:val="center"/>
            <w:tcMar>
              <w:top w:w="80" w:type="dxa"/>
              <w:start w:w="100" w:type="dxa"/>
              <w:bottom w:w="80" w:type="dxa"/>
              <w:end w:w="100" w:type="dxa"/>
            </w:tcMar>
          </w:tcPr>
          <w:p>
            <w:pPr>
              <w:spacing w:after="0"/>
            </w:pPr>
            <w:r/>
            <w:r>
              <w:rPr>
                <w:b w:val="0"/>
              </w:rPr>
              <w:t>可以辅助生成，但不应替代实体身份</w:t>
            </w:r>
          </w:p>
        </w:tc>
      </w:tr>
      <w:tr>
        <w:tc>
          <w:tcPr>
            <w:tcW w:type="dxa" w:w="2268"/>
            <w:vAlign w:val="center"/>
            <w:tcMar>
              <w:top w:w="80" w:type="dxa"/>
              <w:start w:w="100" w:type="dxa"/>
              <w:bottom w:w="80" w:type="dxa"/>
              <w:end w:w="100" w:type="dxa"/>
            </w:tcMar>
            <w:shd w:fill="F2F6FA"/>
          </w:tcPr>
          <w:p>
            <w:pPr>
              <w:spacing w:after="0"/>
            </w:pPr>
            <w:r/>
            <w:r>
              <w:rPr>
                <w:b w:val="0"/>
              </w:rPr>
              <w:t>context_only</w:t>
            </w:r>
          </w:p>
        </w:tc>
        <w:tc>
          <w:tcPr>
            <w:tcW w:type="dxa" w:w="2268"/>
            <w:vAlign w:val="center"/>
            <w:tcMar>
              <w:top w:w="80" w:type="dxa"/>
              <w:start w:w="100" w:type="dxa"/>
              <w:bottom w:w="80" w:type="dxa"/>
              <w:end w:w="100" w:type="dxa"/>
            </w:tcMar>
            <w:shd w:fill="F2F6FA"/>
          </w:tcPr>
          <w:p>
            <w:pPr>
              <w:spacing w:after="0"/>
            </w:pPr>
            <w:r/>
            <w:r>
              <w:rPr>
                <w:b w:val="0"/>
              </w:rPr>
              <w:t>context_only</w:t>
            </w:r>
          </w:p>
        </w:tc>
        <w:tc>
          <w:tcPr>
            <w:tcW w:type="dxa" w:w="4309"/>
            <w:vAlign w:val="center"/>
            <w:tcMar>
              <w:top w:w="80" w:type="dxa"/>
              <w:start w:w="100" w:type="dxa"/>
              <w:bottom w:w="80" w:type="dxa"/>
              <w:end w:w="100" w:type="dxa"/>
            </w:tcMar>
            <w:shd w:fill="F2F6FA"/>
          </w:tcPr>
          <w:p>
            <w:pPr>
              <w:spacing w:after="0"/>
            </w:pPr>
            <w:r/>
            <w:r>
              <w:rPr>
                <w:b w:val="0"/>
              </w:rPr>
              <w:t>只提供背景，不作为确定事实表达</w:t>
            </w:r>
          </w:p>
        </w:tc>
      </w:tr>
      <w:tr>
        <w:tc>
          <w:tcPr>
            <w:tcW w:type="dxa" w:w="2268"/>
            <w:vAlign w:val="center"/>
            <w:tcMar>
              <w:top w:w="80" w:type="dxa"/>
              <w:start w:w="100" w:type="dxa"/>
              <w:bottom w:w="80" w:type="dxa"/>
              <w:end w:w="100" w:type="dxa"/>
            </w:tcMar>
          </w:tcPr>
          <w:p>
            <w:pPr>
              <w:spacing w:after="0"/>
            </w:pPr>
            <w:r/>
            <w:r>
              <w:rPr>
                <w:b w:val="0"/>
              </w:rPr>
              <w:t>excluded</w:t>
            </w:r>
          </w:p>
        </w:tc>
        <w:tc>
          <w:tcPr>
            <w:tcW w:type="dxa" w:w="2268"/>
            <w:vAlign w:val="center"/>
            <w:tcMar>
              <w:top w:w="80" w:type="dxa"/>
              <w:start w:w="100" w:type="dxa"/>
              <w:bottom w:w="80" w:type="dxa"/>
              <w:end w:w="100" w:type="dxa"/>
            </w:tcMar>
          </w:tcPr>
          <w:p>
            <w:pPr>
              <w:spacing w:after="0"/>
            </w:pPr>
            <w:r/>
            <w:r>
              <w:rPr>
                <w:b w:val="0"/>
              </w:rPr>
              <w:t>不进入正向约束</w:t>
            </w:r>
          </w:p>
        </w:tc>
        <w:tc>
          <w:tcPr>
            <w:tcW w:type="dxa" w:w="4309"/>
            <w:vAlign w:val="center"/>
            <w:tcMar>
              <w:top w:w="80" w:type="dxa"/>
              <w:start w:w="100" w:type="dxa"/>
              <w:bottom w:w="80" w:type="dxa"/>
              <w:end w:w="100" w:type="dxa"/>
            </w:tcMar>
          </w:tcPr>
          <w:p>
            <w:pPr>
              <w:spacing w:after="0"/>
            </w:pPr>
            <w:r/>
            <w:r>
              <w:rPr>
                <w:b w:val="0"/>
              </w:rPr>
              <w:t>风险过高或证据不足，禁止正向生成</w:t>
            </w:r>
          </w:p>
        </w:tc>
      </w:tr>
    </w:tbl>
    <w:p>
      <w:pPr>
        <w:spacing w:after="40"/>
      </w:pPr>
    </w:p>
    <w:p>
      <w:pPr>
        <w:pStyle w:val="Heading2"/>
      </w:pPr>
      <w:r>
        <w:t>3.3 关系重排序与生成计划</w:t>
      </w:r>
    </w:p>
    <w:p>
      <w:r>
        <w:t>为了使有限的候选预算集中于最有价值的关系，系统综合模态适配性、约束匹配、证据强度、生成效用和风险惩罚进行关系评分：</w:t>
      </w:r>
    </w:p>
    <w:p>
      <w:pPr>
        <w:pStyle w:val="Formula"/>
        <w:jc w:val="center"/>
      </w:pPr>
      <w:r>
        <w:t>S(r_i) = λ_1 M_i + λ_2 A_i + λ_3 E_i + λ_4 U_i - λ_5 Q_i</w:t>
      </w:r>
    </w:p>
    <w:p>
      <w:r>
        <w:t>其中 M_i 表示关系与目标模态的适配性，A_i 表示关系与生成约束的匹配度，E_i 表示证据强度，U_i 表示关系作为生成依据的效用，Q_i 表示风险惩罚。关系按分数和硬排除条件划分为 primary、secondary 和 context 三种角色，并进一步分配候选配额。</w:t>
      </w:r>
    </w:p>
    <w:p>
      <w:pPr>
        <w:pStyle w:val="CodeBlock"/>
      </w:pPr>
      <w:r>
        <w:t>{</w:t>
        <w:br/>
        <w:t xml:space="preserve">  "primary_relations": ["instance of", "creator"],</w:t>
        <w:br/>
        <w:t xml:space="preserve">  "secondary_relations": ["genre"],</w:t>
        <w:br/>
        <w:t xml:space="preserve">  "context_relations": ["country"],</w:t>
        <w:br/>
        <w:t xml:space="preserve">  "must_include": ["entity type", "creator"],</w:t>
        <w:br/>
        <w:t xml:space="preserve">  "should_include": ["genre"]</w:t>
        <w:br/>
        <w:t>}</w:t>
      </w:r>
    </w:p>
    <w:p>
      <w:pPr>
        <w:pStyle w:val="Heading1"/>
      </w:pPr>
      <w:r>
        <w:t>4. Act：关系条件化 Prompt 与图像生成</w:t>
      </w:r>
    </w:p>
    <w:p>
      <w:r>
        <w:t>Act 阶段将 Think 阶段产生的关系计划、实体画像和事实约束编译为可执行的生成指令。与直接将原始 KG 拼接到 prompt 不同，本文只将允许使用的事实和目标模态相关的关系传递给生成器，同时明确限制模型不得补充未被证据支持的精确细节。</w:t>
      </w:r>
    </w:p>
    <w:p>
      <w:pPr>
        <w:pStyle w:val="Heading2"/>
      </w:pPr>
      <w:r>
        <w:t>4.1 Prompt 规划</w:t>
      </w:r>
    </w:p>
    <w:p>
      <w:r>
        <w:t>对目标模态 m，prompt 由实体身份、主要关系、支持事实、视觉或文本场景线索以及不确定性边界共同组成：</w:t>
      </w:r>
    </w:p>
    <w:p>
      <w:pPr>
        <w:pStyle w:val="Formula"/>
        <w:jc w:val="center"/>
      </w:pPr>
      <w:r>
        <w:t>P_m = PromptPlanner(K, R_primary, R_secondary, C_m)</w:t>
      </w:r>
    </w:p>
    <w:p>
      <w:pPr>
        <w:pStyle w:val="ListBullet"/>
      </w:pPr>
      <w:r>
        <w:t>实体身份：实体类型、核心身份和语义领域。</w:t>
      </w:r>
    </w:p>
    <w:p>
      <w:pPr>
        <w:pStyle w:val="ListBullet"/>
      </w:pPr>
      <w:r>
        <w:t>关系重点：当前候选对应的 primary relation 及其支持关系。</w:t>
      </w:r>
    </w:p>
    <w:p>
      <w:pPr>
        <w:pStyle w:val="ListBullet"/>
      </w:pPr>
      <w:r>
        <w:t>证据约束：must_include、should_include 和 context_only 的分层内容。</w:t>
      </w:r>
    </w:p>
    <w:p>
      <w:pPr>
        <w:pStyle w:val="ListBullet"/>
      </w:pPr>
      <w:r>
        <w:t>安全边界：禁止把不确定事实转换为确定的视觉或文本细节。</w:t>
      </w:r>
    </w:p>
    <w:p>
      <w:pPr>
        <w:pStyle w:val="Heading2"/>
      </w:pPr>
      <w:r>
        <w:t>4.2 多候选图像生成</w:t>
      </w:r>
    </w:p>
    <w:p>
      <w:r>
        <w:t>为了避免单一 prompt 对生成结果的偶然性，系统围绕不同生成角度产生多个候选：identity anchor、evidence-grounded description、relation focus、attribute/context 和 semantic bridge。每个候选都绑定其 primary relation、supporting relations、证据三元组和使用的约束。</w:t>
      </w:r>
    </w:p>
    <w:p>
      <w:pPr>
        <w:pStyle w:val="Formula"/>
        <w:jc w:val="center"/>
      </w:pPr>
      <w:r>
        <w:t>I_j = G(P_j, z_j),    j = 1, ..., B</w:t>
      </w:r>
    </w:p>
    <w:p>
      <w:r>
        <w:t>其中 B 为候选预算，P_j 为关系条件化 prompt，z_j 表示采样随机性或生成条件。对于图像补全，Qwen prompt planner 负责生成图像 prompt，SDXL 负责生成实际 PNG artifact；对于文本补全，则由文本生成器直接生成候选文本。</w:t>
      </w:r>
    </w:p>
    <w:p>
      <w:pPr>
        <w:pStyle w:val="Heading1"/>
      </w:pPr>
      <w:r>
        <w:t>5. Observe：生成结果的知识一致性观察</w:t>
      </w:r>
    </w:p>
    <w:p>
      <w:r>
        <w:t>Observe 阶段不重新改变知识模型，而是检查候选是否符合 Think 阶段确定的证据边界和关系计划。它将生成质量、语义对齐、结构化知识对齐和 Judge 诊断组合为候选观察结果。</w:t>
      </w:r>
    </w:p>
    <w:p>
      <w:pPr>
        <w:pStyle w:val="Formula"/>
        <w:jc w:val="center"/>
      </w:pPr>
      <w:r>
        <w:t>O(y, K) = (q(y), a(y, K), g(y, K), V(y, K), M(y, K))</w:t>
      </w:r>
    </w:p>
    <w:p>
      <w:r>
        <w:t>q 表示生成质量，a 表示语义和模态对齐，g 表示与知识图谱事实的结构化对齐，V 表示违反项，M 表示遗漏项。</w:t>
      </w:r>
    </w:p>
    <w:p>
      <w:pPr>
        <w:pStyle w:val="Heading2"/>
      </w:pPr>
      <w:r>
        <w:t>5.1 事实与关系违反</w:t>
      </w:r>
    </w:p>
    <w:p>
      <w:r>
        <w:t>观察模块重点识别以下类型的问题：</w:t>
      </w:r>
    </w:p>
    <w:p>
      <w:pPr>
        <w:pStyle w:val="ListBullet"/>
      </w:pPr>
      <w:r>
        <w:t>实体身份不一致，例如实体类型或核心身份发生偏移。</w:t>
      </w:r>
    </w:p>
    <w:p>
      <w:pPr>
        <w:pStyle w:val="ListBullet"/>
      </w:pPr>
      <w:r>
        <w:t>候选引入了原始 KG 和允许事实中不存在的关系或属性。</w:t>
      </w:r>
    </w:p>
    <w:p>
      <w:pPr>
        <w:pStyle w:val="ListBullet"/>
      </w:pPr>
      <w:r>
        <w:t>候选内容与 KG 支持的关系方向、邻居实体或事实发生冲突。</w:t>
      </w:r>
    </w:p>
    <w:p>
      <w:pPr>
        <w:pStyle w:val="ListBullet"/>
      </w:pPr>
      <w:r>
        <w:t>候选使用了 excluded 或 high-risk 信息。</w:t>
      </w:r>
    </w:p>
    <w:p>
      <w:pPr>
        <w:pStyle w:val="ListBullet"/>
      </w:pPr>
      <w:r>
        <w:t>图像或文本没有体现当前候选的主要关系。</w:t>
      </w:r>
    </w:p>
    <w:p>
      <w:pPr>
        <w:pStyle w:val="Heading2"/>
      </w:pPr>
      <w:r>
        <w:t>5.2 关系覆盖与内容遗漏</w:t>
      </w:r>
    </w:p>
    <w:p>
      <w:r>
        <w:t>每个候选保留 expected_relation_coverage，用于记录该候选理论上应表达的关系。观察模块将其与候选实际表达出的事实或视觉语义进行比较，形成覆盖信号。对于文本候选，可以通过结构化三元组抽取与 KG 三元组对齐计算 Precision、Recall 和 F1；对于图像候选，则使用图文相似度、视觉判别器和 KG-aware Judge 的联合信号评估关系表达。</w:t>
      </w:r>
    </w:p>
    <w:p>
      <w:pPr>
        <w:pStyle w:val="Formula"/>
        <w:jc w:val="center"/>
      </w:pPr>
      <w:r>
        <w:t>Precision = |T_pred ∩ T_KG| / |T_pred|,    Recall = |T_pred ∩ T_KG| / |T_KG|</w:t>
      </w:r>
    </w:p>
    <w:p>
      <w:pPr>
        <w:pStyle w:val="Formula"/>
        <w:jc w:val="center"/>
      </w:pPr>
      <w:r>
        <w:t>F1 = 2 · Precision · Recall / (Precision + Recall)</w:t>
      </w:r>
    </w:p>
    <w:p>
      <w:r>
        <w:t>在论文表述中，观察模块不应只报告一个总分，还应将低 Recall 解释为潜在遗漏，将低 Precision 解释为潜在无依据内容。当前工程实现已经保留候选关系覆盖、结构化 KG 对齐、hard/soft violation 和 Judge evidence 等诊断字段，这些字段共同构成 Observe 的输出。</w:t>
      </w:r>
    </w:p>
    <w:p>
      <w:pPr>
        <w:pStyle w:val="Heading1"/>
      </w:pPr>
      <w:r>
        <w:t>6. Reflect：约束保持的反馈与安全重生成</w:t>
      </w:r>
    </w:p>
    <w:p>
      <w:r>
        <w:t>Reflect 阶段根据 Observe 的结果生成修正反馈，但不重新发明事实，也不允许模型绕过知识模型。其作用是将观察结果转换为下一次生成可执行的限制。</w:t>
      </w:r>
    </w:p>
    <w:p>
      <w:pPr>
        <w:pStyle w:val="Formula"/>
        <w:jc w:val="center"/>
      </w:pPr>
      <w:r>
        <w:t>Δ = Reflect(O, K, P),    P' = UpdatePrompt(P, Δ)</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2835"/>
            <w:vAlign w:val="center"/>
            <w:tcMar>
              <w:top w:w="80" w:type="dxa"/>
              <w:start w:w="100" w:type="dxa"/>
              <w:bottom w:w="80" w:type="dxa"/>
              <w:end w:w="100" w:type="dxa"/>
            </w:tcMar>
            <w:shd w:fill="1F4E79"/>
          </w:tcPr>
          <w:p>
            <w:pPr>
              <w:spacing w:after="0"/>
            </w:pPr>
            <w:r/>
            <w:r>
              <w:rPr>
                <w:b/>
                <w:color w:val="FFFFFF"/>
              </w:rPr>
              <w:t>观察问题</w:t>
            </w:r>
          </w:p>
        </w:tc>
        <w:tc>
          <w:tcPr>
            <w:tcW w:type="dxa" w:w="3969"/>
            <w:vAlign w:val="center"/>
            <w:tcMar>
              <w:top w:w="80" w:type="dxa"/>
              <w:start w:w="100" w:type="dxa"/>
              <w:bottom w:w="80" w:type="dxa"/>
              <w:end w:w="100" w:type="dxa"/>
            </w:tcMar>
            <w:shd w:fill="1F4E79"/>
          </w:tcPr>
          <w:p>
            <w:pPr>
              <w:spacing w:after="0"/>
            </w:pPr>
            <w:r/>
            <w:r>
              <w:rPr>
                <w:b/>
                <w:color w:val="FFFFFF"/>
              </w:rPr>
              <w:t>反馈动作</w:t>
            </w:r>
          </w:p>
        </w:tc>
        <w:tc>
          <w:tcPr>
            <w:tcW w:type="dxa" w:w="2268"/>
            <w:vAlign w:val="center"/>
            <w:tcMar>
              <w:top w:w="80" w:type="dxa"/>
              <w:start w:w="100" w:type="dxa"/>
              <w:bottom w:w="80" w:type="dxa"/>
              <w:end w:w="100" w:type="dxa"/>
            </w:tcMar>
            <w:shd w:fill="1F4E79"/>
          </w:tcPr>
          <w:p>
            <w:pPr>
              <w:spacing w:after="0"/>
            </w:pPr>
            <w:r/>
            <w:r>
              <w:rPr>
                <w:b/>
                <w:color w:val="FFFFFF"/>
              </w:rPr>
              <w:t>是否适合重生成</w:t>
            </w:r>
          </w:p>
        </w:tc>
      </w:tr>
      <w:tr>
        <w:tc>
          <w:tcPr>
            <w:tcW w:type="dxa" w:w="2835"/>
            <w:vAlign w:val="center"/>
            <w:tcMar>
              <w:top w:w="80" w:type="dxa"/>
              <w:start w:w="100" w:type="dxa"/>
              <w:bottom w:w="80" w:type="dxa"/>
              <w:end w:w="100" w:type="dxa"/>
            </w:tcMar>
            <w:shd w:fill="F2F6FA"/>
          </w:tcPr>
          <w:p>
            <w:pPr>
              <w:spacing w:after="0"/>
            </w:pPr>
            <w:r/>
            <w:r>
              <w:rPr>
                <w:b w:val="0"/>
              </w:rPr>
              <w:t>unsupported claim / fact</w:t>
            </w:r>
          </w:p>
        </w:tc>
        <w:tc>
          <w:tcPr>
            <w:tcW w:type="dxa" w:w="3969"/>
            <w:vAlign w:val="center"/>
            <w:tcMar>
              <w:top w:w="80" w:type="dxa"/>
              <w:start w:w="100" w:type="dxa"/>
              <w:bottom w:w="80" w:type="dxa"/>
              <w:end w:w="100" w:type="dxa"/>
            </w:tcMar>
            <w:shd w:fill="F2F6FA"/>
          </w:tcPr>
          <w:p>
            <w:pPr>
              <w:spacing w:after="0"/>
            </w:pPr>
            <w:r/>
            <w:r>
              <w:rPr>
                <w:b w:val="0"/>
              </w:rPr>
              <w:t>删除不受支持的内容</w:t>
            </w:r>
          </w:p>
        </w:tc>
        <w:tc>
          <w:tcPr>
            <w:tcW w:type="dxa" w:w="2268"/>
            <w:vAlign w:val="center"/>
            <w:tcMar>
              <w:top w:w="80" w:type="dxa"/>
              <w:start w:w="100" w:type="dxa"/>
              <w:bottom w:w="80" w:type="dxa"/>
              <w:end w:w="100" w:type="dxa"/>
            </w:tcMar>
            <w:shd w:fill="F2F6FA"/>
          </w:tcPr>
          <w:p>
            <w:pPr>
              <w:spacing w:after="0"/>
            </w:pPr>
            <w:r/>
            <w:r>
              <w:rPr>
                <w:b w:val="0"/>
              </w:rPr>
              <w:t>是</w:t>
            </w:r>
          </w:p>
        </w:tc>
      </w:tr>
      <w:tr>
        <w:tc>
          <w:tcPr>
            <w:tcW w:type="dxa" w:w="2835"/>
            <w:vAlign w:val="center"/>
            <w:tcMar>
              <w:top w:w="80" w:type="dxa"/>
              <w:start w:w="100" w:type="dxa"/>
              <w:bottom w:w="80" w:type="dxa"/>
              <w:end w:w="100" w:type="dxa"/>
            </w:tcMar>
          </w:tcPr>
          <w:p>
            <w:pPr>
              <w:spacing w:after="0"/>
            </w:pPr>
            <w:r/>
            <w:r>
              <w:rPr>
                <w:b w:val="0"/>
              </w:rPr>
              <w:t>relation or identity conflict</w:t>
            </w:r>
          </w:p>
        </w:tc>
        <w:tc>
          <w:tcPr>
            <w:tcW w:type="dxa" w:w="3969"/>
            <w:vAlign w:val="center"/>
            <w:tcMar>
              <w:top w:w="80" w:type="dxa"/>
              <w:start w:w="100" w:type="dxa"/>
              <w:bottom w:w="80" w:type="dxa"/>
              <w:end w:w="100" w:type="dxa"/>
            </w:tcMar>
          </w:tcPr>
          <w:p>
            <w:pPr>
              <w:spacing w:after="0"/>
            </w:pPr>
            <w:r/>
            <w:r>
              <w:rPr>
                <w:b w:val="0"/>
              </w:rPr>
              <w:t>保持实体身份并修正关系表达</w:t>
            </w:r>
          </w:p>
        </w:tc>
        <w:tc>
          <w:tcPr>
            <w:tcW w:type="dxa" w:w="2268"/>
            <w:vAlign w:val="center"/>
            <w:tcMar>
              <w:top w:w="80" w:type="dxa"/>
              <w:start w:w="100" w:type="dxa"/>
              <w:bottom w:w="80" w:type="dxa"/>
              <w:end w:w="100" w:type="dxa"/>
            </w:tcMar>
          </w:tcPr>
          <w:p>
            <w:pPr>
              <w:spacing w:after="0"/>
            </w:pPr>
            <w:r/>
            <w:r>
              <w:rPr>
                <w:b w:val="0"/>
              </w:rPr>
              <w:t>是；严重时重新选择关系</w:t>
            </w:r>
          </w:p>
        </w:tc>
      </w:tr>
      <w:tr>
        <w:tc>
          <w:tcPr>
            <w:tcW w:type="dxa" w:w="2835"/>
            <w:vAlign w:val="center"/>
            <w:tcMar>
              <w:top w:w="80" w:type="dxa"/>
              <w:start w:w="100" w:type="dxa"/>
              <w:bottom w:w="80" w:type="dxa"/>
              <w:end w:w="100" w:type="dxa"/>
            </w:tcMar>
            <w:shd w:fill="F2F6FA"/>
          </w:tcPr>
          <w:p>
            <w:pPr>
              <w:spacing w:after="0"/>
            </w:pPr>
            <w:r/>
            <w:r>
              <w:rPr>
                <w:b w:val="0"/>
              </w:rPr>
              <w:t>missing core evidence</w:t>
            </w:r>
          </w:p>
        </w:tc>
        <w:tc>
          <w:tcPr>
            <w:tcW w:type="dxa" w:w="3969"/>
            <w:vAlign w:val="center"/>
            <w:tcMar>
              <w:top w:w="80" w:type="dxa"/>
              <w:start w:w="100" w:type="dxa"/>
              <w:bottom w:w="80" w:type="dxa"/>
              <w:end w:w="100" w:type="dxa"/>
            </w:tcMar>
            <w:shd w:fill="F2F6FA"/>
          </w:tcPr>
          <w:p>
            <w:pPr>
              <w:spacing w:after="0"/>
            </w:pPr>
            <w:r/>
            <w:r>
              <w:rPr>
                <w:b w:val="0"/>
              </w:rPr>
              <w:t>补充已有 KG 支持的核心事实</w:t>
            </w:r>
          </w:p>
        </w:tc>
        <w:tc>
          <w:tcPr>
            <w:tcW w:type="dxa" w:w="2268"/>
            <w:vAlign w:val="center"/>
            <w:tcMar>
              <w:top w:w="80" w:type="dxa"/>
              <w:start w:w="100" w:type="dxa"/>
              <w:bottom w:w="80" w:type="dxa"/>
              <w:end w:w="100" w:type="dxa"/>
            </w:tcMar>
            <w:shd w:fill="F2F6FA"/>
          </w:tcPr>
          <w:p>
            <w:pPr>
              <w:spacing w:after="0"/>
            </w:pPr>
            <w:r/>
            <w:r>
              <w:rPr>
                <w:b w:val="0"/>
              </w:rPr>
              <w:t>是</w:t>
            </w:r>
          </w:p>
        </w:tc>
      </w:tr>
      <w:tr>
        <w:tc>
          <w:tcPr>
            <w:tcW w:type="dxa" w:w="2835"/>
            <w:vAlign w:val="center"/>
            <w:tcMar>
              <w:top w:w="80" w:type="dxa"/>
              <w:start w:w="100" w:type="dxa"/>
              <w:bottom w:w="80" w:type="dxa"/>
              <w:end w:w="100" w:type="dxa"/>
            </w:tcMar>
          </w:tcPr>
          <w:p>
            <w:pPr>
              <w:spacing w:after="0"/>
            </w:pPr>
            <w:r/>
            <w:r>
              <w:rPr>
                <w:b w:val="0"/>
              </w:rPr>
              <w:t>low relation coverage</w:t>
            </w:r>
          </w:p>
        </w:tc>
        <w:tc>
          <w:tcPr>
            <w:tcW w:type="dxa" w:w="3969"/>
            <w:vAlign w:val="center"/>
            <w:tcMar>
              <w:top w:w="80" w:type="dxa"/>
              <w:start w:w="100" w:type="dxa"/>
              <w:bottom w:w="80" w:type="dxa"/>
              <w:end w:w="100" w:type="dxa"/>
            </w:tcMar>
          </w:tcPr>
          <w:p>
            <w:pPr>
              <w:spacing w:after="0"/>
            </w:pPr>
            <w:r/>
            <w:r>
              <w:rPr>
                <w:b w:val="0"/>
              </w:rPr>
              <w:t>增强 selected relation 的表达</w:t>
            </w:r>
          </w:p>
        </w:tc>
        <w:tc>
          <w:tcPr>
            <w:tcW w:type="dxa" w:w="2268"/>
            <w:vAlign w:val="center"/>
            <w:tcMar>
              <w:top w:w="80" w:type="dxa"/>
              <w:start w:w="100" w:type="dxa"/>
              <w:bottom w:w="80" w:type="dxa"/>
              <w:end w:w="100" w:type="dxa"/>
            </w:tcMar>
          </w:tcPr>
          <w:p>
            <w:pPr>
              <w:spacing w:after="0"/>
            </w:pPr>
            <w:r/>
            <w:r>
              <w:rPr>
                <w:b w:val="0"/>
              </w:rPr>
              <w:t>是</w:t>
            </w:r>
          </w:p>
        </w:tc>
      </w:tr>
      <w:tr>
        <w:tc>
          <w:tcPr>
            <w:tcW w:type="dxa" w:w="2835"/>
            <w:vAlign w:val="center"/>
            <w:tcMar>
              <w:top w:w="80" w:type="dxa"/>
              <w:start w:w="100" w:type="dxa"/>
              <w:bottom w:w="80" w:type="dxa"/>
              <w:end w:w="100" w:type="dxa"/>
            </w:tcMar>
            <w:shd w:fill="F2F6FA"/>
          </w:tcPr>
          <w:p>
            <w:pPr>
              <w:spacing w:after="0"/>
            </w:pPr>
            <w:r/>
            <w:r>
              <w:rPr>
                <w:b w:val="0"/>
              </w:rPr>
              <w:t>generator/schema/service failure</w:t>
            </w:r>
          </w:p>
        </w:tc>
        <w:tc>
          <w:tcPr>
            <w:tcW w:type="dxa" w:w="3969"/>
            <w:vAlign w:val="center"/>
            <w:tcMar>
              <w:top w:w="80" w:type="dxa"/>
              <w:start w:w="100" w:type="dxa"/>
              <w:bottom w:w="80" w:type="dxa"/>
              <w:end w:w="100" w:type="dxa"/>
            </w:tcMar>
            <w:shd w:fill="F2F6FA"/>
          </w:tcPr>
          <w:p>
            <w:pPr>
              <w:spacing w:after="0"/>
            </w:pPr>
            <w:r/>
            <w:r>
              <w:rPr>
                <w:b w:val="0"/>
              </w:rPr>
              <w:t>记录系统失败，不把它伪装成内容问题</w:t>
            </w:r>
          </w:p>
        </w:tc>
        <w:tc>
          <w:tcPr>
            <w:tcW w:type="dxa" w:w="2268"/>
            <w:vAlign w:val="center"/>
            <w:tcMar>
              <w:top w:w="80" w:type="dxa"/>
              <w:start w:w="100" w:type="dxa"/>
              <w:bottom w:w="80" w:type="dxa"/>
              <w:end w:w="100" w:type="dxa"/>
            </w:tcMar>
            <w:shd w:fill="F2F6FA"/>
          </w:tcPr>
          <w:p>
            <w:pPr>
              <w:spacing w:after="0"/>
            </w:pPr>
            <w:r/>
            <w:r>
              <w:rPr>
                <w:b w:val="0"/>
              </w:rPr>
              <w:t>否；需由系统处理</w:t>
            </w:r>
          </w:p>
        </w:tc>
      </w:tr>
    </w:tbl>
    <w:p>
      <w:pPr>
        <w:spacing w:after="40"/>
      </w:pPr>
    </w:p>
    <w:p>
      <w:r>
        <w:t>反思反馈可以使用如下结构化表示：</w:t>
      </w:r>
    </w:p>
    <w:p>
      <w:pPr>
        <w:pStyle w:val="CodeBlock"/>
      </w:pPr>
      <w:r>
        <w:t>{</w:t>
        <w:br/>
        <w:t xml:space="preserve">  "repair_scope": "stage3",</w:t>
        <w:br/>
        <w:t xml:space="preserve">  "required_fact_refs": ["fact:creator"],</w:t>
        <w:br/>
        <w:t xml:space="preserve">  "remove_fact_refs": [],</w:t>
        <w:br/>
        <w:t xml:space="preserve">  "remove_relations": ["unsupported location"],</w:t>
        <w:br/>
        <w:t xml:space="preserve">  "missing_relations": ["creator"],</w:t>
        <w:br/>
        <w:t xml:space="preserve">  "repair_actions": [</w:t>
        <w:br/>
        <w:t xml:space="preserve">    "include graph-supported creator evidence",</w:t>
        <w:br/>
        <w:t xml:space="preserve">    "remove unsupported location claims"</w:t>
        <w:br/>
        <w:t xml:space="preserve">  ]</w:t>
        <w:br/>
        <w:t>}</w:t>
      </w:r>
    </w:p>
    <w:p>
      <w:r>
        <w:t>本文采用有限反思策略。若候选没有有效结果，或观察结果包含可由生成器修复的严重违反项，系统构造 safer regeneration feedback 并重新生成一次候选；否则直接保留当前排序结果。这种设计保证反思过程可审计、成本可控，也避免生成系统陷入无界循环。</w:t>
      </w:r>
    </w:p>
    <w:p>
      <w:pPr>
        <w:pStyle w:val="Heading1"/>
      </w:pPr>
      <w:r>
        <w:t>7. 统一推理算法</w:t>
      </w:r>
    </w:p>
    <w:p>
      <w:pPr>
        <w:pStyle w:val="CodeBlock"/>
      </w:pPr>
      <w:r>
        <w:t>Algorithm 1: KG-Grounded Think–Act–Observe–Reflect Completion</w:t>
        <w:br/>
        <w:t>Input: entity e, local KG G_e, existing modality x_e, target modality m</w:t>
        <w:br/>
        <w:t>1:  C &lt;- CoarseRelationFiltering(G_e, m)</w:t>
        <w:br/>
        <w:t>2:  K &lt;- KnowledgeModeling(C, x_e)</w:t>
        <w:br/>
        <w:t>3:  K &lt;- CredibilityAssessmentAndConstraintCompilation(K)</w:t>
        <w:br/>
        <w:t>4:  R &lt;- RelationReranking(K, m)</w:t>
        <w:br/>
        <w:t>5:  P &lt;- PromptPlanning(K, R, m)</w:t>
        <w:br/>
        <w:t>6:  Y &lt;- GenerateCandidates(P)</w:t>
        <w:br/>
        <w:t>7:  O &lt;- ObserveCandidates(Y, K, R)</w:t>
        <w:br/>
        <w:t>8:  if O contains repairable violations or unacceptable omissions then</w:t>
        <w:br/>
        <w:t>9:      Δ &lt;- Reflect(O, K, R)</w:t>
        <w:br/>
        <w:t>10:     P' &lt;- UpdatePrompt(P, Δ)</w:t>
        <w:br/>
        <w:t>11:     Y' &lt;- GenerateCandidates(P')</w:t>
        <w:br/>
        <w:t>12:     O' &lt;- ObserveCandidates(Y', K, R)</w:t>
        <w:br/>
        <w:t>13:     return BestValidCandidate(Y ∪ Y')</w:t>
        <w:br/>
        <w:t>14: else</w:t>
        <w:br/>
        <w:t>15:     return BestValidCandidate(Y)</w:t>
        <w:br/>
        <w:t>16: end if</w:t>
      </w:r>
    </w:p>
    <w:p>
      <w:pPr>
        <w:pStyle w:val="Heading1"/>
      </w:pPr>
      <w:r>
        <w:t>8. 与 MMKGC 当前实现的对应关系</w:t>
      </w:r>
    </w:p>
    <w:p>
      <w:r>
        <w:t>该方法抽象与当前代码的对应关系如下。论文中应明确说明：Think–Act–Observe–Reflect 是对现有五阶段主链路的统一方法解释，而不是声称已经实现了无限多轮自主反思。</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701"/>
            <w:vAlign w:val="center"/>
            <w:tcMar>
              <w:top w:w="80" w:type="dxa"/>
              <w:start w:w="100" w:type="dxa"/>
              <w:bottom w:w="80" w:type="dxa"/>
              <w:end w:w="100" w:type="dxa"/>
            </w:tcMar>
            <w:shd w:fill="1F4E79"/>
          </w:tcPr>
          <w:p>
            <w:pPr>
              <w:spacing w:after="0"/>
            </w:pPr>
            <w:r/>
            <w:r>
              <w:rPr>
                <w:b/>
                <w:color w:val="FFFFFF"/>
              </w:rPr>
              <w:t>方法概念</w:t>
            </w:r>
          </w:p>
        </w:tc>
        <w:tc>
          <w:tcPr>
            <w:tcW w:type="dxa" w:w="2268"/>
            <w:vAlign w:val="center"/>
            <w:tcMar>
              <w:top w:w="80" w:type="dxa"/>
              <w:start w:w="100" w:type="dxa"/>
              <w:bottom w:w="80" w:type="dxa"/>
              <w:end w:w="100" w:type="dxa"/>
            </w:tcMar>
            <w:shd w:fill="1F4E79"/>
          </w:tcPr>
          <w:p>
            <w:pPr>
              <w:spacing w:after="0"/>
            </w:pPr>
            <w:r/>
            <w:r>
              <w:rPr>
                <w:b/>
                <w:color w:val="FFFFFF"/>
              </w:rPr>
              <w:t>当前实现</w:t>
            </w:r>
          </w:p>
        </w:tc>
        <w:tc>
          <w:tcPr>
            <w:tcW w:type="dxa" w:w="5669"/>
            <w:vAlign w:val="center"/>
            <w:tcMar>
              <w:top w:w="80" w:type="dxa"/>
              <w:start w:w="100" w:type="dxa"/>
              <w:bottom w:w="80" w:type="dxa"/>
              <w:end w:w="100" w:type="dxa"/>
            </w:tcMar>
            <w:shd w:fill="1F4E79"/>
          </w:tcPr>
          <w:p>
            <w:pPr>
              <w:spacing w:after="0"/>
            </w:pPr>
            <w:r/>
            <w:r>
              <w:rPr>
                <w:b/>
                <w:color w:val="FFFFFF"/>
              </w:rPr>
              <w:t>说明</w:t>
            </w:r>
          </w:p>
        </w:tc>
      </w:tr>
      <w:tr>
        <w:tc>
          <w:tcPr>
            <w:tcW w:type="dxa" w:w="1701"/>
            <w:vAlign w:val="center"/>
            <w:tcMar>
              <w:top w:w="80" w:type="dxa"/>
              <w:start w:w="100" w:type="dxa"/>
              <w:bottom w:w="80" w:type="dxa"/>
              <w:end w:w="100" w:type="dxa"/>
            </w:tcMar>
            <w:shd w:fill="F2F6FA"/>
          </w:tcPr>
          <w:p>
            <w:pPr>
              <w:spacing w:after="0"/>
            </w:pPr>
            <w:r/>
            <w:r>
              <w:rPr>
                <w:b w:val="0"/>
              </w:rPr>
              <w:t>Think</w:t>
            </w:r>
          </w:p>
        </w:tc>
        <w:tc>
          <w:tcPr>
            <w:tcW w:type="dxa" w:w="2268"/>
            <w:vAlign w:val="center"/>
            <w:tcMar>
              <w:top w:w="80" w:type="dxa"/>
              <w:start w:w="100" w:type="dxa"/>
              <w:bottom w:w="80" w:type="dxa"/>
              <w:end w:w="100" w:type="dxa"/>
            </w:tcMar>
            <w:shd w:fill="F2F6FA"/>
          </w:tcPr>
          <w:p>
            <w:pPr>
              <w:spacing w:after="0"/>
            </w:pPr>
            <w:r/>
            <w:r>
              <w:rPr>
                <w:b w:val="0"/>
              </w:rPr>
              <w:t>Stage 0–2</w:t>
            </w:r>
          </w:p>
        </w:tc>
        <w:tc>
          <w:tcPr>
            <w:tcW w:type="dxa" w:w="5669"/>
            <w:vAlign w:val="center"/>
            <w:tcMar>
              <w:top w:w="80" w:type="dxa"/>
              <w:start w:w="100" w:type="dxa"/>
              <w:bottom w:w="80" w:type="dxa"/>
              <w:end w:w="100" w:type="dxa"/>
            </w:tcMar>
            <w:shd w:fill="F2F6FA"/>
          </w:tcPr>
          <w:p>
            <w:pPr>
              <w:spacing w:after="0"/>
            </w:pPr>
            <w:r/>
            <w:r>
              <w:rPr>
                <w:b w:val="0"/>
              </w:rPr>
              <w:t>coarse filtering、knowledge modeling、credibility/constraint compilation、relation selection</w:t>
            </w:r>
          </w:p>
        </w:tc>
      </w:tr>
      <w:tr>
        <w:tc>
          <w:tcPr>
            <w:tcW w:type="dxa" w:w="1701"/>
            <w:vAlign w:val="center"/>
            <w:tcMar>
              <w:top w:w="80" w:type="dxa"/>
              <w:start w:w="100" w:type="dxa"/>
              <w:bottom w:w="80" w:type="dxa"/>
              <w:end w:w="100" w:type="dxa"/>
            </w:tcMar>
          </w:tcPr>
          <w:p>
            <w:pPr>
              <w:spacing w:after="0"/>
            </w:pPr>
            <w:r/>
            <w:r>
              <w:rPr>
                <w:b w:val="0"/>
              </w:rPr>
              <w:t>Act</w:t>
            </w:r>
          </w:p>
        </w:tc>
        <w:tc>
          <w:tcPr>
            <w:tcW w:type="dxa" w:w="2268"/>
            <w:vAlign w:val="center"/>
            <w:tcMar>
              <w:top w:w="80" w:type="dxa"/>
              <w:start w:w="100" w:type="dxa"/>
              <w:bottom w:w="80" w:type="dxa"/>
              <w:end w:w="100" w:type="dxa"/>
            </w:tcMar>
          </w:tcPr>
          <w:p>
            <w:pPr>
              <w:spacing w:after="0"/>
            </w:pPr>
            <w:r/>
            <w:r>
              <w:rPr>
                <w:b w:val="0"/>
              </w:rPr>
              <w:t>Stage 3</w:t>
            </w:r>
          </w:p>
        </w:tc>
        <w:tc>
          <w:tcPr>
            <w:tcW w:type="dxa" w:w="5669"/>
            <w:vAlign w:val="center"/>
            <w:tcMar>
              <w:top w:w="80" w:type="dxa"/>
              <w:start w:w="100" w:type="dxa"/>
              <w:bottom w:w="80" w:type="dxa"/>
              <w:end w:w="100" w:type="dxa"/>
            </w:tcMar>
          </w:tcPr>
          <w:p>
            <w:pPr>
              <w:spacing w:after="0"/>
            </w:pPr>
            <w:r/>
            <w:r>
              <w:rPr>
                <w:b w:val="0"/>
              </w:rPr>
              <w:t>关系条件化候选生成；图像路径为 Qwen prompt planner + SDXL</w:t>
            </w:r>
          </w:p>
        </w:tc>
      </w:tr>
      <w:tr>
        <w:tc>
          <w:tcPr>
            <w:tcW w:type="dxa" w:w="1701"/>
            <w:vAlign w:val="center"/>
            <w:tcMar>
              <w:top w:w="80" w:type="dxa"/>
              <w:start w:w="100" w:type="dxa"/>
              <w:bottom w:w="80" w:type="dxa"/>
              <w:end w:w="100" w:type="dxa"/>
            </w:tcMar>
            <w:shd w:fill="F2F6FA"/>
          </w:tcPr>
          <w:p>
            <w:pPr>
              <w:spacing w:after="0"/>
            </w:pPr>
            <w:r/>
            <w:r>
              <w:rPr>
                <w:b w:val="0"/>
              </w:rPr>
              <w:t>Observe</w:t>
            </w:r>
          </w:p>
        </w:tc>
        <w:tc>
          <w:tcPr>
            <w:tcW w:type="dxa" w:w="2268"/>
            <w:vAlign w:val="center"/>
            <w:tcMar>
              <w:top w:w="80" w:type="dxa"/>
              <w:start w:w="100" w:type="dxa"/>
              <w:bottom w:w="80" w:type="dxa"/>
              <w:end w:w="100" w:type="dxa"/>
            </w:tcMar>
            <w:shd w:fill="F2F6FA"/>
          </w:tcPr>
          <w:p>
            <w:pPr>
              <w:spacing w:after="0"/>
            </w:pPr>
            <w:r/>
            <w:r>
              <w:rPr>
                <w:b w:val="0"/>
              </w:rPr>
              <w:t>Stage 4</w:t>
            </w:r>
          </w:p>
        </w:tc>
        <w:tc>
          <w:tcPr>
            <w:tcW w:type="dxa" w:w="5669"/>
            <w:vAlign w:val="center"/>
            <w:tcMar>
              <w:top w:w="80" w:type="dxa"/>
              <w:start w:w="100" w:type="dxa"/>
              <w:bottom w:w="80" w:type="dxa"/>
              <w:end w:w="100" w:type="dxa"/>
            </w:tcMar>
            <w:shd w:fill="F2F6FA"/>
          </w:tcPr>
          <w:p>
            <w:pPr>
              <w:spacing w:after="0"/>
            </w:pPr>
            <w:r/>
            <w:r>
              <w:rPr>
                <w:b w:val="0"/>
              </w:rPr>
              <w:t>hard gate、文本结构化 KG 对齐、CLIP/BLIP、Visual Judge、KG-aware Judge</w:t>
            </w:r>
          </w:p>
        </w:tc>
      </w:tr>
      <w:tr>
        <w:tc>
          <w:tcPr>
            <w:tcW w:type="dxa" w:w="1701"/>
            <w:vAlign w:val="center"/>
            <w:tcMar>
              <w:top w:w="80" w:type="dxa"/>
              <w:start w:w="100" w:type="dxa"/>
              <w:bottom w:w="80" w:type="dxa"/>
              <w:end w:w="100" w:type="dxa"/>
            </w:tcMar>
          </w:tcPr>
          <w:p>
            <w:pPr>
              <w:spacing w:after="0"/>
            </w:pPr>
            <w:r/>
            <w:r>
              <w:rPr>
                <w:b w:val="0"/>
              </w:rPr>
              <w:t>Reflect</w:t>
            </w:r>
          </w:p>
        </w:tc>
        <w:tc>
          <w:tcPr>
            <w:tcW w:type="dxa" w:w="2268"/>
            <w:vAlign w:val="center"/>
            <w:tcMar>
              <w:top w:w="80" w:type="dxa"/>
              <w:start w:w="100" w:type="dxa"/>
              <w:bottom w:w="80" w:type="dxa"/>
              <w:end w:w="100" w:type="dxa"/>
            </w:tcMar>
          </w:tcPr>
          <w:p>
            <w:pPr>
              <w:spacing w:after="0"/>
            </w:pPr>
            <w:r/>
            <w:r>
              <w:rPr>
                <w:b w:val="0"/>
              </w:rPr>
              <w:t>Stage 3 feedback</w:t>
            </w:r>
          </w:p>
        </w:tc>
        <w:tc>
          <w:tcPr>
            <w:tcW w:type="dxa" w:w="5669"/>
            <w:vAlign w:val="center"/>
            <w:tcMar>
              <w:top w:w="80" w:type="dxa"/>
              <w:start w:w="100" w:type="dxa"/>
              <w:bottom w:w="80" w:type="dxa"/>
              <w:end w:w="100" w:type="dxa"/>
            </w:tcMar>
          </w:tcPr>
          <w:p>
            <w:pPr>
              <w:spacing w:after="0"/>
            </w:pPr>
            <w:r/>
            <w:r>
              <w:rPr>
                <w:b w:val="0"/>
              </w:rPr>
              <w:t>当前为一次 safer regeneration；反馈来自 Stage 4 的可修复 violations</w:t>
            </w:r>
          </w:p>
        </w:tc>
      </w:tr>
    </w:tbl>
    <w:p>
      <w:pPr>
        <w:spacing w:after="40"/>
      </w:pPr>
    </w:p>
    <w:p>
      <w:pPr>
        <w:pStyle w:val="Heading1"/>
      </w:pPr>
      <w:r>
        <w:t>9. 方法边界与论文表述建议</w:t>
      </w:r>
    </w:p>
    <w:p>
      <w:pPr>
        <w:pStyle w:val="ListBullet"/>
      </w:pPr>
      <w:r>
        <w:t>将该方法描述为知识图谱约束的有限闭环，而不是通用自主智能体。</w:t>
      </w:r>
    </w:p>
    <w:p>
      <w:pPr>
        <w:pStyle w:val="ListBullet"/>
      </w:pPr>
      <w:r>
        <w:t>强调关系计划是 Think 与 Act 之间的中间表示，使知识证据可追踪到 prompt 和候选。</w:t>
      </w:r>
    </w:p>
    <w:p>
      <w:pPr>
        <w:pStyle w:val="ListBullet"/>
      </w:pPr>
      <w:r>
        <w:t>将 hard violation、soft violation、结构化对齐和 Judge evidence 统一作为 Observe 信号。</w:t>
      </w:r>
    </w:p>
    <w:p>
      <w:pPr>
        <w:pStyle w:val="ListBullet"/>
      </w:pPr>
      <w:r>
        <w:t>明确 Reflect 的修正范围：删除不支持内容、补充已有证据、强化已选关系，不创造新事实。</w:t>
      </w:r>
    </w:p>
    <w:p>
      <w:pPr>
        <w:pStyle w:val="ListBullet"/>
      </w:pPr>
      <w:r>
        <w:t>如果视觉关系抽取尚未完全稳定，应将图像侧关系遗漏描述为联合观察信号，而不要声称有完备视觉场景图推理。</w:t>
      </w:r>
    </w:p>
    <w:p>
      <w:pPr>
        <w:pStyle w:val="Heading1"/>
      </w:pPr>
      <w:r>
        <w:t>10. 论文方法章节结构建议</w:t>
      </w:r>
    </w:p>
    <w:p>
      <w:pPr>
        <w:pStyle w:val="ListNumber"/>
      </w:pPr>
      <w:r>
        <w:t>3.1 Problem Definition</w:t>
      </w:r>
    </w:p>
    <w:p>
      <w:pPr>
        <w:pStyle w:val="ListNumber"/>
      </w:pPr>
      <w:r>
        <w:t>3.2 Overview of the Think–Act–Observe–Reflect Framework</w:t>
      </w:r>
    </w:p>
    <w:p>
      <w:pPr>
        <w:pStyle w:val="ListNumber"/>
      </w:pPr>
      <w:r>
        <w:t>3.3 Think: Knowledge Modeling and Relation Reranking</w:t>
      </w:r>
    </w:p>
    <w:p>
      <w:pPr>
        <w:pStyle w:val="ListNumber"/>
      </w:pPr>
      <w:r>
        <w:t>3.4 Act: Relation-conditioned Prompt Planning and Image Generation</w:t>
      </w:r>
    </w:p>
    <w:p>
      <w:pPr>
        <w:pStyle w:val="ListNumber"/>
      </w:pPr>
      <w:r>
        <w:t>3.5 Observe: KG-aware Multimodal Consistency Evaluation</w:t>
      </w:r>
    </w:p>
    <w:p>
      <w:pPr>
        <w:pStyle w:val="ListNumber"/>
      </w:pPr>
      <w:r>
        <w:t>3.6 Reflect: Constraint-preserving Regeneration</w:t>
      </w:r>
    </w:p>
    <w:p>
      <w:pPr>
        <w:pStyle w:val="ListNumber"/>
      </w:pPr>
      <w:r>
        <w:t>3.7 Candidate Selection and Inference Procedure</w:t>
      </w:r>
    </w:p>
    <w:p>
      <w:pPr>
        <w:pStyle w:val="Heading1"/>
      </w:pPr>
      <w:r>
        <w:t>11. 可概括的论文贡献</w:t>
      </w:r>
    </w:p>
    <w:p>
      <w:pPr>
        <w:pStyle w:val="ListNumber"/>
      </w:pPr>
      <w:r>
        <w:t>提出一个以知识图谱为证据边界的 Think–Act–Observe–Reflect 多模态补全框架。</w:t>
      </w:r>
    </w:p>
    <w:p>
      <w:pPr>
        <w:pStyle w:val="ListNumber"/>
      </w:pPr>
      <w:r>
        <w:t>将关系重排序结果显式编译为 prompt 生成约束，降低无依据内容和关系偏移。</w:t>
      </w:r>
    </w:p>
    <w:p>
      <w:pPr>
        <w:pStyle w:val="ListNumber"/>
      </w:pPr>
      <w:r>
        <w:t>通过生成后观察与有限反思反馈，统一处理事实违反、关系不一致和内容遗漏。</w:t>
      </w:r>
    </w:p>
    <w:p/>
    <w:p>
      <w:r>
        <w:rPr>
          <w:b/>
        </w:rPr>
        <w:t>说明：</w:t>
      </w:r>
      <w:r>
        <w:t>本文档是根据当前 MMKGC 五阶段主链路整理的方法章节草稿。其中 Observe 和 Reflect 的表述保留了当前实现边界；若后续新增独立的关系覆盖检测或多轮反思控制器，可在第 5、6 节中继续扩展。</w:t>
      </w:r>
    </w:p>
    <w:sectPr w:rsidR="00FC693F" w:rsidRPr="0006063C" w:rsidSect="00034616">
      <w:headerReference w:type="default" r:id="rId9"/>
      <w:footerReference w:type="default" r:id="rId10"/>
      <w:pgSz w:w="12240" w:h="15840"/>
      <w:pgMar w:top="1304" w:right="130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等线" w:hAnsi="等线"/>
        <w:color w:val="7F7F7F"/>
        <w:sz w:val="16"/>
      </w:rPr>
      <w:t>方法章节草稿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等线" w:hAnsi="等线"/>
        <w:color w:val="7F7F7F"/>
        <w:sz w:val="16"/>
      </w:rPr>
      <w:t>MMKGC | Think–Act–Observe–Reflect 方法草案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F1F1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340" w:right="340"/>
    </w:pPr>
    <w:rPr>
      <w:rFonts w:ascii="Consolas" w:hAnsi="Consolas" w:eastAsia="等线"/>
      <w:color w:val="333333"/>
      <w:sz w:val="18"/>
    </w:rPr>
  </w:style>
  <w:style w:type="paragraph" w:customStyle="1" w:styleId="Formula">
    <w:name w:val="Formula"/>
    <w:pPr>
      <w:spacing w:before="80" w:after="160"/>
    </w:pPr>
    <w:rPr>
      <w:rFonts w:ascii="Cambria Math" w:hAnsi="Cambria Math" w:eastAsia="等线"/>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