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C92C" w14:textId="3E66FDD2" w:rsidR="001A7E46" w:rsidRDefault="001A7E46" w:rsidP="004E5406">
      <w:pPr>
        <w:pStyle w:val="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C4142A" w14:textId="7FC4E444" w:rsidR="000E6C9B" w:rsidRDefault="001A7E4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4938944" w:history="1">
            <w:r w:rsidR="000E6C9B" w:rsidRPr="00F861A2">
              <w:rPr>
                <w:rStyle w:val="Hyperlink"/>
                <w:rFonts w:cs="Times New Roman"/>
                <w:noProof/>
              </w:rPr>
              <w:t>1 Описание САПР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4A46617E" w14:textId="34B46E88" w:rsidR="000E6C9B" w:rsidRDefault="00BC493F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5" w:history="1">
            <w:r w:rsidR="000E6C9B" w:rsidRPr="00F861A2">
              <w:rPr>
                <w:rStyle w:val="Hyperlink"/>
                <w:noProof/>
              </w:rPr>
              <w:t>1.1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Hyperlink"/>
                <w:noProof/>
              </w:rPr>
              <w:t>Описание программы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_Toc34938945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916F2E2" w14:textId="465FB2C3" w:rsidR="000E6C9B" w:rsidRDefault="00BC493F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6" w:history="1">
            <w:r w:rsidR="000E6C9B" w:rsidRPr="00F861A2">
              <w:rPr>
                <w:rStyle w:val="Hyperlink"/>
                <w:noProof/>
                <w:lang w:val="en-US"/>
              </w:rPr>
              <w:t>1.2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Hyperlink"/>
                <w:noProof/>
              </w:rPr>
              <w:t xml:space="preserve">Описание </w:t>
            </w:r>
            <w:r w:rsidR="000E6C9B" w:rsidRPr="00F861A2">
              <w:rPr>
                <w:rStyle w:val="Hyperlink"/>
                <w:noProof/>
                <w:lang w:val="en-US"/>
              </w:rPr>
              <w:t>API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_Toc34938946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0708AA3" w14:textId="077B9F10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7" w:history="1">
            <w:r w:rsidR="000E6C9B" w:rsidRPr="00F861A2">
              <w:rPr>
                <w:rStyle w:val="Hyperlink"/>
                <w:noProof/>
              </w:rPr>
              <w:t>1.3 Обзор аналогов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_Toc34938947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7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8837472" w14:textId="5310FA97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8" w:history="1">
            <w:r w:rsidR="000E6C9B" w:rsidRPr="00F861A2">
              <w:rPr>
                <w:rStyle w:val="Hyperlink"/>
                <w:noProof/>
              </w:rPr>
              <w:t>2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_Toc34938948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9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616FC1A" w14:textId="2F16EEC3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9" w:history="1">
            <w:r w:rsidR="000E6C9B" w:rsidRPr="00F861A2">
              <w:rPr>
                <w:rStyle w:val="Hyperlink"/>
                <w:noProof/>
              </w:rPr>
              <w:t>3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_Toc34938949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2AD23E40" w14:textId="649FE5C4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0" w:history="1">
            <w:r w:rsidR="000E6C9B" w:rsidRPr="00F861A2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_Toc34938950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EAAD7B1" w14:textId="16118008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1" w:history="1">
            <w:r w:rsidR="000E6C9B" w:rsidRPr="00F861A2">
              <w:rPr>
                <w:rStyle w:val="Hyperlink"/>
                <w:noProof/>
              </w:rPr>
              <w:t>3.2 Диаграмма вариантов использования (</w:t>
            </w:r>
            <w:r w:rsidR="000E6C9B" w:rsidRPr="00F861A2">
              <w:rPr>
                <w:rStyle w:val="Hyperlink"/>
                <w:noProof/>
                <w:lang w:val="en-US"/>
              </w:rPr>
              <w:t>Use</w:t>
            </w:r>
            <w:r w:rsidR="000E6C9B" w:rsidRPr="00F861A2">
              <w:rPr>
                <w:rStyle w:val="Hyperlink"/>
                <w:noProof/>
              </w:rPr>
              <w:t xml:space="preserve"> </w:t>
            </w:r>
            <w:r w:rsidR="000E6C9B" w:rsidRPr="00F861A2">
              <w:rPr>
                <w:rStyle w:val="Hyperlink"/>
                <w:noProof/>
                <w:lang w:val="en-US"/>
              </w:rPr>
              <w:t>Cases</w:t>
            </w:r>
            <w:r w:rsidR="000E6C9B" w:rsidRPr="00F861A2">
              <w:rPr>
                <w:rStyle w:val="Hyperlink"/>
                <w:noProof/>
              </w:rPr>
              <w:t>)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_Toc34938951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B219537" w14:textId="3FB24ABA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2" w:history="1">
            <w:r w:rsidR="000E6C9B" w:rsidRPr="00F861A2">
              <w:rPr>
                <w:rStyle w:val="Hyperlink"/>
                <w:noProof/>
              </w:rPr>
              <w:t>3.3 Диаграмма классов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_Toc34938952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26638BF" w14:textId="22B5DC98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3" w:history="1">
            <w:r w:rsidR="000E6C9B" w:rsidRPr="00F861A2">
              <w:rPr>
                <w:rStyle w:val="Hyperlink"/>
                <w:noProof/>
              </w:rPr>
              <w:t>3.3 Макет пользовательского интерфейса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_Toc34938953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169BC218" w14:textId="362D0292" w:rsidR="000E6C9B" w:rsidRDefault="00BC49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4" w:history="1">
            <w:r w:rsidR="000E6C9B" w:rsidRPr="00F861A2">
              <w:rPr>
                <w:rStyle w:val="Hyperlink"/>
                <w:noProof/>
              </w:rPr>
              <w:t>Список литературы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983F414" w14:textId="08BC1025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Heading1"/>
        <w:ind w:left="360"/>
        <w:rPr>
          <w:rFonts w:cs="Times New Roman"/>
          <w:szCs w:val="28"/>
        </w:rPr>
      </w:pPr>
      <w:bookmarkStart w:id="0" w:name="_Toc34938944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Heading1"/>
        <w:numPr>
          <w:ilvl w:val="1"/>
          <w:numId w:val="1"/>
        </w:numPr>
      </w:pPr>
      <w:bookmarkStart w:id="1" w:name="_Toc34938945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r w:rsidRPr="00066D44">
        <w:t>Dassault Systemes</w:t>
      </w:r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Heading1"/>
        <w:numPr>
          <w:ilvl w:val="1"/>
          <w:numId w:val="1"/>
        </w:numPr>
        <w:rPr>
          <w:lang w:val="en-US"/>
        </w:rPr>
      </w:pPr>
      <w:bookmarkStart w:id="2" w:name="_Toc34938946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r w:rsidR="00082A00" w:rsidRPr="00082A00">
        <w:t>SolidWorks.Interop.sldworks</w:t>
      </w:r>
      <w:r w:rsidR="00082A00">
        <w:t>»</w:t>
      </w:r>
      <w:r w:rsidR="000B4330" w:rsidRPr="000B4330">
        <w:t>.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Mark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SelectBy</w:t>
            </w:r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</w:rPr>
              <w:t>TypeWanted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r w:rsidRPr="00352B90">
              <w:rPr>
                <w:rFonts w:cs="Times New Roman"/>
                <w:i/>
                <w:iCs/>
                <w:szCs w:val="28"/>
              </w:rPr>
              <w:t xml:space="preserve">Mark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ListParagraph"/>
              <w:numPr>
                <w:ilvl w:val="0"/>
                <w:numId w:val="17"/>
              </w:num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45728C">
              <w:rPr>
                <w:rFonts w:cs="Times New Roman"/>
                <w:szCs w:val="28"/>
              </w:rPr>
              <w:t>InsertSketch</w:t>
            </w:r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UpdateEditRebuild</w:t>
            </w:r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CreateC</w:t>
            </w:r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r w:rsidRPr="00607788">
              <w:rPr>
                <w:rFonts w:cs="Times New Roman"/>
                <w:szCs w:val="28"/>
              </w:rPr>
              <w:t>Rectangle</w:t>
            </w:r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ListParagraph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90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ListParagraph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Heading1"/>
      </w:pPr>
      <w:bookmarkStart w:id="3" w:name="_Toc34938947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>Макрос для Corel Draw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Corel Draw версии Х4 и выше. За основу разработки (в качестве идеи) лег макрос «Шипоящик».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«BoxConctructor». В настоящий момент макрос существенно переработан и расширен в плане функционала и распространяется на платной основе</w:t>
      </w:r>
      <w:r w:rsidR="00AD2F76" w:rsidRPr="00AD2F76">
        <w:t>[</w:t>
      </w:r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ListParagraph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Heading1"/>
      </w:pPr>
      <w:bookmarkStart w:id="4" w:name="_Toc34938948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C04E4F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Heading1"/>
      </w:pPr>
      <w:bookmarkStart w:id="5" w:name="_Toc34938949"/>
      <w:r w:rsidRPr="004C3DB0">
        <w:lastRenderedPageBreak/>
        <w:t xml:space="preserve">3 </w:t>
      </w:r>
      <w:r>
        <w:t>Описание предмета проектирования</w:t>
      </w:r>
      <w:bookmarkEnd w:id="5"/>
    </w:p>
    <w:p w14:paraId="5BB28936" w14:textId="1CBA62DA" w:rsidR="004C3DB0" w:rsidRDefault="004C3DB0" w:rsidP="004E5406">
      <w:pPr>
        <w:pStyle w:val="Heading1"/>
      </w:pPr>
      <w:bookmarkStart w:id="6" w:name="_Toc34938950"/>
      <w:r>
        <w:t>3.1 Описание технических и функциональных аспектов проекта</w:t>
      </w:r>
      <w:bookmarkEnd w:id="6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Heading1"/>
      </w:pPr>
      <w:bookmarkStart w:id="7" w:name="_Toc34938951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7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Heading1"/>
      </w:pPr>
      <w:bookmarkStart w:id="8" w:name="_Toc34938952"/>
      <w:r>
        <w:lastRenderedPageBreak/>
        <w:t>3.3 Диаграмма классов</w:t>
      </w:r>
      <w:bookmarkEnd w:id="8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770E39FC" w:rsidR="00724C62" w:rsidRDefault="00EE4D19" w:rsidP="00991B26">
      <w:pPr>
        <w:spacing w:after="0" w:line="360" w:lineRule="auto"/>
        <w:jc w:val="center"/>
      </w:pPr>
      <w:commentRangeStart w:id="9"/>
      <w:commentRangeEnd w:id="9"/>
      <w:r>
        <w:rPr>
          <w:rStyle w:val="CommentReference"/>
        </w:rPr>
        <w:commentReference w:id="9"/>
      </w:r>
      <w:commentRangeStart w:id="10"/>
      <w:commentRangeStart w:id="11"/>
      <w:commentRangeEnd w:id="10"/>
      <w:r w:rsidR="000920B5">
        <w:rPr>
          <w:rStyle w:val="CommentReference"/>
        </w:rPr>
        <w:commentReference w:id="10"/>
      </w:r>
      <w:commentRangeEnd w:id="11"/>
      <w:r w:rsidR="00F956A3">
        <w:rPr>
          <w:rStyle w:val="CommentReference"/>
        </w:rPr>
        <w:commentReference w:id="11"/>
      </w:r>
      <w:r w:rsidR="00C82E92">
        <w:rPr>
          <w:noProof/>
          <w:lang w:eastAsia="ru-RU"/>
        </w:rPr>
        <w:drawing>
          <wp:inline distT="0" distB="0" distL="0" distR="0" wp14:anchorId="2934EE4F" wp14:editId="3993D2E4">
            <wp:extent cx="59340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2F7B205A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C80AEF">
        <w:rPr>
          <w:lang w:val="en-US"/>
        </w:rPr>
        <w:t>Builder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>
        <w:t>», класс «</w:t>
      </w:r>
      <w:r>
        <w:rPr>
          <w:lang w:val="en-US"/>
        </w:rPr>
        <w:t>FormV</w:t>
      </w:r>
      <w:r w:rsidR="00F05E8A">
        <w:rPr>
          <w:lang w:val="en-US"/>
        </w:rPr>
        <w:t>alidator</w:t>
      </w:r>
      <w:r>
        <w:t>»</w:t>
      </w:r>
      <w:r w:rsidR="00F05E8A" w:rsidRPr="00F05E8A">
        <w:t xml:space="preserve"> </w:t>
      </w:r>
      <w:r w:rsidR="00F05E8A">
        <w:t>проверяет</w:t>
      </w:r>
      <w:r>
        <w:t xml:space="preserve"> </w:t>
      </w:r>
      <w:r w:rsidR="00F05E8A">
        <w:t>входные данные, введенные в графическом интерфейсе.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r w:rsidR="004E6CBA" w:rsidRPr="004E6CBA">
        <w:t>ValueOutOfRangeException</w:t>
      </w:r>
      <w:r w:rsidR="001C5831">
        <w:t>»</w:t>
      </w:r>
      <w:r w:rsidR="001C5831" w:rsidRPr="001C5831">
        <w:t xml:space="preserve">. </w:t>
      </w:r>
      <w:r w:rsidR="001C5831">
        <w:t>Класс «</w:t>
      </w:r>
      <w:r w:rsidR="001C5831">
        <w:rPr>
          <w:lang w:val="en-US"/>
        </w:rPr>
        <w:t>SizeRange</w:t>
      </w:r>
      <w:r w:rsidR="001C5831">
        <w:t>»</w:t>
      </w:r>
      <w:r w:rsidR="001C5831" w:rsidRPr="001C5831">
        <w:t xml:space="preserve"> </w:t>
      </w:r>
      <w:r w:rsidR="001C5831">
        <w:t>содержит диапазон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шкатулки,</w:t>
      </w:r>
      <w:r w:rsidR="001C5831">
        <w:t xml:space="preserve"> состоящие из</w:t>
      </w:r>
      <w:r w:rsidR="00BA5417">
        <w:t xml:space="preserve"> классов</w:t>
      </w:r>
      <w:r w:rsidR="001C5831">
        <w:t xml:space="preserve"> «</w:t>
      </w:r>
      <w:r w:rsidR="001C5831">
        <w:rPr>
          <w:lang w:val="en-US"/>
        </w:rPr>
        <w:t>Box</w:t>
      </w:r>
      <w:r w:rsidR="001C5831">
        <w:t>» и «</w:t>
      </w:r>
      <w:r w:rsidR="001C5831">
        <w:rPr>
          <w:lang w:val="en-US"/>
        </w:rPr>
        <w:t>Cap</w:t>
      </w:r>
      <w:r w:rsidR="001C5831">
        <w:t>»</w:t>
      </w:r>
      <w:r w:rsidR="001C5831" w:rsidRPr="000134FB">
        <w:t>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56C0A65A" w:rsidR="00724C62" w:rsidRDefault="00724C62" w:rsidP="004E5406">
      <w:pPr>
        <w:pStyle w:val="Heading1"/>
      </w:pPr>
      <w:bookmarkStart w:id="12" w:name="_Toc34938953"/>
      <w:r>
        <w:t>3.3 Макет пользовательского интерфейса</w:t>
      </w:r>
      <w:bookmarkEnd w:id="12"/>
    </w:p>
    <w:p w14:paraId="37BAB3F8" w14:textId="0817C107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>рфейса представляет собой форму для ввода пользовательских настроек формы для выпечки. Построение формы осуществляется путем нажатия на кнопку «Построить».</w:t>
      </w:r>
      <w:r w:rsidR="000920B5">
        <w:t xml:space="preserve"> </w:t>
      </w:r>
      <w:commentRangeStart w:id="13"/>
      <w:r w:rsidR="000920B5">
        <w:t>После ввода неверных данных</w:t>
      </w:r>
      <w:r w:rsidR="005D44C5" w:rsidRPr="005D44C5">
        <w:t xml:space="preserve"> </w:t>
      </w:r>
      <w:r w:rsidR="000920B5">
        <w:t xml:space="preserve">будет появляется сообщение об нарушении границ параметра ввода. </w:t>
      </w:r>
      <w:commentRangeEnd w:id="13"/>
      <w:r w:rsidR="00F956A3">
        <w:rPr>
          <w:rStyle w:val="CommentReference"/>
        </w:rPr>
        <w:commentReference w:id="13"/>
      </w:r>
      <w:r w:rsidR="005D44C5">
        <w:t xml:space="preserve">Ниже, на рисунке 3.3 представлен макет пользовательского </w:t>
      </w:r>
      <w:r w:rsidR="00015803">
        <w:t>интерфейса</w:t>
      </w:r>
      <w:r w:rsidR="005D44C5">
        <w:t>.</w:t>
      </w:r>
    </w:p>
    <w:p w14:paraId="668FFB39" w14:textId="022EC280" w:rsidR="005D44C5" w:rsidRPr="004E6CBA" w:rsidRDefault="00EB7D5E" w:rsidP="004E5406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1431A6" wp14:editId="714BC0C2">
            <wp:extent cx="2374265" cy="37649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4C5">
        <w:br/>
        <w:t>Рисунок 3.3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ListParagraph"/>
        <w:numPr>
          <w:ilvl w:val="0"/>
          <w:numId w:val="11"/>
        </w:numPr>
        <w:spacing w:after="0" w:line="360" w:lineRule="auto"/>
      </w:pPr>
      <w:r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ListParagraph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ListParagraph"/>
        <w:spacing w:after="0" w:line="360" w:lineRule="auto"/>
      </w:pPr>
      <w:r>
        <w:t>Для построения модели «Шкатулка» по умолчанию необходимо:</w:t>
      </w:r>
    </w:p>
    <w:p w14:paraId="5E7BD046" w14:textId="4E8FE813" w:rsidR="00EB7D5E" w:rsidRDefault="00EB7D5E" w:rsidP="00EB7D5E">
      <w:pPr>
        <w:pStyle w:val="ListParagraph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01C70649" w14:textId="2EAC600C" w:rsidR="00EB7D5E" w:rsidRDefault="00833396" w:rsidP="00833396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commentRangeStart w:id="14"/>
      <w:commentRangeStart w:id="15"/>
      <w:commentRangeStart w:id="16"/>
      <w:r w:rsidRPr="00015803">
        <w:t>;</w:t>
      </w:r>
      <w:commentRangeEnd w:id="14"/>
      <w:r w:rsidR="00EE4D19">
        <w:rPr>
          <w:rStyle w:val="CommentReference"/>
        </w:rPr>
        <w:commentReference w:id="14"/>
      </w:r>
      <w:commentRangeEnd w:id="15"/>
      <w:r w:rsidR="0090072A">
        <w:rPr>
          <w:rStyle w:val="CommentReference"/>
        </w:rPr>
        <w:commentReference w:id="15"/>
      </w:r>
      <w:commentRangeEnd w:id="16"/>
      <w:r w:rsidR="00F956A3">
        <w:rPr>
          <w:rStyle w:val="CommentReference"/>
        </w:rPr>
        <w:commentReference w:id="16"/>
      </w:r>
    </w:p>
    <w:p w14:paraId="2A0D7C51" w14:textId="77777777" w:rsidR="00EB7D5E" w:rsidRPr="00EB7D5E" w:rsidRDefault="00EB7D5E" w:rsidP="00EB7D5E">
      <w:pPr>
        <w:pStyle w:val="ListParagraph"/>
        <w:spacing w:after="0" w:line="360" w:lineRule="auto"/>
      </w:pPr>
    </w:p>
    <w:p w14:paraId="0CCBE9B3" w14:textId="77777777" w:rsidR="00EB7D5E" w:rsidRDefault="00EB7D5E" w:rsidP="00EB7D5E">
      <w:pPr>
        <w:pStyle w:val="ListParagraph"/>
        <w:spacing w:after="0" w:line="360" w:lineRule="auto"/>
        <w:ind w:left="708"/>
      </w:pPr>
    </w:p>
    <w:p w14:paraId="18054031" w14:textId="77777777" w:rsidR="003F0C63" w:rsidRDefault="003F0C63">
      <w:r>
        <w:br w:type="page"/>
      </w:r>
    </w:p>
    <w:p w14:paraId="6AB4BE45" w14:textId="05BC8F68" w:rsidR="003F0C63" w:rsidRPr="003F0C63" w:rsidRDefault="003F0C63" w:rsidP="003F0C63">
      <w:pPr>
        <w:pStyle w:val="Heading1"/>
      </w:pPr>
      <w:bookmarkStart w:id="17" w:name="_Toc34938954"/>
      <w:r>
        <w:lastRenderedPageBreak/>
        <w:t>Список литературы</w:t>
      </w:r>
      <w:bookmarkEnd w:id="17"/>
    </w:p>
    <w:p w14:paraId="3B233B3B" w14:textId="21C607F2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rPr>
          <w:szCs w:val="28"/>
          <w:lang w:val="en-US"/>
        </w:rPr>
        <w:t>Cpu</w:t>
      </w:r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8" w:history="1">
        <w:r w:rsidRPr="00926D3A">
          <w:rPr>
            <w:rStyle w:val="Hyperlink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9" w:history="1">
        <w:r w:rsidR="00F835F5" w:rsidRPr="00926D3A">
          <w:rPr>
            <w:rStyle w:val="Hyperlink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Kubernetes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20" w:history="1">
        <w:r w:rsidR="00F835F5" w:rsidRPr="00926D3A">
          <w:rPr>
            <w:rStyle w:val="Hyperlink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21" w:history="1">
        <w:r w:rsidRPr="005841D9">
          <w:rPr>
            <w:rStyle w:val="Hyperlink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22" w:history="1"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Hyperlink"/>
            <w:rFonts w:eastAsiaTheme="majorEastAsia"/>
            <w:shd w:val="clear" w:color="auto" w:fill="FFFFFF"/>
          </w:rPr>
          <w:t>://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gkmsoft</w:t>
        </w:r>
        <w:r w:rsidRPr="003F0C63">
          <w:rPr>
            <w:rStyle w:val="Hyperlink"/>
            <w:rFonts w:eastAsiaTheme="majorEastAsia"/>
            <w:shd w:val="clear" w:color="auto" w:fill="FFFFFF"/>
          </w:rPr>
          <w:t>.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ru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allcatalog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Hyperlink"/>
            <w:rFonts w:eastAsiaTheme="majorEastAsia"/>
            <w:shd w:val="clear" w:color="auto" w:fill="FFFFFF"/>
          </w:rPr>
          <w:t>2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dkompas</w:t>
        </w:r>
        <w:r w:rsidRPr="003F0C63">
          <w:rPr>
            <w:rStyle w:val="Hyperlink"/>
            <w:rFonts w:eastAsiaTheme="majorEastAsia"/>
            <w:shd w:val="clear" w:color="auto" w:fill="FFFFFF"/>
          </w:rPr>
          <w:t>_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3" w:history="1">
        <w:r w:rsidRPr="0084048E">
          <w:rPr>
            <w:rStyle w:val="Hyperlink"/>
            <w:shd w:val="clear" w:color="auto" w:fill="FFFFFF"/>
            <w:lang w:val="en-US"/>
          </w:rPr>
          <w:t>http</w:t>
        </w:r>
        <w:r w:rsidRPr="000F42E2">
          <w:rPr>
            <w:rStyle w:val="Hyperlink"/>
            <w:shd w:val="clear" w:color="auto" w:fill="FFFFFF"/>
          </w:rPr>
          <w:t>://</w:t>
        </w:r>
        <w:r w:rsidRPr="0084048E">
          <w:rPr>
            <w:rStyle w:val="Hyperlink"/>
            <w:shd w:val="clear" w:color="auto" w:fill="FFFFFF"/>
            <w:lang w:val="en-US"/>
          </w:rPr>
          <w:t>sapr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journal</w:t>
        </w:r>
        <w:r w:rsidRPr="000F42E2">
          <w:rPr>
            <w:rStyle w:val="Hyperlink"/>
            <w:shd w:val="clear" w:color="auto" w:fill="FFFFFF"/>
          </w:rPr>
          <w:t>.</w:t>
        </w:r>
        <w:r w:rsidRPr="0084048E">
          <w:rPr>
            <w:rStyle w:val="Hyperlink"/>
            <w:shd w:val="clear" w:color="auto" w:fill="FFFFFF"/>
            <w:lang w:val="en-US"/>
          </w:rPr>
          <w:t>ru</w:t>
        </w:r>
        <w:r w:rsidRPr="000F42E2">
          <w:rPr>
            <w:rStyle w:val="Hyperlink"/>
            <w:shd w:val="clear" w:color="auto" w:fill="FFFFFF"/>
          </w:rPr>
          <w:t>/</w:t>
        </w:r>
        <w:r w:rsidRPr="0084048E">
          <w:rPr>
            <w:rStyle w:val="Hyperlink"/>
            <w:shd w:val="clear" w:color="auto" w:fill="FFFFFF"/>
            <w:lang w:val="en-US"/>
          </w:rPr>
          <w:t>novosti</w:t>
        </w:r>
        <w:r w:rsidRPr="000F42E2">
          <w:rPr>
            <w:rStyle w:val="Hyperlink"/>
            <w:shd w:val="clear" w:color="auto" w:fill="FFFFFF"/>
          </w:rPr>
          <w:t>/</w:t>
        </w:r>
        <w:r w:rsidRPr="0084048E">
          <w:rPr>
            <w:rStyle w:val="Hyperlink"/>
            <w:shd w:val="clear" w:color="auto" w:fill="FFFFFF"/>
            <w:lang w:val="en-US"/>
          </w:rPr>
          <w:t>eksport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iz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kompas</w:t>
        </w:r>
        <w:r w:rsidRPr="000F42E2">
          <w:rPr>
            <w:rStyle w:val="Hyperlink"/>
            <w:shd w:val="clear" w:color="auto" w:fill="FFFFFF"/>
          </w:rPr>
          <w:t>-3</w:t>
        </w:r>
        <w:r w:rsidRPr="0084048E">
          <w:rPr>
            <w:rStyle w:val="Hyperlink"/>
            <w:shd w:val="clear" w:color="auto" w:fill="FFFFFF"/>
            <w:lang w:val="en-US"/>
          </w:rPr>
          <w:t>d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v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formate</w:t>
        </w:r>
        <w:r w:rsidRPr="000F42E2">
          <w:rPr>
            <w:rStyle w:val="Hyperlink"/>
            <w:shd w:val="clear" w:color="auto" w:fill="FFFFFF"/>
          </w:rPr>
          <w:t>-3</w:t>
        </w:r>
        <w:r w:rsidRPr="0084048E">
          <w:rPr>
            <w:rStyle w:val="Hyperlink"/>
            <w:shd w:val="clear" w:color="auto" w:fill="FFFFFF"/>
            <w:lang w:val="en-US"/>
          </w:rPr>
          <w:t>d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pdf</w:t>
        </w:r>
        <w:r w:rsidRPr="000F42E2">
          <w:rPr>
            <w:rStyle w:val="Hyperlink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4" w:history="1">
        <w:r w:rsidRPr="003F0C63">
          <w:rPr>
            <w:rStyle w:val="Hyperlink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Heading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90072A">
      <w:headerReference w:type="default" r:id="rId25"/>
      <w:pgSz w:w="11906" w:h="16838"/>
      <w:pgMar w:top="1134" w:right="72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Kalentyev Alexey" w:date="2020-04-04T19:47:00Z" w:initials="KA">
    <w:p w14:paraId="4B122499" w14:textId="714C3BF9" w:rsidR="00EE4D19" w:rsidRPr="00EE4D19" w:rsidRDefault="00EE4D19">
      <w:pPr>
        <w:pStyle w:val="CommentText"/>
      </w:pPr>
      <w:r>
        <w:rPr>
          <w:rStyle w:val="CommentReference"/>
        </w:rPr>
        <w:annotationRef/>
      </w:r>
      <w:r>
        <w:t xml:space="preserve">Класс </w:t>
      </w:r>
      <w:r>
        <w:rPr>
          <w:lang w:val="en-US"/>
        </w:rPr>
        <w:t>Builder</w:t>
      </w:r>
      <w:r w:rsidRPr="00EE4D19">
        <w:t xml:space="preserve"> </w:t>
      </w:r>
      <w:r>
        <w:t xml:space="preserve">связан с классами </w:t>
      </w:r>
      <w:r>
        <w:rPr>
          <w:lang w:val="en-US"/>
        </w:rPr>
        <w:t>Box</w:t>
      </w:r>
      <w:r w:rsidRPr="00EE4D19">
        <w:t xml:space="preserve">, </w:t>
      </w:r>
      <w:r>
        <w:rPr>
          <w:lang w:val="en-US"/>
        </w:rPr>
        <w:t>Cap</w:t>
      </w:r>
      <w:r w:rsidRPr="00EE4D19">
        <w:t xml:space="preserve"> </w:t>
      </w:r>
      <w:r>
        <w:t>–</w:t>
      </w:r>
      <w:r w:rsidRPr="00EE4D19">
        <w:t xml:space="preserve"> </w:t>
      </w:r>
      <w:r>
        <w:t xml:space="preserve">поставить связи. </w:t>
      </w:r>
      <w:r>
        <w:rPr>
          <w:lang w:val="en-US"/>
        </w:rPr>
        <w:t>IsometricView</w:t>
      </w:r>
      <w:r w:rsidRPr="00EE4D19">
        <w:t xml:space="preserve"> – </w:t>
      </w:r>
      <w:r>
        <w:t>две скобочки.</w:t>
      </w:r>
    </w:p>
    <w:p w14:paraId="451A1DEA" w14:textId="77777777" w:rsidR="00EE4D19" w:rsidRDefault="00EE4D19">
      <w:pPr>
        <w:pStyle w:val="CommentText"/>
      </w:pPr>
      <w:r>
        <w:t xml:space="preserve">Зачем разделили </w:t>
      </w:r>
      <w:r>
        <w:rPr>
          <w:lang w:val="en-US"/>
        </w:rPr>
        <w:t>Range</w:t>
      </w:r>
      <w:r w:rsidRPr="00EE4D19">
        <w:t xml:space="preserve"> </w:t>
      </w:r>
      <w:r>
        <w:t>и значения параметров? Есть ли вероятность, что эти сущности могут использоваться отдельно? Если нет, тогда соедините, т.к. это концептуально одна сущность.</w:t>
      </w:r>
    </w:p>
    <w:p w14:paraId="11283CB3" w14:textId="6FD3E143" w:rsidR="00EE4D19" w:rsidRPr="00EE4D19" w:rsidRDefault="00EE4D19">
      <w:pPr>
        <w:pStyle w:val="CommentText"/>
      </w:pPr>
      <w:r>
        <w:t xml:space="preserve">Класс </w:t>
      </w:r>
      <w:r>
        <w:rPr>
          <w:lang w:val="en-US"/>
        </w:rPr>
        <w:t>Casket</w:t>
      </w:r>
      <w:r w:rsidRPr="00EE4D19">
        <w:t xml:space="preserve"> – </w:t>
      </w:r>
      <w:r>
        <w:t xml:space="preserve">как так получается, что в параметры некоторых методов необходимо передавать сам объект </w:t>
      </w:r>
      <w:r>
        <w:rPr>
          <w:lang w:val="en-US"/>
        </w:rPr>
        <w:t>Casket</w:t>
      </w:r>
      <w:r w:rsidRPr="00EE4D19">
        <w:t xml:space="preserve"> </w:t>
      </w:r>
      <w:r>
        <w:t>–</w:t>
      </w:r>
      <w:r w:rsidRPr="00EE4D19">
        <w:t xml:space="preserve"> </w:t>
      </w:r>
      <w:r>
        <w:t>для чего это сделано?</w:t>
      </w:r>
    </w:p>
  </w:comment>
  <w:comment w:id="10" w:author="Rogozilio" w:date="2020-04-05T22:17:00Z" w:initials="R">
    <w:p w14:paraId="09CB282A" w14:textId="0B11FDE4" w:rsidR="000920B5" w:rsidRPr="000920B5" w:rsidRDefault="000920B5">
      <w:pPr>
        <w:pStyle w:val="CommentText"/>
      </w:pPr>
      <w:r>
        <w:rPr>
          <w:rStyle w:val="CommentReference"/>
        </w:rPr>
        <w:annotationRef/>
      </w:r>
      <w:r>
        <w:t xml:space="preserve">Исправил. Класс </w:t>
      </w:r>
      <w:r>
        <w:rPr>
          <w:lang w:val="en-US"/>
        </w:rPr>
        <w:t>SizeRange</w:t>
      </w:r>
      <w:r w:rsidRPr="000920B5">
        <w:t xml:space="preserve"> </w:t>
      </w:r>
      <w:r>
        <w:t>буду использовать в доп. Функциях плагина.</w:t>
      </w:r>
    </w:p>
  </w:comment>
  <w:comment w:id="11" w:author="Kalentyev Alexey" w:date="2020-04-19T19:44:00Z" w:initials="KA">
    <w:p w14:paraId="365B03A1" w14:textId="31AE823C" w:rsidR="00F956A3" w:rsidRPr="00F956A3" w:rsidRDefault="00F956A3">
      <w:pPr>
        <w:pStyle w:val="CommentText"/>
      </w:pPr>
      <w:r>
        <w:rPr>
          <w:rStyle w:val="CommentReference"/>
        </w:rPr>
        <w:annotationRef/>
      </w:r>
      <w:r>
        <w:t xml:space="preserve">Это всё хорошо, однако сейчас есть два разных класса с параметрами и один класс с диапазонами, включающий все параметры этих классов. Почему бы не добавить в </w:t>
      </w:r>
      <w:r>
        <w:rPr>
          <w:lang w:val="en-US"/>
        </w:rPr>
        <w:t>SizeRange</w:t>
      </w:r>
      <w:r w:rsidRPr="00F956A3">
        <w:t xml:space="preserve"> </w:t>
      </w:r>
      <w:r>
        <w:t xml:space="preserve">ещё </w:t>
      </w:r>
      <w:r>
        <w:rPr>
          <w:lang w:val="en-US"/>
        </w:rPr>
        <w:t>Value</w:t>
      </w:r>
      <w:r w:rsidRPr="00F956A3">
        <w:t xml:space="preserve">, </w:t>
      </w:r>
      <w:r>
        <w:t xml:space="preserve">переименовать в </w:t>
      </w:r>
      <w:r>
        <w:rPr>
          <w:lang w:val="en-US"/>
        </w:rPr>
        <w:t>RangedValue</w:t>
      </w:r>
      <w:r w:rsidRPr="00F956A3">
        <w:t xml:space="preserve"> </w:t>
      </w:r>
      <w:r>
        <w:t xml:space="preserve">и использовать напрямую в </w:t>
      </w:r>
      <w:r>
        <w:rPr>
          <w:lang w:val="en-US"/>
        </w:rPr>
        <w:t>Cap</w:t>
      </w:r>
      <w:r w:rsidRPr="00F956A3">
        <w:t xml:space="preserve"> </w:t>
      </w:r>
      <w:r>
        <w:t xml:space="preserve">и </w:t>
      </w:r>
      <w:r>
        <w:rPr>
          <w:lang w:val="en-US"/>
        </w:rPr>
        <w:t>Box</w:t>
      </w:r>
      <w:r w:rsidRPr="00F956A3">
        <w:t xml:space="preserve"> </w:t>
      </w:r>
      <w:r>
        <w:t xml:space="preserve">без класса </w:t>
      </w:r>
      <w:r>
        <w:rPr>
          <w:lang w:val="en-US"/>
        </w:rPr>
        <w:t>Range</w:t>
      </w:r>
      <w:r w:rsidRPr="00F956A3">
        <w:t>?</w:t>
      </w:r>
    </w:p>
  </w:comment>
  <w:comment w:id="13" w:author="Kalentyev Alexey" w:date="2020-04-19T19:46:00Z" w:initials="KA">
    <w:p w14:paraId="688E3827" w14:textId="57C564C6" w:rsidR="00F956A3" w:rsidRDefault="00F956A3">
      <w:pPr>
        <w:pStyle w:val="CommentText"/>
      </w:pPr>
      <w:r>
        <w:rPr>
          <w:rStyle w:val="CommentReference"/>
        </w:rPr>
        <w:annotationRef/>
      </w:r>
      <w:r>
        <w:t>Добавить сообщение, продемонстрировать – как оно будет показываться.</w:t>
      </w:r>
    </w:p>
  </w:comment>
  <w:comment w:id="14" w:author="Kalentyev Alexey" w:date="2020-04-04T19:51:00Z" w:initials="KA">
    <w:p w14:paraId="1AED1753" w14:textId="3C786250" w:rsidR="00EE4D19" w:rsidRDefault="00EE4D19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15" w:author="Rogozilio" w:date="2020-04-05T22:32:00Z" w:initials="R">
    <w:p w14:paraId="45CC7EC8" w14:textId="650F69C7" w:rsidR="0090072A" w:rsidRDefault="0090072A">
      <w:pPr>
        <w:pStyle w:val="CommentText"/>
      </w:pPr>
      <w:r>
        <w:rPr>
          <w:rStyle w:val="CommentReference"/>
        </w:rPr>
        <w:annotationRef/>
      </w:r>
      <w:r>
        <w:t>Исправлено.</w:t>
      </w:r>
    </w:p>
  </w:comment>
  <w:comment w:id="16" w:author="Kalentyev Alexey" w:date="2020-04-19T19:46:00Z" w:initials="KA">
    <w:p w14:paraId="0EC70474" w14:textId="7284B7DB" w:rsidR="00F956A3" w:rsidRPr="00F956A3" w:rsidRDefault="00F956A3">
      <w:pPr>
        <w:pStyle w:val="CommentText"/>
      </w:pPr>
      <w:r>
        <w:rPr>
          <w:rStyle w:val="CommentReference"/>
        </w:rPr>
        <w:annotationRef/>
      </w:r>
      <w:r>
        <w:t>Точка в конце списка.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283CB3" w15:done="0"/>
  <w15:commentEx w15:paraId="09CB282A" w15:paraIdParent="11283CB3" w15:done="0"/>
  <w15:commentEx w15:paraId="365B03A1" w15:paraIdParent="11283CB3" w15:done="0"/>
  <w15:commentEx w15:paraId="688E3827" w15:done="0"/>
  <w15:commentEx w15:paraId="1AED1753" w15:done="0"/>
  <w15:commentEx w15:paraId="45CC7EC8" w15:paraIdParent="1AED1753" w15:done="0"/>
  <w15:commentEx w15:paraId="0EC70474" w15:paraIdParent="1AED1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2DC" w16cex:dateUtc="2020-04-04T12:47:00Z"/>
  <w16cex:commentExtensible w16cex:durableId="22472890" w16cex:dateUtc="2020-04-19T12:44:00Z"/>
  <w16cex:commentExtensible w16cex:durableId="22472932" w16cex:dateUtc="2020-04-19T12:46:00Z"/>
  <w16cex:commentExtensible w16cex:durableId="223363D8" w16cex:dateUtc="2020-04-04T12:51:00Z"/>
  <w16cex:commentExtensible w16cex:durableId="2247291C" w16cex:dateUtc="2020-04-19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283CB3" w16cid:durableId="223362DC"/>
  <w16cid:commentId w16cid:paraId="09CB282A" w16cid:durableId="22472856"/>
  <w16cid:commentId w16cid:paraId="365B03A1" w16cid:durableId="22472890"/>
  <w16cid:commentId w16cid:paraId="688E3827" w16cid:durableId="22472932"/>
  <w16cid:commentId w16cid:paraId="1AED1753" w16cid:durableId="223363D8"/>
  <w16cid:commentId w16cid:paraId="45CC7EC8" w16cid:durableId="2247285A"/>
  <w16cid:commentId w16cid:paraId="0EC70474" w16cid:durableId="22472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D4921" w14:textId="77777777" w:rsidR="00BC493F" w:rsidRDefault="00BC493F" w:rsidP="001062E6">
      <w:pPr>
        <w:spacing w:after="0" w:line="240" w:lineRule="auto"/>
      </w:pPr>
      <w:r>
        <w:separator/>
      </w:r>
    </w:p>
  </w:endnote>
  <w:endnote w:type="continuationSeparator" w:id="0">
    <w:p w14:paraId="09D58681" w14:textId="77777777" w:rsidR="00BC493F" w:rsidRDefault="00BC493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FD7E2" w14:textId="77777777" w:rsidR="00BC493F" w:rsidRDefault="00BC493F" w:rsidP="001062E6">
      <w:pPr>
        <w:spacing w:after="0" w:line="240" w:lineRule="auto"/>
      </w:pPr>
      <w:r>
        <w:separator/>
      </w:r>
    </w:p>
  </w:footnote>
  <w:footnote w:type="continuationSeparator" w:id="0">
    <w:p w14:paraId="4C139DB1" w14:textId="77777777" w:rsidR="00BC493F" w:rsidRDefault="00BC493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5E7172CE" w:rsidR="001A7E46" w:rsidRDefault="001A7E4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590">
          <w:rPr>
            <w:noProof/>
          </w:rPr>
          <w:t>13</w:t>
        </w:r>
        <w:r>
          <w:fldChar w:fldCharType="end"/>
        </w:r>
      </w:p>
    </w:sdtContent>
  </w:sdt>
  <w:p w14:paraId="4A5CF2A2" w14:textId="77777777" w:rsidR="001A7E46" w:rsidRDefault="001A7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Rogozilio">
    <w15:presenceInfo w15:providerId="Windows Live" w15:userId="eb6ce9390f670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34FB"/>
    <w:rsid w:val="00015803"/>
    <w:rsid w:val="0005697C"/>
    <w:rsid w:val="00066D44"/>
    <w:rsid w:val="00082A00"/>
    <w:rsid w:val="000920B5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411E8"/>
    <w:rsid w:val="002623CF"/>
    <w:rsid w:val="003017A2"/>
    <w:rsid w:val="00311984"/>
    <w:rsid w:val="00336C7C"/>
    <w:rsid w:val="00352B90"/>
    <w:rsid w:val="003760EF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24C62"/>
    <w:rsid w:val="00773C48"/>
    <w:rsid w:val="007D7AE0"/>
    <w:rsid w:val="0080284B"/>
    <w:rsid w:val="00813934"/>
    <w:rsid w:val="00833396"/>
    <w:rsid w:val="0086568B"/>
    <w:rsid w:val="00871445"/>
    <w:rsid w:val="00897922"/>
    <w:rsid w:val="008C30D6"/>
    <w:rsid w:val="008F1CA5"/>
    <w:rsid w:val="008F78ED"/>
    <w:rsid w:val="0090072A"/>
    <w:rsid w:val="0091530F"/>
    <w:rsid w:val="009536AB"/>
    <w:rsid w:val="00991B26"/>
    <w:rsid w:val="009C735F"/>
    <w:rsid w:val="009E71CF"/>
    <w:rsid w:val="00A02617"/>
    <w:rsid w:val="00A42D5E"/>
    <w:rsid w:val="00A468D6"/>
    <w:rsid w:val="00A850C2"/>
    <w:rsid w:val="00AD2F76"/>
    <w:rsid w:val="00AF6A5A"/>
    <w:rsid w:val="00B15F8E"/>
    <w:rsid w:val="00B4132A"/>
    <w:rsid w:val="00BA5417"/>
    <w:rsid w:val="00BC493F"/>
    <w:rsid w:val="00BD0FCF"/>
    <w:rsid w:val="00C04E4F"/>
    <w:rsid w:val="00C22590"/>
    <w:rsid w:val="00C229A8"/>
    <w:rsid w:val="00C640FF"/>
    <w:rsid w:val="00C80AEF"/>
    <w:rsid w:val="00C82E92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4D19"/>
    <w:rsid w:val="00EE54D5"/>
    <w:rsid w:val="00F01C3A"/>
    <w:rsid w:val="00F05E8A"/>
    <w:rsid w:val="00F10542"/>
    <w:rsid w:val="00F835F5"/>
    <w:rsid w:val="00F841D1"/>
    <w:rsid w:val="00F956A3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5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1A7E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5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Strong">
    <w:name w:val="Strong"/>
    <w:basedOn w:val="DefaultParagraphFont"/>
    <w:uiPriority w:val="22"/>
    <w:qFormat/>
    <w:rsid w:val="003E3D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2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://cpu3d.com/grapplicat+/sistema-avtomatizirovannogo-proektirovaniy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mcs.mail.ru/help/75304-api/kubernetes-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uml.org/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://sapr-journal.ru/novosti/eksport-iz-kompas-3d-v-formate-3d-pd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ntersed.kiev.ua/solidworks_stand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://gkmsoft.ru/allcatalog/pdf2dkompas_plugi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55E5C-04C4-4C68-9589-AC66B49F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2088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3</cp:revision>
  <dcterms:created xsi:type="dcterms:W3CDTF">2020-04-05T15:32:00Z</dcterms:created>
  <dcterms:modified xsi:type="dcterms:W3CDTF">2020-04-19T12:47:00Z</dcterms:modified>
</cp:coreProperties>
</file>