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940" w:lineRule="auto"/>
        <w:rPr>
          <w:rFonts w:ascii="Roboto" w:cs="Roboto" w:eastAsia="Roboto" w:hAnsi="Roboto"/>
          <w:sz w:val="29"/>
          <w:szCs w:val="29"/>
        </w:rPr>
      </w:pPr>
      <w:hyperlink r:id="rId6">
        <w:r w:rsidDel="00000000" w:rsidR="00000000" w:rsidRPr="00000000">
          <w:rPr>
            <w:rFonts w:ascii="Roboto" w:cs="Roboto" w:eastAsia="Roboto" w:hAnsi="Roboto"/>
            <w:color w:val="1873b5"/>
            <w:sz w:val="29"/>
            <w:szCs w:val="29"/>
            <w:u w:val="single"/>
            <w:rtl w:val="0"/>
          </w:rPr>
          <w:t xml:space="preserve">Cobre</w:t>
        </w:r>
      </w:hyperlink>
      <w:r w:rsidDel="00000000" w:rsidR="00000000" w:rsidRPr="00000000">
        <w:rPr>
          <w:rFonts w:ascii="Roboto" w:cs="Roboto" w:eastAsia="Roboto" w:hAnsi="Roboto"/>
          <w:b w:val="1"/>
          <w:bCs w:val="1"/>
          <w:sz w:val="29"/>
          <w:szCs w:val="29"/>
          <w:rtl w:val="0"/>
        </w:rPr>
        <w:t xml:space="preserve"> de alta ley en Atacama</w:t>
      </w:r>
      <w:r w:rsidDel="00000000" w:rsidR="00000000" w:rsidRPr="00000000">
        <w:rPr>
          <w:rFonts w:ascii="Roboto" w:cs="Roboto" w:eastAsia="Roboto" w:hAnsi="Roboto"/>
          <w:sz w:val="29"/>
          <w:szCs w:val="29"/>
          <w:rtl w:val="0"/>
        </w:rPr>
        <w:t xml:space="preserve"> volvió a instalarse en el radar minero tras los resultados reportados en Cordillera </w:t>
      </w:r>
      <w:hyperlink r:id="rId7">
        <w:r w:rsidDel="00000000" w:rsidR="00000000" w:rsidRPr="00000000">
          <w:rPr>
            <w:rFonts w:ascii="Roboto" w:cs="Roboto" w:eastAsia="Roboto" w:hAnsi="Roboto"/>
            <w:color w:val="1873b5"/>
            <w:sz w:val="29"/>
            <w:szCs w:val="29"/>
            <w:u w:val="single"/>
            <w:rtl w:val="0"/>
          </w:rPr>
          <w:t xml:space="preserve">Cobre</w:t>
        </w:r>
      </w:hyperlink>
      <w:r w:rsidDel="00000000" w:rsidR="00000000" w:rsidRPr="00000000">
        <w:rPr>
          <w:rFonts w:ascii="Roboto" w:cs="Roboto" w:eastAsia="Roboto" w:hAnsi="Roboto"/>
          <w:sz w:val="29"/>
          <w:szCs w:val="29"/>
          <w:rtl w:val="0"/>
        </w:rPr>
        <w:t xml:space="preserve">, un proyecto ubicado al este-noreste de Copiapó que entregó muestras de hasta </w:t>
      </w:r>
      <w:r w:rsidDel="00000000" w:rsidR="00000000" w:rsidRPr="00000000">
        <w:rPr>
          <w:rFonts w:ascii="Roboto" w:cs="Roboto" w:eastAsia="Roboto" w:hAnsi="Roboto"/>
          <w:b w:val="1"/>
          <w:bCs w:val="1"/>
          <w:sz w:val="29"/>
          <w:szCs w:val="29"/>
          <w:rtl w:val="0"/>
        </w:rPr>
        <w:t xml:space="preserve">7,13% de </w:t>
      </w:r>
      <w:hyperlink r:id="rId8">
        <w:r w:rsidDel="00000000" w:rsidR="00000000" w:rsidRPr="00000000">
          <w:rPr>
            <w:rFonts w:ascii="Roboto" w:cs="Roboto" w:eastAsia="Roboto" w:hAnsi="Roboto"/>
            <w:color w:val="1873b5"/>
            <w:sz w:val="29"/>
            <w:szCs w:val="29"/>
            <w:u w:val="single"/>
            <w:rtl w:val="0"/>
          </w:rPr>
          <w:t xml:space="preserve">cobre</w:t>
        </w:r>
      </w:hyperlink>
      <w:r w:rsidDel="00000000" w:rsidR="00000000" w:rsidRPr="00000000">
        <w:rPr>
          <w:rFonts w:ascii="Roboto" w:cs="Roboto" w:eastAsia="Roboto" w:hAnsi="Roboto"/>
          <w:sz w:val="29"/>
          <w:szCs w:val="29"/>
          <w:rtl w:val="0"/>
        </w:rPr>
        <w:t xml:space="preserve"> y </w:t>
      </w:r>
      <w:r w:rsidDel="00000000" w:rsidR="00000000" w:rsidRPr="00000000">
        <w:rPr>
          <w:rFonts w:ascii="Roboto" w:cs="Roboto" w:eastAsia="Roboto" w:hAnsi="Roboto"/>
          <w:b w:val="1"/>
          <w:bCs w:val="1"/>
          <w:sz w:val="29"/>
          <w:szCs w:val="29"/>
          <w:rtl w:val="0"/>
        </w:rPr>
        <w:t xml:space="preserve">98,7 g/t de </w:t>
      </w:r>
      <w:hyperlink r:id="rId9">
        <w:r w:rsidDel="00000000" w:rsidR="00000000" w:rsidRPr="00000000">
          <w:rPr>
            <w:rFonts w:ascii="Roboto" w:cs="Roboto" w:eastAsia="Roboto" w:hAnsi="Roboto"/>
            <w:color w:val="1873b5"/>
            <w:sz w:val="29"/>
            <w:szCs w:val="29"/>
            <w:u w:val="single"/>
            <w:rtl w:val="0"/>
          </w:rPr>
          <w:t xml:space="preserve">plata</w:t>
        </w:r>
      </w:hyperlink>
      <w:r w:rsidDel="00000000" w:rsidR="00000000" w:rsidRPr="00000000">
        <w:rPr>
          <w:rFonts w:ascii="Roboto" w:cs="Roboto" w:eastAsia="Roboto" w:hAnsi="Roboto"/>
          <w:sz w:val="29"/>
          <w:szCs w:val="29"/>
          <w:rtl w:val="0"/>
        </w:rPr>
        <w:t xml:space="preserve"> en una zona que no había sido perforada anteriormente. El dato, por sí solo, ya llama la atención en una región donde el cobre domina la conversación estratégica, pero lo verdaderamente relevante es el contexto técnico: la campaña identificó nuevos blancos mineralizados, confirmó tres sectores con leyes destacadas en superficie y, además, sumó información geofísica que sugiere un sistema estructural de mayor escala. La compañía Super Copper informó que los clústeres mineralizados se distribuyen a lo largo de aproximadamente </w:t>
      </w:r>
      <w:r w:rsidDel="00000000" w:rsidR="00000000" w:rsidRPr="00000000">
        <w:rPr>
          <w:rFonts w:ascii="Roboto" w:cs="Roboto" w:eastAsia="Roboto" w:hAnsi="Roboto"/>
          <w:b w:val="1"/>
          <w:bCs w:val="1"/>
          <w:sz w:val="29"/>
          <w:szCs w:val="29"/>
          <w:rtl w:val="0"/>
        </w:rPr>
        <w:t xml:space="preserve">8 kilómetros de rumbo</w:t>
      </w:r>
      <w:r w:rsidDel="00000000" w:rsidR="00000000" w:rsidRPr="00000000">
        <w:rPr>
          <w:rFonts w:ascii="Roboto" w:cs="Roboto" w:eastAsia="Roboto" w:hAnsi="Roboto"/>
          <w:sz w:val="29"/>
          <w:szCs w:val="29"/>
          <w:rtl w:val="0"/>
        </w:rPr>
        <w:t xml:space="preserve">, mientras que el proyecto se emplaza dentro de un paquete de tierras de unas </w:t>
      </w:r>
      <w:r w:rsidDel="00000000" w:rsidR="00000000" w:rsidRPr="00000000">
        <w:rPr>
          <w:rFonts w:ascii="Roboto" w:cs="Roboto" w:eastAsia="Roboto" w:hAnsi="Roboto"/>
          <w:b w:val="1"/>
          <w:bCs w:val="1"/>
          <w:sz w:val="29"/>
          <w:szCs w:val="29"/>
          <w:rtl w:val="0"/>
        </w:rPr>
        <w:t xml:space="preserve">7.430 hectáreas</w:t>
      </w:r>
      <w:r w:rsidDel="00000000" w:rsidR="00000000" w:rsidRPr="00000000">
        <w:rPr>
          <w:rFonts w:ascii="Roboto" w:cs="Roboto" w:eastAsia="Roboto" w:hAnsi="Roboto"/>
          <w:sz w:val="29"/>
          <w:szCs w:val="29"/>
          <w:rtl w:val="0"/>
        </w:rPr>
        <w:t xml:space="preserve"> en la Región de Atacama, en uno de los cinturones cupríferos más observados del país. En una industria que sigue buscando nuevas fuentes de cobre frente a la presión de la demanda energética y tecnológica, este tipo de resultados no garantiza una mina, pero sí marca una diferencia: reduce incertidumbre geológica y aumenta el interés por la siguiente etapa, que inevitablemente será la perforación.</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520" w:before="0" w:line="301.68" w:lineRule="auto"/>
        <w:rPr>
          <w:rFonts w:ascii="Roboto" w:cs="Roboto" w:eastAsia="Roboto" w:hAnsi="Roboto"/>
          <w:b w:val="1"/>
          <w:bCs w:val="1"/>
          <w:sz w:val="53"/>
          <w:szCs w:val="53"/>
        </w:rPr>
      </w:pPr>
      <w:bookmarkStart w:colFirst="0" w:colLast="0" w:name="_mqarodn9z0wb" w:id="0"/>
      <w:bookmarkEnd w:id="0"/>
      <w:r w:rsidDel="00000000" w:rsidR="00000000" w:rsidRPr="00000000">
        <w:rPr>
          <w:rFonts w:ascii="Roboto" w:cs="Roboto" w:eastAsia="Roboto" w:hAnsi="Roboto"/>
          <w:b w:val="1"/>
          <w:bCs w:val="1"/>
          <w:sz w:val="53"/>
          <w:szCs w:val="53"/>
          <w:rtl w:val="0"/>
        </w:rPr>
        <w:t xml:space="preserve">Qué encontró exactamente la exploración en Cordillera Cobre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94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Lo más potente del anuncio es que no se trata de un solo valor aislado. Según el reporte de la empresa, la Fase 1 de exploración identificó </w:t>
      </w:r>
      <w:r w:rsidDel="00000000" w:rsidR="00000000" w:rsidRPr="00000000">
        <w:rPr>
          <w:rFonts w:ascii="Roboto" w:cs="Roboto" w:eastAsia="Roboto" w:hAnsi="Roboto"/>
          <w:b w:val="1"/>
          <w:bCs w:val="1"/>
          <w:sz w:val="29"/>
          <w:szCs w:val="29"/>
          <w:rtl w:val="0"/>
        </w:rPr>
        <w:t xml:space="preserve">dos nuevas zonas de cobre de alta ley en el sector norte del proyecto</w:t>
      </w:r>
      <w:r w:rsidDel="00000000" w:rsidR="00000000" w:rsidRPr="00000000">
        <w:rPr>
          <w:rFonts w:ascii="Roboto" w:cs="Roboto" w:eastAsia="Roboto" w:hAnsi="Roboto"/>
          <w:sz w:val="29"/>
          <w:szCs w:val="29"/>
          <w:rtl w:val="0"/>
        </w:rPr>
        <w:t xml:space="preserve">, una zona sin perforación histórica, con muestras de afloramiento de hasta </w:t>
      </w:r>
      <w:r w:rsidDel="00000000" w:rsidR="00000000" w:rsidRPr="00000000">
        <w:rPr>
          <w:rFonts w:ascii="Roboto" w:cs="Roboto" w:eastAsia="Roboto" w:hAnsi="Roboto"/>
          <w:b w:val="1"/>
          <w:bCs w:val="1"/>
          <w:sz w:val="29"/>
          <w:szCs w:val="29"/>
          <w:rtl w:val="0"/>
        </w:rPr>
        <w:t xml:space="preserve">7,13% Cu</w:t>
      </w:r>
      <w:r w:rsidDel="00000000" w:rsidR="00000000" w:rsidRPr="00000000">
        <w:rPr>
          <w:rFonts w:ascii="Roboto" w:cs="Roboto" w:eastAsia="Roboto" w:hAnsi="Roboto"/>
          <w:sz w:val="29"/>
          <w:szCs w:val="29"/>
          <w:rtl w:val="0"/>
        </w:rPr>
        <w:t xml:space="preserve"> y </w:t>
      </w:r>
      <w:r w:rsidDel="00000000" w:rsidR="00000000" w:rsidRPr="00000000">
        <w:rPr>
          <w:rFonts w:ascii="Roboto" w:cs="Roboto" w:eastAsia="Roboto" w:hAnsi="Roboto"/>
          <w:b w:val="1"/>
          <w:bCs w:val="1"/>
          <w:sz w:val="29"/>
          <w:szCs w:val="29"/>
          <w:rtl w:val="0"/>
        </w:rPr>
        <w:t xml:space="preserve">4,78% Cu</w:t>
      </w:r>
      <w:r w:rsidDel="00000000" w:rsidR="00000000" w:rsidRPr="00000000">
        <w:rPr>
          <w:rFonts w:ascii="Roboto" w:cs="Roboto" w:eastAsia="Roboto" w:hAnsi="Roboto"/>
          <w:sz w:val="29"/>
          <w:szCs w:val="29"/>
          <w:rtl w:val="0"/>
        </w:rPr>
        <w:t xml:space="preserve">. A eso se suman otros resultados relevantes: en el sector </w:t>
      </w:r>
      <w:r w:rsidDel="00000000" w:rsidR="00000000" w:rsidRPr="00000000">
        <w:rPr>
          <w:rFonts w:ascii="Roboto" w:cs="Roboto" w:eastAsia="Roboto" w:hAnsi="Roboto"/>
          <w:b w:val="1"/>
          <w:bCs w:val="1"/>
          <w:sz w:val="29"/>
          <w:szCs w:val="29"/>
          <w:rtl w:val="0"/>
        </w:rPr>
        <w:t xml:space="preserve">Anima Mine Trend</w:t>
      </w:r>
      <w:r w:rsidDel="00000000" w:rsidR="00000000" w:rsidRPr="00000000">
        <w:rPr>
          <w:rFonts w:ascii="Roboto" w:cs="Roboto" w:eastAsia="Roboto" w:hAnsi="Roboto"/>
          <w:sz w:val="29"/>
          <w:szCs w:val="29"/>
          <w:rtl w:val="0"/>
        </w:rPr>
        <w:t xml:space="preserve"> se reportó </w:t>
      </w:r>
      <w:r w:rsidDel="00000000" w:rsidR="00000000" w:rsidRPr="00000000">
        <w:rPr>
          <w:rFonts w:ascii="Roboto" w:cs="Roboto" w:eastAsia="Roboto" w:hAnsi="Roboto"/>
          <w:b w:val="1"/>
          <w:bCs w:val="1"/>
          <w:sz w:val="29"/>
          <w:szCs w:val="29"/>
          <w:rtl w:val="0"/>
        </w:rPr>
        <w:t xml:space="preserve">6,92% Cu en 1 metro</w:t>
      </w:r>
      <w:r w:rsidDel="00000000" w:rsidR="00000000" w:rsidRPr="00000000">
        <w:rPr>
          <w:rFonts w:ascii="Roboto" w:cs="Roboto" w:eastAsia="Roboto" w:hAnsi="Roboto"/>
          <w:sz w:val="29"/>
          <w:szCs w:val="29"/>
          <w:rtl w:val="0"/>
        </w:rPr>
        <w:t xml:space="preserve"> mediante muestreo tipo chip, mientras que en </w:t>
      </w:r>
      <w:r w:rsidDel="00000000" w:rsidR="00000000" w:rsidRPr="00000000">
        <w:rPr>
          <w:rFonts w:ascii="Roboto" w:cs="Roboto" w:eastAsia="Roboto" w:hAnsi="Roboto"/>
          <w:b w:val="1"/>
          <w:bCs w:val="1"/>
          <w:sz w:val="29"/>
          <w:szCs w:val="29"/>
          <w:rtl w:val="0"/>
        </w:rPr>
        <w:t xml:space="preserve">Calcite Hill</w:t>
      </w:r>
      <w:r w:rsidDel="00000000" w:rsidR="00000000" w:rsidRPr="00000000">
        <w:rPr>
          <w:rFonts w:ascii="Roboto" w:cs="Roboto" w:eastAsia="Roboto" w:hAnsi="Roboto"/>
          <w:sz w:val="29"/>
          <w:szCs w:val="29"/>
          <w:rtl w:val="0"/>
        </w:rPr>
        <w:t xml:space="preserve"> se obtuvo </w:t>
      </w:r>
      <w:r w:rsidDel="00000000" w:rsidR="00000000" w:rsidRPr="00000000">
        <w:rPr>
          <w:rFonts w:ascii="Roboto" w:cs="Roboto" w:eastAsia="Roboto" w:hAnsi="Roboto"/>
          <w:b w:val="1"/>
          <w:bCs w:val="1"/>
          <w:sz w:val="29"/>
          <w:szCs w:val="29"/>
          <w:rtl w:val="0"/>
        </w:rPr>
        <w:t xml:space="preserve">3,40% Cu en 1 metro</w:t>
      </w:r>
      <w:r w:rsidDel="00000000" w:rsidR="00000000" w:rsidRPr="00000000">
        <w:rPr>
          <w:rFonts w:ascii="Roboto" w:cs="Roboto" w:eastAsia="Roboto" w:hAnsi="Roboto"/>
          <w:sz w:val="29"/>
          <w:szCs w:val="29"/>
          <w:rtl w:val="0"/>
        </w:rPr>
        <w:t xml:space="preserve">. En paralelo, una zanja histórica en </w:t>
      </w:r>
      <w:r w:rsidDel="00000000" w:rsidR="00000000" w:rsidRPr="00000000">
        <w:rPr>
          <w:rFonts w:ascii="Roboto" w:cs="Roboto" w:eastAsia="Roboto" w:hAnsi="Roboto"/>
          <w:b w:val="1"/>
          <w:bCs w:val="1"/>
          <w:sz w:val="29"/>
          <w:szCs w:val="29"/>
          <w:rtl w:val="0"/>
        </w:rPr>
        <w:t xml:space="preserve">El Alto</w:t>
      </w:r>
      <w:r w:rsidDel="00000000" w:rsidR="00000000" w:rsidRPr="00000000">
        <w:rPr>
          <w:rFonts w:ascii="Roboto" w:cs="Roboto" w:eastAsia="Roboto" w:hAnsi="Roboto"/>
          <w:sz w:val="29"/>
          <w:szCs w:val="29"/>
          <w:rtl w:val="0"/>
        </w:rPr>
        <w:t xml:space="preserve"> devolvió </w:t>
      </w:r>
      <w:r w:rsidDel="00000000" w:rsidR="00000000" w:rsidRPr="00000000">
        <w:rPr>
          <w:rFonts w:ascii="Roboto" w:cs="Roboto" w:eastAsia="Roboto" w:hAnsi="Roboto"/>
          <w:b w:val="1"/>
          <w:bCs w:val="1"/>
          <w:sz w:val="29"/>
          <w:szCs w:val="29"/>
          <w:rtl w:val="0"/>
        </w:rPr>
        <w:t xml:space="preserve">17 metros con 0,34% Cu</w:t>
      </w:r>
      <w:r w:rsidDel="00000000" w:rsidR="00000000" w:rsidRPr="00000000">
        <w:rPr>
          <w:rFonts w:ascii="Roboto" w:cs="Roboto" w:eastAsia="Roboto" w:hAnsi="Roboto"/>
          <w:sz w:val="29"/>
          <w:szCs w:val="29"/>
          <w:rtl w:val="0"/>
        </w:rPr>
        <w:t xml:space="preserve">, incluyendo </w:t>
      </w:r>
      <w:r w:rsidDel="00000000" w:rsidR="00000000" w:rsidRPr="00000000">
        <w:rPr>
          <w:rFonts w:ascii="Roboto" w:cs="Roboto" w:eastAsia="Roboto" w:hAnsi="Roboto"/>
          <w:b w:val="1"/>
          <w:bCs w:val="1"/>
          <w:sz w:val="29"/>
          <w:szCs w:val="29"/>
          <w:rtl w:val="0"/>
        </w:rPr>
        <w:t xml:space="preserve">2 metros con 1,48% Cu</w:t>
      </w:r>
      <w:r w:rsidDel="00000000" w:rsidR="00000000" w:rsidRPr="00000000">
        <w:rPr>
          <w:rFonts w:ascii="Roboto" w:cs="Roboto" w:eastAsia="Roboto" w:hAnsi="Roboto"/>
          <w:sz w:val="29"/>
          <w:szCs w:val="29"/>
          <w:rtl w:val="0"/>
        </w:rPr>
        <w:t xml:space="preserve">, un ancho que ayuda a sostener la idea de continuidad mineralizada bajo superficie. En total, el programa reunió </w:t>
      </w:r>
      <w:r w:rsidDel="00000000" w:rsidR="00000000" w:rsidRPr="00000000">
        <w:rPr>
          <w:rFonts w:ascii="Roboto" w:cs="Roboto" w:eastAsia="Roboto" w:hAnsi="Roboto"/>
          <w:b w:val="1"/>
          <w:bCs w:val="1"/>
          <w:sz w:val="29"/>
          <w:szCs w:val="29"/>
          <w:rtl w:val="0"/>
        </w:rPr>
        <w:t xml:space="preserve">102 muestras de roca</w:t>
      </w:r>
      <w:r w:rsidDel="00000000" w:rsidR="00000000" w:rsidRPr="00000000">
        <w:rPr>
          <w:rFonts w:ascii="Roboto" w:cs="Roboto" w:eastAsia="Roboto" w:hAnsi="Roboto"/>
          <w:sz w:val="29"/>
          <w:szCs w:val="29"/>
          <w:rtl w:val="0"/>
        </w:rPr>
        <w:t xml:space="preserve">, de las cuales </w:t>
      </w:r>
      <w:r w:rsidDel="00000000" w:rsidR="00000000" w:rsidRPr="00000000">
        <w:rPr>
          <w:rFonts w:ascii="Roboto" w:cs="Roboto" w:eastAsia="Roboto" w:hAnsi="Roboto"/>
          <w:b w:val="1"/>
          <w:bCs w:val="1"/>
          <w:sz w:val="29"/>
          <w:szCs w:val="29"/>
          <w:rtl w:val="0"/>
        </w:rPr>
        <w:t xml:space="preserve">24 superaron 1% de cobre</w:t>
      </w:r>
      <w:r w:rsidDel="00000000" w:rsidR="00000000" w:rsidRPr="00000000">
        <w:rPr>
          <w:rFonts w:ascii="Roboto" w:cs="Roboto" w:eastAsia="Roboto" w:hAnsi="Roboto"/>
          <w:sz w:val="29"/>
          <w:szCs w:val="29"/>
          <w:rtl w:val="0"/>
        </w:rPr>
        <w:t xml:space="preserve"> y </w:t>
      </w:r>
      <w:r w:rsidDel="00000000" w:rsidR="00000000" w:rsidRPr="00000000">
        <w:rPr>
          <w:rFonts w:ascii="Roboto" w:cs="Roboto" w:eastAsia="Roboto" w:hAnsi="Roboto"/>
          <w:b w:val="1"/>
          <w:bCs w:val="1"/>
          <w:sz w:val="29"/>
          <w:szCs w:val="29"/>
          <w:rtl w:val="0"/>
        </w:rPr>
        <w:t xml:space="preserve">10 estuvieron por sobre 3% Cu</w:t>
      </w:r>
      <w:r w:rsidDel="00000000" w:rsidR="00000000" w:rsidRPr="00000000">
        <w:rPr>
          <w:rFonts w:ascii="Roboto" w:cs="Roboto" w:eastAsia="Roboto" w:hAnsi="Roboto"/>
          <w:sz w:val="29"/>
          <w:szCs w:val="29"/>
          <w:rtl w:val="0"/>
        </w:rPr>
        <w:t xml:space="preserve">, de acuerdo con el comunicado de la compañía y la descripción del proyecto publicada por </w:t>
      </w:r>
      <w:hyperlink r:id="rId10">
        <w:r w:rsidDel="00000000" w:rsidR="00000000" w:rsidRPr="00000000">
          <w:rPr>
            <w:rFonts w:ascii="Roboto" w:cs="Roboto" w:eastAsia="Roboto" w:hAnsi="Roboto"/>
            <w:color w:val="1873b5"/>
            <w:sz w:val="29"/>
            <w:szCs w:val="29"/>
            <w:u w:val="single"/>
            <w:rtl w:val="0"/>
          </w:rPr>
          <w:t xml:space="preserve">Super Copper</w:t>
        </w:r>
      </w:hyperlink>
      <w:r w:rsidDel="00000000" w:rsidR="00000000" w:rsidRPr="00000000">
        <w:rPr>
          <w:rFonts w:ascii="Roboto" w:cs="Roboto" w:eastAsia="Roboto" w:hAnsi="Roboto"/>
          <w:sz w:val="29"/>
          <w:szCs w:val="29"/>
          <w:rtl w:val="0"/>
        </w:rPr>
        <w:t xml:space="preserve"> y en la ficha de </w:t>
      </w:r>
      <w:hyperlink r:id="rId11">
        <w:r w:rsidDel="00000000" w:rsidR="00000000" w:rsidRPr="00000000">
          <w:rPr>
            <w:rFonts w:ascii="Roboto" w:cs="Roboto" w:eastAsia="Roboto" w:hAnsi="Roboto"/>
            <w:color w:val="1873b5"/>
            <w:sz w:val="29"/>
            <w:szCs w:val="29"/>
            <w:u w:val="single"/>
            <w:rtl w:val="0"/>
          </w:rPr>
          <w:t xml:space="preserve">Cordillera Cobre</w:t>
        </w:r>
      </w:hyperlink>
      <w:r w:rsidDel="00000000" w:rsidR="00000000" w:rsidRPr="00000000">
        <w:rPr>
          <w:rFonts w:ascii="Roboto" w:cs="Roboto" w:eastAsia="Roboto" w:hAnsi="Roboto"/>
          <w:sz w:val="29"/>
          <w:szCs w:val="29"/>
          <w:rtl w:val="0"/>
        </w:rPr>
        <w:t xml:space="preserve">. Para una audiencia que sigue de cerca los hallazgos en el norte del país, el caso se suma a otros reportes que </w:t>
      </w:r>
      <w:hyperlink r:id="rId12">
        <w:r w:rsidDel="00000000" w:rsidR="00000000" w:rsidRPr="00000000">
          <w:rPr>
            <w:rFonts w:ascii="Roboto" w:cs="Roboto" w:eastAsia="Roboto" w:hAnsi="Roboto"/>
            <w:color w:val="1873b5"/>
            <w:sz w:val="29"/>
            <w:szCs w:val="29"/>
            <w:u w:val="single"/>
            <w:rtl w:val="0"/>
          </w:rPr>
          <w:t xml:space="preserve">REDIMIN</w:t>
        </w:r>
      </w:hyperlink>
      <w:r w:rsidDel="00000000" w:rsidR="00000000" w:rsidRPr="00000000">
        <w:rPr>
          <w:rFonts w:ascii="Roboto" w:cs="Roboto" w:eastAsia="Roboto" w:hAnsi="Roboto"/>
          <w:sz w:val="29"/>
          <w:szCs w:val="29"/>
          <w:rtl w:val="0"/>
        </w:rPr>
        <w:t xml:space="preserve"> ya ha venido siguiendo, como el </w:t>
      </w:r>
      <w:hyperlink r:id="rId13">
        <w:r w:rsidDel="00000000" w:rsidR="00000000" w:rsidRPr="00000000">
          <w:rPr>
            <w:rFonts w:ascii="Roboto" w:cs="Roboto" w:eastAsia="Roboto" w:hAnsi="Roboto"/>
            <w:color w:val="ff7214"/>
            <w:sz w:val="29"/>
            <w:szCs w:val="29"/>
            <w:u w:val="single"/>
            <w:rtl w:val="0"/>
          </w:rPr>
          <w:t xml:space="preserve">descubrimiento de cobre de alto grado en Cordillera Cobre</w:t>
        </w:r>
      </w:hyperlink>
      <w:r w:rsidDel="00000000" w:rsidR="00000000" w:rsidRPr="00000000">
        <w:rPr>
          <w:rFonts w:ascii="Roboto" w:cs="Roboto" w:eastAsia="Roboto" w:hAnsi="Roboto"/>
          <w:sz w:val="29"/>
          <w:szCs w:val="29"/>
          <w:rtl w:val="0"/>
        </w:rPr>
        <w:t xml:space="preserve"> y el reciente foco puesto en </w:t>
      </w:r>
      <w:hyperlink r:id="rId14">
        <w:r w:rsidDel="00000000" w:rsidR="00000000" w:rsidRPr="00000000">
          <w:rPr>
            <w:rFonts w:ascii="Roboto" w:cs="Roboto" w:eastAsia="Roboto" w:hAnsi="Roboto"/>
            <w:color w:val="1873b5"/>
            <w:sz w:val="29"/>
            <w:szCs w:val="29"/>
            <w:u w:val="single"/>
            <w:rtl w:val="0"/>
          </w:rPr>
          <w:t xml:space="preserve">hallazgos cupríferos de alta pureza en la frontera argentino-chilena</w:t>
        </w:r>
      </w:hyperlink>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20" w:lineRule="auto"/>
        <w:rPr>
          <w:rFonts w:ascii="Roboto" w:cs="Roboto" w:eastAsia="Roboto" w:hAnsi="Roboto"/>
          <w:sz w:val="29"/>
          <w:szCs w:val="29"/>
        </w:rPr>
      </w:pPr>
      <w:hyperlink r:id="rId15">
        <w:r w:rsidDel="00000000" w:rsidR="00000000" w:rsidRPr="00000000">
          <w:rPr>
            <w:rFonts w:ascii="Roboto" w:cs="Roboto" w:eastAsia="Roboto" w:hAnsi="Roboto"/>
            <w:color w:val="1873b5"/>
            <w:sz w:val="29"/>
            <w:szCs w:val="29"/>
            <w:u w:val="single"/>
            <w:rtl w:val="0"/>
          </w:rPr>
          <w:t xml:space="preserve">Cobre</w:t>
        </w:r>
      </w:hyperlink>
      <w:r w:rsidDel="00000000" w:rsidR="00000000" w:rsidRPr="00000000">
        <w:rPr>
          <w:rFonts w:ascii="Roboto" w:cs="Roboto" w:eastAsia="Roboto" w:hAnsi="Roboto"/>
          <w:b w:val="1"/>
          <w:bCs w:val="1"/>
          <w:sz w:val="29"/>
          <w:szCs w:val="29"/>
          <w:rtl w:val="0"/>
        </w:rPr>
        <w:t xml:space="preserve"> de alta ley en Atacama</w:t>
      </w:r>
      <w:r w:rsidDel="00000000" w:rsidR="00000000" w:rsidRPr="00000000">
        <w:rPr>
          <w:rFonts w:ascii="Roboto" w:cs="Roboto" w:eastAsia="Roboto" w:hAnsi="Roboto"/>
          <w:sz w:val="29"/>
          <w:szCs w:val="29"/>
          <w:rtl w:val="0"/>
        </w:rPr>
        <w:t xml:space="preserve"> volvió a instalarse en el radar minero tras los resultados reportados en Cordillera </w:t>
      </w:r>
      <w:hyperlink r:id="rId16">
        <w:r w:rsidDel="00000000" w:rsidR="00000000" w:rsidRPr="00000000">
          <w:rPr>
            <w:rFonts w:ascii="Roboto" w:cs="Roboto" w:eastAsia="Roboto" w:hAnsi="Roboto"/>
            <w:color w:val="1873b5"/>
            <w:sz w:val="29"/>
            <w:szCs w:val="29"/>
            <w:u w:val="single"/>
            <w:rtl w:val="0"/>
          </w:rPr>
          <w:t xml:space="preserve">Cobre</w:t>
        </w:r>
      </w:hyperlink>
      <w:r w:rsidDel="00000000" w:rsidR="00000000" w:rsidRPr="00000000">
        <w:rPr>
          <w:rFonts w:ascii="Roboto" w:cs="Roboto" w:eastAsia="Roboto" w:hAnsi="Roboto"/>
          <w:sz w:val="29"/>
          <w:szCs w:val="29"/>
          <w:rtl w:val="0"/>
        </w:rPr>
        <w:t xml:space="preserve">, un proyecto ubicado al este-noreste de Copiapó que entregó muestras de hasta </w:t>
      </w:r>
      <w:r w:rsidDel="00000000" w:rsidR="00000000" w:rsidRPr="00000000">
        <w:rPr>
          <w:rFonts w:ascii="Roboto" w:cs="Roboto" w:eastAsia="Roboto" w:hAnsi="Roboto"/>
          <w:b w:val="1"/>
          <w:bCs w:val="1"/>
          <w:sz w:val="29"/>
          <w:szCs w:val="29"/>
          <w:rtl w:val="0"/>
        </w:rPr>
        <w:t xml:space="preserve">7,13% de </w:t>
      </w:r>
      <w:hyperlink r:id="rId17">
        <w:r w:rsidDel="00000000" w:rsidR="00000000" w:rsidRPr="00000000">
          <w:rPr>
            <w:rFonts w:ascii="Roboto" w:cs="Roboto" w:eastAsia="Roboto" w:hAnsi="Roboto"/>
            <w:color w:val="1873b5"/>
            <w:sz w:val="29"/>
            <w:szCs w:val="29"/>
            <w:u w:val="single"/>
            <w:rtl w:val="0"/>
          </w:rPr>
          <w:t xml:space="preserve">cobre</w:t>
        </w:r>
      </w:hyperlink>
      <w:r w:rsidDel="00000000" w:rsidR="00000000" w:rsidRPr="00000000">
        <w:rPr>
          <w:rFonts w:ascii="Roboto" w:cs="Roboto" w:eastAsia="Roboto" w:hAnsi="Roboto"/>
          <w:sz w:val="29"/>
          <w:szCs w:val="29"/>
          <w:rtl w:val="0"/>
        </w:rPr>
        <w:t xml:space="preserve"> y </w:t>
      </w:r>
      <w:r w:rsidDel="00000000" w:rsidR="00000000" w:rsidRPr="00000000">
        <w:rPr>
          <w:rFonts w:ascii="Roboto" w:cs="Roboto" w:eastAsia="Roboto" w:hAnsi="Roboto"/>
          <w:b w:val="1"/>
          <w:bCs w:val="1"/>
          <w:sz w:val="29"/>
          <w:szCs w:val="29"/>
          <w:rtl w:val="0"/>
        </w:rPr>
        <w:t xml:space="preserve">98,7 g/t de </w:t>
      </w:r>
      <w:hyperlink r:id="rId18">
        <w:r w:rsidDel="00000000" w:rsidR="00000000" w:rsidRPr="00000000">
          <w:rPr>
            <w:rFonts w:ascii="Roboto" w:cs="Roboto" w:eastAsia="Roboto" w:hAnsi="Roboto"/>
            <w:color w:val="1873b5"/>
            <w:sz w:val="29"/>
            <w:szCs w:val="29"/>
            <w:u w:val="single"/>
            <w:rtl w:val="0"/>
          </w:rPr>
          <w:t xml:space="preserve">plata</w:t>
        </w:r>
      </w:hyperlink>
      <w:r w:rsidDel="00000000" w:rsidR="00000000" w:rsidRPr="00000000">
        <w:rPr>
          <w:rFonts w:ascii="Roboto" w:cs="Roboto" w:eastAsia="Roboto" w:hAnsi="Roboto"/>
          <w:sz w:val="29"/>
          <w:szCs w:val="29"/>
          <w:rtl w:val="0"/>
        </w:rPr>
        <w:t xml:space="preserve"> en una zona que no había sido perforada anteriormente. El dato, por sí solo, ya llama la atención en una región donde el cobre domina la conversación estratégica, pero lo verdaderamente relevante es el contexto técnico: la campaña identificó nuevos blancos mineralizados, confirmó tres sectores con leyes destacadas en superficie y, además, sumó información geofísica que sugiere un sistema estructural de mayor escala. La compañía Super Copper informó que los clústeres mineralizados se distribuyen a lo largo de aproximadamente </w:t>
      </w:r>
      <w:r w:rsidDel="00000000" w:rsidR="00000000" w:rsidRPr="00000000">
        <w:rPr>
          <w:rFonts w:ascii="Roboto" w:cs="Roboto" w:eastAsia="Roboto" w:hAnsi="Roboto"/>
          <w:b w:val="1"/>
          <w:bCs w:val="1"/>
          <w:sz w:val="29"/>
          <w:szCs w:val="29"/>
          <w:rtl w:val="0"/>
        </w:rPr>
        <w:t xml:space="preserve">8 kilómetros de rumbo</w:t>
      </w:r>
      <w:r w:rsidDel="00000000" w:rsidR="00000000" w:rsidRPr="00000000">
        <w:rPr>
          <w:rFonts w:ascii="Roboto" w:cs="Roboto" w:eastAsia="Roboto" w:hAnsi="Roboto"/>
          <w:sz w:val="29"/>
          <w:szCs w:val="29"/>
          <w:rtl w:val="0"/>
        </w:rPr>
        <w:t xml:space="preserve">, mientras que el proyecto se emplaza dentro de un paquete de tierras de unas </w:t>
      </w:r>
      <w:r w:rsidDel="00000000" w:rsidR="00000000" w:rsidRPr="00000000">
        <w:rPr>
          <w:rFonts w:ascii="Roboto" w:cs="Roboto" w:eastAsia="Roboto" w:hAnsi="Roboto"/>
          <w:b w:val="1"/>
          <w:bCs w:val="1"/>
          <w:sz w:val="29"/>
          <w:szCs w:val="29"/>
          <w:rtl w:val="0"/>
        </w:rPr>
        <w:t xml:space="preserve">7.430 hectáreas</w:t>
      </w:r>
      <w:r w:rsidDel="00000000" w:rsidR="00000000" w:rsidRPr="00000000">
        <w:rPr>
          <w:rFonts w:ascii="Roboto" w:cs="Roboto" w:eastAsia="Roboto" w:hAnsi="Roboto"/>
          <w:sz w:val="29"/>
          <w:szCs w:val="29"/>
          <w:rtl w:val="0"/>
        </w:rPr>
        <w:t xml:space="preserve"> en la Región de Atacama, en uno de los cinturones cupríferos más observados del país. En una industria que sigue buscando nuevas fuentes de cobre frente a la presión de la demanda energética y tecnológica, este tipo de resultados no garantiza una mina, pero sí marca una diferencia: reduce incertidumbre geológica y aumenta el interés por la siguiente etapa, que inevitablemente será la perforación.</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1.68" w:lineRule="auto"/>
        <w:rPr>
          <w:rFonts w:ascii="Roboto" w:cs="Roboto" w:eastAsia="Roboto" w:hAnsi="Roboto"/>
          <w:b w:val="1"/>
          <w:bCs w:val="1"/>
          <w:sz w:val="53"/>
          <w:szCs w:val="53"/>
        </w:rPr>
      </w:pPr>
      <w:bookmarkStart w:colFirst="0" w:colLast="0" w:name="_ospnzh3o88by" w:id="1"/>
      <w:bookmarkEnd w:id="1"/>
      <w:r w:rsidDel="00000000" w:rsidR="00000000" w:rsidRPr="00000000">
        <w:rPr>
          <w:rFonts w:ascii="Roboto" w:cs="Roboto" w:eastAsia="Roboto" w:hAnsi="Roboto"/>
          <w:b w:val="1"/>
          <w:bCs w:val="1"/>
          <w:sz w:val="53"/>
          <w:szCs w:val="53"/>
          <w:rtl w:val="0"/>
        </w:rPr>
        <w:t xml:space="preserve">Qué encontró exactamente la exploración en Cordillera Cobre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4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Lo más potente del anuncio es que no se trata de un solo valor aislado. Según el reporte de la empresa, la Fase 1 de exploración identificó </w:t>
      </w:r>
      <w:r w:rsidDel="00000000" w:rsidR="00000000" w:rsidRPr="00000000">
        <w:rPr>
          <w:rFonts w:ascii="Roboto" w:cs="Roboto" w:eastAsia="Roboto" w:hAnsi="Roboto"/>
          <w:b w:val="1"/>
          <w:bCs w:val="1"/>
          <w:sz w:val="29"/>
          <w:szCs w:val="29"/>
          <w:rtl w:val="0"/>
        </w:rPr>
        <w:t xml:space="preserve">dos nuevas zonas de cobre de alta ley en el sector norte del proyecto</w:t>
      </w:r>
      <w:r w:rsidDel="00000000" w:rsidR="00000000" w:rsidRPr="00000000">
        <w:rPr>
          <w:rFonts w:ascii="Roboto" w:cs="Roboto" w:eastAsia="Roboto" w:hAnsi="Roboto"/>
          <w:sz w:val="29"/>
          <w:szCs w:val="29"/>
          <w:rtl w:val="0"/>
        </w:rPr>
        <w:t xml:space="preserve">, una zona sin perforación histórica, con muestras de afloramiento de hasta </w:t>
      </w:r>
      <w:r w:rsidDel="00000000" w:rsidR="00000000" w:rsidRPr="00000000">
        <w:rPr>
          <w:rFonts w:ascii="Roboto" w:cs="Roboto" w:eastAsia="Roboto" w:hAnsi="Roboto"/>
          <w:b w:val="1"/>
          <w:bCs w:val="1"/>
          <w:sz w:val="29"/>
          <w:szCs w:val="29"/>
          <w:rtl w:val="0"/>
        </w:rPr>
        <w:t xml:space="preserve">7,13% Cu</w:t>
      </w:r>
      <w:r w:rsidDel="00000000" w:rsidR="00000000" w:rsidRPr="00000000">
        <w:rPr>
          <w:rFonts w:ascii="Roboto" w:cs="Roboto" w:eastAsia="Roboto" w:hAnsi="Roboto"/>
          <w:sz w:val="29"/>
          <w:szCs w:val="29"/>
          <w:rtl w:val="0"/>
        </w:rPr>
        <w:t xml:space="preserve"> y </w:t>
      </w:r>
      <w:r w:rsidDel="00000000" w:rsidR="00000000" w:rsidRPr="00000000">
        <w:rPr>
          <w:rFonts w:ascii="Roboto" w:cs="Roboto" w:eastAsia="Roboto" w:hAnsi="Roboto"/>
          <w:b w:val="1"/>
          <w:bCs w:val="1"/>
          <w:sz w:val="29"/>
          <w:szCs w:val="29"/>
          <w:rtl w:val="0"/>
        </w:rPr>
        <w:t xml:space="preserve">4,78% Cu</w:t>
      </w:r>
      <w:r w:rsidDel="00000000" w:rsidR="00000000" w:rsidRPr="00000000">
        <w:rPr>
          <w:rFonts w:ascii="Roboto" w:cs="Roboto" w:eastAsia="Roboto" w:hAnsi="Roboto"/>
          <w:sz w:val="29"/>
          <w:szCs w:val="29"/>
          <w:rtl w:val="0"/>
        </w:rPr>
        <w:t xml:space="preserve">. A eso se suman otros resultados relevantes: en el sector </w:t>
      </w:r>
      <w:r w:rsidDel="00000000" w:rsidR="00000000" w:rsidRPr="00000000">
        <w:rPr>
          <w:rFonts w:ascii="Roboto" w:cs="Roboto" w:eastAsia="Roboto" w:hAnsi="Roboto"/>
          <w:b w:val="1"/>
          <w:bCs w:val="1"/>
          <w:sz w:val="29"/>
          <w:szCs w:val="29"/>
          <w:rtl w:val="0"/>
        </w:rPr>
        <w:t xml:space="preserve">Anima Mine Trend</w:t>
      </w:r>
      <w:r w:rsidDel="00000000" w:rsidR="00000000" w:rsidRPr="00000000">
        <w:rPr>
          <w:rFonts w:ascii="Roboto" w:cs="Roboto" w:eastAsia="Roboto" w:hAnsi="Roboto"/>
          <w:sz w:val="29"/>
          <w:szCs w:val="29"/>
          <w:rtl w:val="0"/>
        </w:rPr>
        <w:t xml:space="preserve"> se reportó </w:t>
      </w:r>
      <w:r w:rsidDel="00000000" w:rsidR="00000000" w:rsidRPr="00000000">
        <w:rPr>
          <w:rFonts w:ascii="Roboto" w:cs="Roboto" w:eastAsia="Roboto" w:hAnsi="Roboto"/>
          <w:b w:val="1"/>
          <w:bCs w:val="1"/>
          <w:sz w:val="29"/>
          <w:szCs w:val="29"/>
          <w:rtl w:val="0"/>
        </w:rPr>
        <w:t xml:space="preserve">6,92% Cu en 1 metro</w:t>
      </w:r>
      <w:r w:rsidDel="00000000" w:rsidR="00000000" w:rsidRPr="00000000">
        <w:rPr>
          <w:rFonts w:ascii="Roboto" w:cs="Roboto" w:eastAsia="Roboto" w:hAnsi="Roboto"/>
          <w:sz w:val="29"/>
          <w:szCs w:val="29"/>
          <w:rtl w:val="0"/>
        </w:rPr>
        <w:t xml:space="preserve"> mediante muestreo tipo chip, mientras que en </w:t>
      </w:r>
      <w:r w:rsidDel="00000000" w:rsidR="00000000" w:rsidRPr="00000000">
        <w:rPr>
          <w:rFonts w:ascii="Roboto" w:cs="Roboto" w:eastAsia="Roboto" w:hAnsi="Roboto"/>
          <w:b w:val="1"/>
          <w:bCs w:val="1"/>
          <w:sz w:val="29"/>
          <w:szCs w:val="29"/>
          <w:rtl w:val="0"/>
        </w:rPr>
        <w:t xml:space="preserve">Calcite Hill</w:t>
      </w:r>
      <w:r w:rsidDel="00000000" w:rsidR="00000000" w:rsidRPr="00000000">
        <w:rPr>
          <w:rFonts w:ascii="Roboto" w:cs="Roboto" w:eastAsia="Roboto" w:hAnsi="Roboto"/>
          <w:sz w:val="29"/>
          <w:szCs w:val="29"/>
          <w:rtl w:val="0"/>
        </w:rPr>
        <w:t xml:space="preserve"> se obtuvo </w:t>
      </w:r>
      <w:r w:rsidDel="00000000" w:rsidR="00000000" w:rsidRPr="00000000">
        <w:rPr>
          <w:rFonts w:ascii="Roboto" w:cs="Roboto" w:eastAsia="Roboto" w:hAnsi="Roboto"/>
          <w:b w:val="1"/>
          <w:bCs w:val="1"/>
          <w:sz w:val="29"/>
          <w:szCs w:val="29"/>
          <w:rtl w:val="0"/>
        </w:rPr>
        <w:t xml:space="preserve">3,40% Cu en 1 metro</w:t>
      </w:r>
      <w:r w:rsidDel="00000000" w:rsidR="00000000" w:rsidRPr="00000000">
        <w:rPr>
          <w:rFonts w:ascii="Roboto" w:cs="Roboto" w:eastAsia="Roboto" w:hAnsi="Roboto"/>
          <w:sz w:val="29"/>
          <w:szCs w:val="29"/>
          <w:rtl w:val="0"/>
        </w:rPr>
        <w:t xml:space="preserve">. En paralelo, una zanja histórica en </w:t>
      </w:r>
      <w:r w:rsidDel="00000000" w:rsidR="00000000" w:rsidRPr="00000000">
        <w:rPr>
          <w:rFonts w:ascii="Roboto" w:cs="Roboto" w:eastAsia="Roboto" w:hAnsi="Roboto"/>
          <w:b w:val="1"/>
          <w:bCs w:val="1"/>
          <w:sz w:val="29"/>
          <w:szCs w:val="29"/>
          <w:rtl w:val="0"/>
        </w:rPr>
        <w:t xml:space="preserve">El Alto</w:t>
      </w:r>
      <w:r w:rsidDel="00000000" w:rsidR="00000000" w:rsidRPr="00000000">
        <w:rPr>
          <w:rFonts w:ascii="Roboto" w:cs="Roboto" w:eastAsia="Roboto" w:hAnsi="Roboto"/>
          <w:sz w:val="29"/>
          <w:szCs w:val="29"/>
          <w:rtl w:val="0"/>
        </w:rPr>
        <w:t xml:space="preserve"> devolvió </w:t>
      </w:r>
      <w:r w:rsidDel="00000000" w:rsidR="00000000" w:rsidRPr="00000000">
        <w:rPr>
          <w:rFonts w:ascii="Roboto" w:cs="Roboto" w:eastAsia="Roboto" w:hAnsi="Roboto"/>
          <w:b w:val="1"/>
          <w:bCs w:val="1"/>
          <w:sz w:val="29"/>
          <w:szCs w:val="29"/>
          <w:rtl w:val="0"/>
        </w:rPr>
        <w:t xml:space="preserve">17 metros con 0,34% Cu</w:t>
      </w:r>
      <w:r w:rsidDel="00000000" w:rsidR="00000000" w:rsidRPr="00000000">
        <w:rPr>
          <w:rFonts w:ascii="Roboto" w:cs="Roboto" w:eastAsia="Roboto" w:hAnsi="Roboto"/>
          <w:sz w:val="29"/>
          <w:szCs w:val="29"/>
          <w:rtl w:val="0"/>
        </w:rPr>
        <w:t xml:space="preserve">, incluyendo </w:t>
      </w:r>
      <w:r w:rsidDel="00000000" w:rsidR="00000000" w:rsidRPr="00000000">
        <w:rPr>
          <w:rFonts w:ascii="Roboto" w:cs="Roboto" w:eastAsia="Roboto" w:hAnsi="Roboto"/>
          <w:b w:val="1"/>
          <w:bCs w:val="1"/>
          <w:sz w:val="29"/>
          <w:szCs w:val="29"/>
          <w:rtl w:val="0"/>
        </w:rPr>
        <w:t xml:space="preserve">2 metros con 1,48% Cu</w:t>
      </w:r>
      <w:r w:rsidDel="00000000" w:rsidR="00000000" w:rsidRPr="00000000">
        <w:rPr>
          <w:rFonts w:ascii="Roboto" w:cs="Roboto" w:eastAsia="Roboto" w:hAnsi="Roboto"/>
          <w:sz w:val="29"/>
          <w:szCs w:val="29"/>
          <w:rtl w:val="0"/>
        </w:rPr>
        <w:t xml:space="preserve">, un ancho que ayuda a sostener la idea de continuidad mineralizada bajo superficie. En total, el programa reunió </w:t>
      </w:r>
      <w:r w:rsidDel="00000000" w:rsidR="00000000" w:rsidRPr="00000000">
        <w:rPr>
          <w:rFonts w:ascii="Roboto" w:cs="Roboto" w:eastAsia="Roboto" w:hAnsi="Roboto"/>
          <w:b w:val="1"/>
          <w:bCs w:val="1"/>
          <w:sz w:val="29"/>
          <w:szCs w:val="29"/>
          <w:rtl w:val="0"/>
        </w:rPr>
        <w:t xml:space="preserve">102 muestras de roca</w:t>
      </w:r>
      <w:r w:rsidDel="00000000" w:rsidR="00000000" w:rsidRPr="00000000">
        <w:rPr>
          <w:rFonts w:ascii="Roboto" w:cs="Roboto" w:eastAsia="Roboto" w:hAnsi="Roboto"/>
          <w:sz w:val="29"/>
          <w:szCs w:val="29"/>
          <w:rtl w:val="0"/>
        </w:rPr>
        <w:t xml:space="preserve">, de las cuales </w:t>
      </w:r>
      <w:r w:rsidDel="00000000" w:rsidR="00000000" w:rsidRPr="00000000">
        <w:rPr>
          <w:rFonts w:ascii="Roboto" w:cs="Roboto" w:eastAsia="Roboto" w:hAnsi="Roboto"/>
          <w:b w:val="1"/>
          <w:bCs w:val="1"/>
          <w:sz w:val="29"/>
          <w:szCs w:val="29"/>
          <w:rtl w:val="0"/>
        </w:rPr>
        <w:t xml:space="preserve">24 superaron 1% de cobre</w:t>
      </w:r>
      <w:r w:rsidDel="00000000" w:rsidR="00000000" w:rsidRPr="00000000">
        <w:rPr>
          <w:rFonts w:ascii="Roboto" w:cs="Roboto" w:eastAsia="Roboto" w:hAnsi="Roboto"/>
          <w:sz w:val="29"/>
          <w:szCs w:val="29"/>
          <w:rtl w:val="0"/>
        </w:rPr>
        <w:t xml:space="preserve"> y </w:t>
      </w:r>
      <w:r w:rsidDel="00000000" w:rsidR="00000000" w:rsidRPr="00000000">
        <w:rPr>
          <w:rFonts w:ascii="Roboto" w:cs="Roboto" w:eastAsia="Roboto" w:hAnsi="Roboto"/>
          <w:b w:val="1"/>
          <w:bCs w:val="1"/>
          <w:sz w:val="29"/>
          <w:szCs w:val="29"/>
          <w:rtl w:val="0"/>
        </w:rPr>
        <w:t xml:space="preserve">10 estuvieron por sobre 3% Cu</w:t>
      </w:r>
      <w:r w:rsidDel="00000000" w:rsidR="00000000" w:rsidRPr="00000000">
        <w:rPr>
          <w:rFonts w:ascii="Roboto" w:cs="Roboto" w:eastAsia="Roboto" w:hAnsi="Roboto"/>
          <w:sz w:val="29"/>
          <w:szCs w:val="29"/>
          <w:rtl w:val="0"/>
        </w:rPr>
        <w:t xml:space="preserve">, de acuerdo con el comunicado de la compañía y la descripción del proyecto publicada por </w:t>
      </w:r>
      <w:hyperlink r:id="rId19">
        <w:r w:rsidDel="00000000" w:rsidR="00000000" w:rsidRPr="00000000">
          <w:rPr>
            <w:rFonts w:ascii="Roboto" w:cs="Roboto" w:eastAsia="Roboto" w:hAnsi="Roboto"/>
            <w:color w:val="1873b5"/>
            <w:sz w:val="29"/>
            <w:szCs w:val="29"/>
            <w:u w:val="single"/>
            <w:rtl w:val="0"/>
          </w:rPr>
          <w:t xml:space="preserve">Super Copper</w:t>
        </w:r>
      </w:hyperlink>
      <w:r w:rsidDel="00000000" w:rsidR="00000000" w:rsidRPr="00000000">
        <w:rPr>
          <w:rFonts w:ascii="Roboto" w:cs="Roboto" w:eastAsia="Roboto" w:hAnsi="Roboto"/>
          <w:sz w:val="29"/>
          <w:szCs w:val="29"/>
          <w:rtl w:val="0"/>
        </w:rPr>
        <w:t xml:space="preserve"> y en la ficha de </w:t>
      </w:r>
      <w:hyperlink r:id="rId20">
        <w:r w:rsidDel="00000000" w:rsidR="00000000" w:rsidRPr="00000000">
          <w:rPr>
            <w:rFonts w:ascii="Roboto" w:cs="Roboto" w:eastAsia="Roboto" w:hAnsi="Roboto"/>
            <w:color w:val="1873b5"/>
            <w:sz w:val="29"/>
            <w:szCs w:val="29"/>
            <w:u w:val="single"/>
            <w:rtl w:val="0"/>
          </w:rPr>
          <w:t xml:space="preserve">Cordillera Cobre</w:t>
        </w:r>
      </w:hyperlink>
      <w:r w:rsidDel="00000000" w:rsidR="00000000" w:rsidRPr="00000000">
        <w:rPr>
          <w:rFonts w:ascii="Roboto" w:cs="Roboto" w:eastAsia="Roboto" w:hAnsi="Roboto"/>
          <w:sz w:val="29"/>
          <w:szCs w:val="29"/>
          <w:rtl w:val="0"/>
        </w:rPr>
        <w:t xml:space="preserve">. Para una audiencia que sigue de cerca los hallazgos en el norte del país, el caso se suma a otros reportes que </w:t>
      </w:r>
      <w:hyperlink r:id="rId21">
        <w:r w:rsidDel="00000000" w:rsidR="00000000" w:rsidRPr="00000000">
          <w:rPr>
            <w:rFonts w:ascii="Roboto" w:cs="Roboto" w:eastAsia="Roboto" w:hAnsi="Roboto"/>
            <w:color w:val="1873b5"/>
            <w:sz w:val="29"/>
            <w:szCs w:val="29"/>
            <w:u w:val="single"/>
            <w:rtl w:val="0"/>
          </w:rPr>
          <w:t xml:space="preserve">REDIMIN</w:t>
        </w:r>
      </w:hyperlink>
      <w:r w:rsidDel="00000000" w:rsidR="00000000" w:rsidRPr="00000000">
        <w:rPr>
          <w:rFonts w:ascii="Roboto" w:cs="Roboto" w:eastAsia="Roboto" w:hAnsi="Roboto"/>
          <w:sz w:val="29"/>
          <w:szCs w:val="29"/>
          <w:rtl w:val="0"/>
        </w:rPr>
        <w:t xml:space="preserve"> ya ha venido siguiendo, como el </w:t>
      </w:r>
      <w:hyperlink r:id="rId22">
        <w:r w:rsidDel="00000000" w:rsidR="00000000" w:rsidRPr="00000000">
          <w:rPr>
            <w:rFonts w:ascii="Roboto" w:cs="Roboto" w:eastAsia="Roboto" w:hAnsi="Roboto"/>
            <w:color w:val="1873b5"/>
            <w:sz w:val="29"/>
            <w:szCs w:val="29"/>
            <w:u w:val="single"/>
            <w:rtl w:val="0"/>
          </w:rPr>
          <w:t xml:space="preserve">descubrimiento de cobre de alto grado en Cordillera Cobre</w:t>
        </w:r>
      </w:hyperlink>
      <w:r w:rsidDel="00000000" w:rsidR="00000000" w:rsidRPr="00000000">
        <w:rPr>
          <w:rFonts w:ascii="Roboto" w:cs="Roboto" w:eastAsia="Roboto" w:hAnsi="Roboto"/>
          <w:sz w:val="29"/>
          <w:szCs w:val="29"/>
          <w:rtl w:val="0"/>
        </w:rPr>
        <w:t xml:space="preserve"> y el reciente foco puesto en </w:t>
      </w:r>
      <w:hyperlink r:id="rId23">
        <w:r w:rsidDel="00000000" w:rsidR="00000000" w:rsidRPr="00000000">
          <w:rPr>
            <w:rFonts w:ascii="Roboto" w:cs="Roboto" w:eastAsia="Roboto" w:hAnsi="Roboto"/>
            <w:color w:val="1873b5"/>
            <w:sz w:val="29"/>
            <w:szCs w:val="29"/>
            <w:u w:val="single"/>
            <w:rtl w:val="0"/>
          </w:rPr>
          <w:t xml:space="preserve">hallazgos cupríferos de alta pureza en la frontera argentino-chilena</w:t>
        </w:r>
      </w:hyperlink>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1.68" w:lineRule="auto"/>
        <w:rPr>
          <w:rFonts w:ascii="Roboto" w:cs="Roboto" w:eastAsia="Roboto" w:hAnsi="Roboto"/>
          <w:b w:val="1"/>
          <w:bCs w:val="1"/>
          <w:sz w:val="53"/>
          <w:szCs w:val="53"/>
        </w:rPr>
      </w:pPr>
      <w:bookmarkStart w:colFirst="0" w:colLast="0" w:name="_n618hrjswnur" w:id="2"/>
      <w:bookmarkEnd w:id="2"/>
      <w:r w:rsidDel="00000000" w:rsidR="00000000" w:rsidRPr="00000000">
        <w:rPr>
          <w:rFonts w:ascii="Roboto" w:cs="Roboto" w:eastAsia="Roboto" w:hAnsi="Roboto"/>
          <w:b w:val="1"/>
          <w:bCs w:val="1"/>
          <w:sz w:val="53"/>
          <w:szCs w:val="53"/>
          <w:rtl w:val="0"/>
        </w:rPr>
        <w:t xml:space="preserve">Por qué 7,13% de cobre no significa todavía una mina, pero sí cambia la lectura del proyecto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4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En exploración minera, una muestra alta siempre necesita interpretación cuidadosa. En este caso, los mejores resultados provienen de afloramientos, muestreos tipo chip y trabajos superficiales, por lo que </w:t>
      </w:r>
      <w:r w:rsidDel="00000000" w:rsidR="00000000" w:rsidRPr="00000000">
        <w:rPr>
          <w:rFonts w:ascii="Roboto" w:cs="Roboto" w:eastAsia="Roboto" w:hAnsi="Roboto"/>
          <w:b w:val="1"/>
          <w:bCs w:val="1"/>
          <w:sz w:val="29"/>
          <w:szCs w:val="29"/>
          <w:rtl w:val="0"/>
        </w:rPr>
        <w:t xml:space="preserve">no equivalen todavía a una ley de recurso mineral ni a una reserva explotable</w:t>
      </w:r>
      <w:r w:rsidDel="00000000" w:rsidR="00000000" w:rsidRPr="00000000">
        <w:rPr>
          <w:rFonts w:ascii="Roboto" w:cs="Roboto" w:eastAsia="Roboto" w:hAnsi="Roboto"/>
          <w:sz w:val="29"/>
          <w:szCs w:val="29"/>
          <w:rtl w:val="0"/>
        </w:rPr>
        <w:t xml:space="preserve">. Sin embargo, eso no les quita importancia. Lo que hace valioso el anuncio es que las leyes altas aparecen en distintos sectores del proyecto, en conjunto con una geometría estructural coherente y con una separación entre zonas que apunta a un sistema más amplio, no necesariamente a ocurrencias aisladas. El propio reporte de Super Copper sostiene que las nuevas zonas del norte están separadas por cerca de </w:t>
      </w:r>
      <w:r w:rsidDel="00000000" w:rsidR="00000000" w:rsidRPr="00000000">
        <w:rPr>
          <w:rFonts w:ascii="Roboto" w:cs="Roboto" w:eastAsia="Roboto" w:hAnsi="Roboto"/>
          <w:b w:val="1"/>
          <w:bCs w:val="1"/>
          <w:sz w:val="29"/>
          <w:szCs w:val="29"/>
          <w:rtl w:val="0"/>
        </w:rPr>
        <w:t xml:space="preserve">1,5 kilómetros</w:t>
      </w:r>
      <w:r w:rsidDel="00000000" w:rsidR="00000000" w:rsidRPr="00000000">
        <w:rPr>
          <w:rFonts w:ascii="Roboto" w:cs="Roboto" w:eastAsia="Roboto" w:hAnsi="Roboto"/>
          <w:sz w:val="29"/>
          <w:szCs w:val="29"/>
          <w:rtl w:val="0"/>
        </w:rPr>
        <w:t xml:space="preserve">, algo que fortalece la tesis de un sistema controlado estructuralmente y justifica avanzar hacia nuevos blancos de perforación. Ese matiz es clave: el mercado minero suele castigar los hallazgos vistosos cuando no tienen continuidad, pero premia mejor los proyectos que muestran repetición de mineralización, escala distrital y soporte geofísico. En esa lógica, Cordillera Cobre empieza a parecerse más a una historia de construcción técnica que a un simple titular. No es casual que Atacama siga capturando atención en esa línea, algo que también se observa en otros desarrollos regionales que </w:t>
      </w:r>
      <w:hyperlink r:id="rId24">
        <w:r w:rsidDel="00000000" w:rsidR="00000000" w:rsidRPr="00000000">
          <w:rPr>
            <w:rFonts w:ascii="Roboto" w:cs="Roboto" w:eastAsia="Roboto" w:hAnsi="Roboto"/>
            <w:color w:val="1873b5"/>
            <w:sz w:val="29"/>
            <w:szCs w:val="29"/>
            <w:u w:val="single"/>
            <w:rtl w:val="0"/>
          </w:rPr>
          <w:t xml:space="preserve">REDIMIN</w:t>
        </w:r>
      </w:hyperlink>
      <w:r w:rsidDel="00000000" w:rsidR="00000000" w:rsidRPr="00000000">
        <w:rPr>
          <w:rFonts w:ascii="Roboto" w:cs="Roboto" w:eastAsia="Roboto" w:hAnsi="Roboto"/>
          <w:sz w:val="29"/>
          <w:szCs w:val="29"/>
          <w:rtl w:val="0"/>
        </w:rPr>
        <w:t xml:space="preserve"> ha seguido, como </w:t>
      </w:r>
      <w:hyperlink r:id="rId25">
        <w:r w:rsidDel="00000000" w:rsidR="00000000" w:rsidRPr="00000000">
          <w:rPr>
            <w:rFonts w:ascii="Roboto" w:cs="Roboto" w:eastAsia="Roboto" w:hAnsi="Roboto"/>
            <w:color w:val="1873b5"/>
            <w:sz w:val="29"/>
            <w:szCs w:val="29"/>
            <w:u w:val="single"/>
            <w:rtl w:val="0"/>
          </w:rPr>
          <w:t xml:space="preserve">Costa Fuego y su apuesta por cobre y oro sustentables</w:t>
        </w:r>
      </w:hyperlink>
      <w:r w:rsidDel="00000000" w:rsidR="00000000" w:rsidRPr="00000000">
        <w:rPr>
          <w:rFonts w:ascii="Roboto" w:cs="Roboto" w:eastAsia="Roboto" w:hAnsi="Roboto"/>
          <w:sz w:val="29"/>
          <w:szCs w:val="29"/>
          <w:rtl w:val="0"/>
        </w:rPr>
        <w:t xml:space="preserve"> o el </w:t>
      </w:r>
      <w:hyperlink r:id="rId26">
        <w:r w:rsidDel="00000000" w:rsidR="00000000" w:rsidRPr="00000000">
          <w:rPr>
            <w:rFonts w:ascii="Roboto" w:cs="Roboto" w:eastAsia="Roboto" w:hAnsi="Roboto"/>
            <w:color w:val="1873b5"/>
            <w:sz w:val="29"/>
            <w:szCs w:val="29"/>
            <w:u w:val="single"/>
            <w:rtl w:val="0"/>
          </w:rPr>
          <w:t xml:space="preserve">porfido de cobre-oro identificado por Tribeca Resources en Chiricuto</w:t>
        </w:r>
      </w:hyperlink>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1.68" w:lineRule="auto"/>
        <w:rPr>
          <w:rFonts w:ascii="Roboto" w:cs="Roboto" w:eastAsia="Roboto" w:hAnsi="Roboto"/>
          <w:b w:val="1"/>
          <w:bCs w:val="1"/>
          <w:sz w:val="53"/>
          <w:szCs w:val="53"/>
        </w:rPr>
      </w:pPr>
      <w:bookmarkStart w:colFirst="0" w:colLast="0" w:name="_ds7hb11xussg" w:id="3"/>
      <w:bookmarkEnd w:id="3"/>
      <w:r w:rsidDel="00000000" w:rsidR="00000000" w:rsidRPr="00000000">
        <w:rPr>
          <w:rFonts w:ascii="Roboto" w:cs="Roboto" w:eastAsia="Roboto" w:hAnsi="Roboto"/>
          <w:b w:val="1"/>
          <w:bCs w:val="1"/>
          <w:sz w:val="53"/>
          <w:szCs w:val="53"/>
          <w:rtl w:val="0"/>
        </w:rPr>
        <w:t xml:space="preserve">La ubicación del proyecto también explica por qué el hallazgo genera interés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4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Cordillera Cobre no está apareciendo en cualquier parte del mapa. El proyecto se ubica a unos </w:t>
      </w:r>
      <w:r w:rsidDel="00000000" w:rsidR="00000000" w:rsidRPr="00000000">
        <w:rPr>
          <w:rFonts w:ascii="Roboto" w:cs="Roboto" w:eastAsia="Roboto" w:hAnsi="Roboto"/>
          <w:b w:val="1"/>
          <w:bCs w:val="1"/>
          <w:sz w:val="29"/>
          <w:szCs w:val="29"/>
          <w:rtl w:val="0"/>
        </w:rPr>
        <w:t xml:space="preserve">43 kilómetros al este-noreste de Copiapó</w:t>
      </w:r>
      <w:r w:rsidDel="00000000" w:rsidR="00000000" w:rsidRPr="00000000">
        <w:rPr>
          <w:rFonts w:ascii="Roboto" w:cs="Roboto" w:eastAsia="Roboto" w:hAnsi="Roboto"/>
          <w:sz w:val="29"/>
          <w:szCs w:val="29"/>
          <w:rtl w:val="0"/>
        </w:rPr>
        <w:t xml:space="preserve">, dentro de la tendencia IOCG de la Cordillera de la Costa, una franja geológica conocida por albergar operaciones y distritos relevantes. La compañía describe el activo como un paquete continuo de tierras con acceso a caminos, redes eléctricas y cercanía logística con Caldera, además de entorno minero ya desarrollado en la zona. Esa combinación importa mucho más de lo que suele reflejar un titular, porque un proyecto de exploración no solo compite por ley o tamaño potencial, sino también por la capacidad de avanzar con costos razonables, acceso operativo y posibilidad real de transformarse en campaña de perforación, estudios y, eventualmente, desarrollo. Además, el antecedente regulatorio también suma: en diciembre de 2025, la firma informó que el proyecto había recibido aprobación para </w:t>
      </w:r>
      <w:r w:rsidDel="00000000" w:rsidR="00000000" w:rsidRPr="00000000">
        <w:rPr>
          <w:rFonts w:ascii="Roboto" w:cs="Roboto" w:eastAsia="Roboto" w:hAnsi="Roboto"/>
          <w:b w:val="1"/>
          <w:bCs w:val="1"/>
          <w:sz w:val="29"/>
          <w:szCs w:val="29"/>
          <w:rtl w:val="0"/>
        </w:rPr>
        <w:t xml:space="preserve">26 concesiones mineras de explotación</w:t>
      </w:r>
      <w:r w:rsidDel="00000000" w:rsidR="00000000" w:rsidRPr="00000000">
        <w:rPr>
          <w:rFonts w:ascii="Roboto" w:cs="Roboto" w:eastAsia="Roboto" w:hAnsi="Roboto"/>
          <w:sz w:val="29"/>
          <w:szCs w:val="29"/>
          <w:rtl w:val="0"/>
        </w:rPr>
        <w:t xml:space="preserve"> por aproximadamente </w:t>
      </w:r>
      <w:r w:rsidDel="00000000" w:rsidR="00000000" w:rsidRPr="00000000">
        <w:rPr>
          <w:rFonts w:ascii="Roboto" w:cs="Roboto" w:eastAsia="Roboto" w:hAnsi="Roboto"/>
          <w:b w:val="1"/>
          <w:bCs w:val="1"/>
          <w:sz w:val="29"/>
          <w:szCs w:val="29"/>
          <w:rtl w:val="0"/>
        </w:rPr>
        <w:t xml:space="preserve">6.858 hectáreas</w:t>
      </w:r>
      <w:r w:rsidDel="00000000" w:rsidR="00000000" w:rsidRPr="00000000">
        <w:rPr>
          <w:rFonts w:ascii="Roboto" w:cs="Roboto" w:eastAsia="Roboto" w:hAnsi="Roboto"/>
          <w:sz w:val="29"/>
          <w:szCs w:val="29"/>
          <w:rtl w:val="0"/>
        </w:rPr>
        <w:t xml:space="preserve">, un hito que fortaleció su posición jurídica en </w:t>
      </w:r>
      <w:hyperlink r:id="rId27">
        <w:r w:rsidDel="00000000" w:rsidR="00000000" w:rsidRPr="00000000">
          <w:rPr>
            <w:rFonts w:ascii="Roboto" w:cs="Roboto" w:eastAsia="Roboto" w:hAnsi="Roboto"/>
            <w:color w:val="1873b5"/>
            <w:sz w:val="29"/>
            <w:szCs w:val="29"/>
            <w:u w:val="single"/>
            <w:rtl w:val="0"/>
          </w:rPr>
          <w:t xml:space="preserve">Chile</w:t>
        </w:r>
      </w:hyperlink>
      <w:r w:rsidDel="00000000" w:rsidR="00000000" w:rsidRPr="00000000">
        <w:rPr>
          <w:rFonts w:ascii="Roboto" w:cs="Roboto" w:eastAsia="Roboto" w:hAnsi="Roboto"/>
          <w:sz w:val="29"/>
          <w:szCs w:val="29"/>
          <w:rtl w:val="0"/>
        </w:rPr>
        <w:t xml:space="preserve">. En una etapa donde el cobre sigue siendo tema central para inversionistas, productores y analistas, no sorprende que cada nuevo hallazgo en Atacama sea leído también bajo una lente más amplia: cómo </w:t>
      </w:r>
      <w:hyperlink r:id="rId28">
        <w:r w:rsidDel="00000000" w:rsidR="00000000" w:rsidRPr="00000000">
          <w:rPr>
            <w:rFonts w:ascii="Roboto" w:cs="Roboto" w:eastAsia="Roboto" w:hAnsi="Roboto"/>
            <w:color w:val="1873b5"/>
            <w:sz w:val="29"/>
            <w:szCs w:val="29"/>
            <w:u w:val="single"/>
            <w:rtl w:val="0"/>
          </w:rPr>
          <w:t xml:space="preserve">Chile</w:t>
        </w:r>
      </w:hyperlink>
      <w:r w:rsidDel="00000000" w:rsidR="00000000" w:rsidRPr="00000000">
        <w:rPr>
          <w:rFonts w:ascii="Roboto" w:cs="Roboto" w:eastAsia="Roboto" w:hAnsi="Roboto"/>
          <w:sz w:val="29"/>
          <w:szCs w:val="29"/>
          <w:rtl w:val="0"/>
        </w:rPr>
        <w:t xml:space="preserve"> mantiene su atractivo exploratorio en un momento en que el metal rojo enfrenta tensiones de oferta, demanda y geopolítica, tal como se ha discutido en </w:t>
      </w:r>
      <w:hyperlink r:id="rId29">
        <w:r w:rsidDel="00000000" w:rsidR="00000000" w:rsidRPr="00000000">
          <w:rPr>
            <w:rFonts w:ascii="Roboto" w:cs="Roboto" w:eastAsia="Roboto" w:hAnsi="Roboto"/>
            <w:color w:val="1873b5"/>
            <w:sz w:val="29"/>
            <w:szCs w:val="29"/>
            <w:u w:val="single"/>
            <w:rtl w:val="0"/>
          </w:rPr>
          <w:t xml:space="preserve">REDIMIN</w:t>
        </w:r>
      </w:hyperlink>
      <w:r w:rsidDel="00000000" w:rsidR="00000000" w:rsidRPr="00000000">
        <w:rPr>
          <w:rFonts w:ascii="Roboto" w:cs="Roboto" w:eastAsia="Roboto" w:hAnsi="Roboto"/>
          <w:sz w:val="29"/>
          <w:szCs w:val="29"/>
          <w:rtl w:val="0"/>
        </w:rPr>
        <w:t xml:space="preserve"> a propósito del </w:t>
      </w:r>
      <w:hyperlink r:id="rId30">
        <w:r w:rsidDel="00000000" w:rsidR="00000000" w:rsidRPr="00000000">
          <w:rPr>
            <w:rFonts w:ascii="Roboto" w:cs="Roboto" w:eastAsia="Roboto" w:hAnsi="Roboto"/>
            <w:color w:val="1873b5"/>
            <w:sz w:val="29"/>
            <w:szCs w:val="29"/>
            <w:u w:val="single"/>
            <w:rtl w:val="0"/>
          </w:rPr>
          <w:t xml:space="preserve">impacto de los aranceles de EE.UU. sobre el cobre chileno</w:t>
        </w:r>
      </w:hyperlink>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1.68" w:lineRule="auto"/>
        <w:rPr>
          <w:rFonts w:ascii="Roboto" w:cs="Roboto" w:eastAsia="Roboto" w:hAnsi="Roboto"/>
          <w:b w:val="1"/>
          <w:bCs w:val="1"/>
          <w:sz w:val="53"/>
          <w:szCs w:val="53"/>
        </w:rPr>
      </w:pPr>
      <w:bookmarkStart w:colFirst="0" w:colLast="0" w:name="_66ir48asxqxn" w:id="4"/>
      <w:bookmarkEnd w:id="4"/>
      <w:r w:rsidDel="00000000" w:rsidR="00000000" w:rsidRPr="00000000">
        <w:rPr>
          <w:rFonts w:ascii="Roboto" w:cs="Roboto" w:eastAsia="Roboto" w:hAnsi="Roboto"/>
          <w:b w:val="1"/>
          <w:bCs w:val="1"/>
          <w:sz w:val="53"/>
          <w:szCs w:val="53"/>
          <w:rtl w:val="0"/>
        </w:rPr>
        <w:t xml:space="preserve">Qué viene ahora y por qué la siguiente prueba será la perforación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4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El próximo capítulo será decisivo. La empresa ya indicó que completó un levantamiento de magnetometría terrestre sobre más de </w:t>
      </w:r>
      <w:r w:rsidDel="00000000" w:rsidR="00000000" w:rsidRPr="00000000">
        <w:rPr>
          <w:rFonts w:ascii="Roboto" w:cs="Roboto" w:eastAsia="Roboto" w:hAnsi="Roboto"/>
          <w:b w:val="1"/>
          <w:bCs w:val="1"/>
          <w:sz w:val="29"/>
          <w:szCs w:val="29"/>
          <w:rtl w:val="0"/>
        </w:rPr>
        <w:t xml:space="preserve">800 hectáreas</w:t>
      </w:r>
      <w:r w:rsidDel="00000000" w:rsidR="00000000" w:rsidRPr="00000000">
        <w:rPr>
          <w:rFonts w:ascii="Roboto" w:cs="Roboto" w:eastAsia="Roboto" w:hAnsi="Roboto"/>
          <w:sz w:val="29"/>
          <w:szCs w:val="29"/>
          <w:rtl w:val="0"/>
        </w:rPr>
        <w:t xml:space="preserve"> y terminó una campaña de </w:t>
      </w:r>
      <w:r w:rsidDel="00000000" w:rsidR="00000000" w:rsidRPr="00000000">
        <w:rPr>
          <w:rFonts w:ascii="Roboto" w:cs="Roboto" w:eastAsia="Roboto" w:hAnsi="Roboto"/>
          <w:b w:val="1"/>
          <w:bCs w:val="1"/>
          <w:sz w:val="29"/>
          <w:szCs w:val="29"/>
          <w:rtl w:val="0"/>
        </w:rPr>
        <w:t xml:space="preserve">IP</w:t>
      </w:r>
      <w:r w:rsidDel="00000000" w:rsidR="00000000" w:rsidRPr="00000000">
        <w:rPr>
          <w:rFonts w:ascii="Roboto" w:cs="Roboto" w:eastAsia="Roboto" w:hAnsi="Roboto"/>
          <w:sz w:val="29"/>
          <w:szCs w:val="29"/>
          <w:rtl w:val="0"/>
        </w:rPr>
        <w:t xml:space="preserve"> en sectores como El Alto y Calcite Hill, cuyos resultados de cargabilidad están en procesamiento. Ese dato puede parecer técnico, pero en exploración es fundamental: cuando las anomalías geofísicas coinciden con mineralización en superficie y control estructural, la selección de pozos de perforación gana precisión y el riesgo geológico empieza a bajar. En otras palabras, el anuncio no vale tanto por el número más alto del muestreo, sino porque prepara el terreno para perforar con una lógica más robusta. Si los próximos sondajes confirman continuidad en profundidad, ancho mineralizado y consistencia entre sectores, Cordillera Cobre podría escalar rápidamente de promesa temprana a proyecto seguido de cerca por el mercado junior y por actores que monitorean nuevas fuentes de cobre en </w:t>
      </w:r>
      <w:hyperlink r:id="rId31">
        <w:r w:rsidDel="00000000" w:rsidR="00000000" w:rsidRPr="00000000">
          <w:rPr>
            <w:rFonts w:ascii="Roboto" w:cs="Roboto" w:eastAsia="Roboto" w:hAnsi="Roboto"/>
            <w:color w:val="1873b5"/>
            <w:sz w:val="29"/>
            <w:szCs w:val="29"/>
            <w:u w:val="single"/>
            <w:rtl w:val="0"/>
          </w:rPr>
          <w:t xml:space="preserve">Chile</w:t>
        </w:r>
      </w:hyperlink>
      <w:r w:rsidDel="00000000" w:rsidR="00000000" w:rsidRPr="00000000">
        <w:rPr>
          <w:rFonts w:ascii="Roboto" w:cs="Roboto" w:eastAsia="Roboto" w:hAnsi="Roboto"/>
          <w:sz w:val="29"/>
          <w:szCs w:val="29"/>
          <w:rtl w:val="0"/>
        </w:rPr>
        <w:t xml:space="preserve">. Si eso no ocurre, quedará como otro caso de buenas muestras superficiales sin suficiente continuidad. Esa es la frontera que hoy separa al entusiasmo de la creación real de valor. Pero por ahora, el hallazgo sí consigue algo concreto: poner nuevamente a Atacama en el centro de la conversación sobre descubrimientos de cobre de alta ley y recordar que, incluso en un país maduro en minería, todavía hay espacio para sorpresas con potencial.</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upercopper.com/cordillera-cobre/" TargetMode="External"/><Relationship Id="rId22" Type="http://schemas.openxmlformats.org/officeDocument/2006/relationships/hyperlink" Target="https://www.redimin.cl/descubrimiento-de-cobre-de-alto-grado-en-cordillera-cobre-chile/" TargetMode="External"/><Relationship Id="rId21" Type="http://schemas.openxmlformats.org/officeDocument/2006/relationships/hyperlink" Target="https://www.redimin.cl/" TargetMode="External"/><Relationship Id="rId24" Type="http://schemas.openxmlformats.org/officeDocument/2006/relationships/hyperlink" Target="https://www.redimin.cl/" TargetMode="External"/><Relationship Id="rId23" Type="http://schemas.openxmlformats.org/officeDocument/2006/relationships/hyperlink" Target="https://www.redimin.cl/minera-canadiense-confirma-hallazgo-de-cobre-de-alta-pureza-en-frontera-entre-argentina-y-chi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imin.cl/search/plata/" TargetMode="External"/><Relationship Id="rId26" Type="http://schemas.openxmlformats.org/officeDocument/2006/relationships/hyperlink" Target="https://www.redimin.cl/descubrimiento-revolucionario-en-atacama-tribeca-resources-identifica-porfido-de-cobre-oro-en-chiricuto-durante-exploracion-2024/" TargetMode="External"/><Relationship Id="rId25" Type="http://schemas.openxmlformats.org/officeDocument/2006/relationships/hyperlink" Target="https://www.redimin.cl/costa-fuego-nuevo-gigante-minero-en-atacama-promete-revolucionar-la-industria-con-cobre-y-oro-sustentables/" TargetMode="External"/><Relationship Id="rId28" Type="http://schemas.openxmlformats.org/officeDocument/2006/relationships/hyperlink" Target="https://www.redimin.cl/temas/chile/" TargetMode="External"/><Relationship Id="rId27" Type="http://schemas.openxmlformats.org/officeDocument/2006/relationships/hyperlink" Target="https://www.redimin.cl/temas/chile/" TargetMode="External"/><Relationship Id="rId5" Type="http://schemas.openxmlformats.org/officeDocument/2006/relationships/styles" Target="styles.xml"/><Relationship Id="rId6" Type="http://schemas.openxmlformats.org/officeDocument/2006/relationships/hyperlink" Target="https://www.redimin.cl/temas/cobre/" TargetMode="External"/><Relationship Id="rId29" Type="http://schemas.openxmlformats.org/officeDocument/2006/relationships/hyperlink" Target="https://www.redimin.cl/" TargetMode="External"/><Relationship Id="rId7" Type="http://schemas.openxmlformats.org/officeDocument/2006/relationships/hyperlink" Target="https://www.redimin.cl/temas/cobre/" TargetMode="External"/><Relationship Id="rId8" Type="http://schemas.openxmlformats.org/officeDocument/2006/relationships/hyperlink" Target="https://www.redimin.cl/temas/cobre/" TargetMode="External"/><Relationship Id="rId31" Type="http://schemas.openxmlformats.org/officeDocument/2006/relationships/hyperlink" Target="https://www.redimin.cl/temas/chile/" TargetMode="External"/><Relationship Id="rId30" Type="http://schemas.openxmlformats.org/officeDocument/2006/relationships/hyperlink" Target="https://www.redimin.cl/impacto-del-aumento-de-aranceles-de-ee-uu-al-cobre-chileno-incertidumbre-en-la-industria-y-llamado-a-la-diversificacion/" TargetMode="External"/><Relationship Id="rId11" Type="http://schemas.openxmlformats.org/officeDocument/2006/relationships/hyperlink" Target="https://supercopper.com/cordillera-cobre/" TargetMode="External"/><Relationship Id="rId10" Type="http://schemas.openxmlformats.org/officeDocument/2006/relationships/hyperlink" Target="https://supercopper.com/chiles-national-mining-authority-approves-super-coppers-cordillera-project/" TargetMode="External"/><Relationship Id="rId13" Type="http://schemas.openxmlformats.org/officeDocument/2006/relationships/hyperlink" Target="https://www.redimin.cl/descubrimiento-de-cobre-de-alto-grado-en-cordillera-cobre-chile/" TargetMode="External"/><Relationship Id="rId12" Type="http://schemas.openxmlformats.org/officeDocument/2006/relationships/hyperlink" Target="https://www.redimin.cl/" TargetMode="External"/><Relationship Id="rId15" Type="http://schemas.openxmlformats.org/officeDocument/2006/relationships/hyperlink" Target="https://www.redimin.cl/temas/cobre/" TargetMode="External"/><Relationship Id="rId14" Type="http://schemas.openxmlformats.org/officeDocument/2006/relationships/hyperlink" Target="https://www.redimin.cl/minera-canadiense-confirma-hallazgo-de-cobre-de-alta-pureza-en-frontera-entre-argentina-y-chile/" TargetMode="External"/><Relationship Id="rId17" Type="http://schemas.openxmlformats.org/officeDocument/2006/relationships/hyperlink" Target="https://www.redimin.cl/temas/cobre/" TargetMode="External"/><Relationship Id="rId16" Type="http://schemas.openxmlformats.org/officeDocument/2006/relationships/hyperlink" Target="https://www.redimin.cl/temas/cobre/" TargetMode="External"/><Relationship Id="rId19" Type="http://schemas.openxmlformats.org/officeDocument/2006/relationships/hyperlink" Target="https://supercopper.com/chiles-national-mining-authority-approves-super-coppers-cordillera-project/" TargetMode="External"/><Relationship Id="rId18" Type="http://schemas.openxmlformats.org/officeDocument/2006/relationships/hyperlink" Target="https://www.redimin.cl/search/pl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