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  <w:br w:type="textWrapping"/>
      </w:r>
      <w:r w:rsidDel="00000000" w:rsidR="00000000" w:rsidRPr="00000000">
        <w:rPr>
          <w:rtl w:val="0"/>
        </w:rPr>
        <w:t xml:space="preserve"> Identificar y calificar compradores serios para cerrar contratos.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 1 – Identificación de empresas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Foco: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Tier B steel mills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Trading houses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Fundiciones medianas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Canales: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LinkedIn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Websites corporativos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Listas de plantas integradas / traders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 2 – Primer contacto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corporativo + mensaje LinkedIn.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plantilla CEO (la que ya te di).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Objetivo: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Presentar MGC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Ofrecer rango de volúmenes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Preguntar por requerimientos: volúmenes, grados, puertos, instrumentos de pago.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 3 – NDA + Buyer Profile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muestran interés: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Enviar NDA MGC.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Enviar formato de Buyer Profile: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datos de empresa,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experiencia,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tipo de mineral,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puertos,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volúmenes,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condiciones de pago.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 4 – LOI / ICPO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interés real: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Solicitar: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LOI o ICPO alineado con Pre-SCO.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Validar: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banco,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volúmenes,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términos coherentes.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 5 – Preparar SCO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Tomar: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datos de Buyer Profile,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LOI/ICPO,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capacidades de proveedor.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Emitir SCO formal.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Registrar todo en CRM (estado, documentos, próxima acción).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