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Can Legal Citation-Verification Agents Be Talked Out of a Correct Answer?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  <w:t xml:space="preserve">Target venue: NLLP 2026 workshop (co-located with EMNLP 2026). Submission deadline: 11 August 2026 (confirmed against the NLLP site; 27 August applies only to papers already reviewed via ARR/EMNLP).</w:t>
      </w:r>
    </w:p>
    <w:p w:rsidR="00000000" w:rsidDel="00000000" w:rsidP="00000000" w:rsidRDefault="00000000" w:rsidRPr="00000000" w14:paraId="00000004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1. Problem Statement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  <w:t xml:space="preserve">Documented court sanctions from AI-fabricated legal citations, plus emerging mandatory citation-verification rules in U.S. jurisdictions, motivate a study of whether legal citation-verification agents are adversarially robust -- not just whether they catch fabrications, but whether they can be socially engineered into reversing a correct judgment.</w:t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  <w:t xml:space="preserve">The project asks: (1) can persuasion reverse a correct verification judgment, (2) does susceptibility vary with model size/family, (3) does giving the verifier retrieval-grounded context reduce susceptibility (the main novel contribution), and (4) what failure patterns occur when persuasion succeeds.</w:t>
      </w:r>
    </w:p>
    <w:p w:rsidR="00000000" w:rsidDel="00000000" w:rsidP="00000000" w:rsidRDefault="00000000" w:rsidRPr="00000000" w14:paraId="00000007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2. Dataset Construction (Workstream A)</w:t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619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  <w:t xml:space="preserve">Generator: Claude Sonnet 4.6, temperature 0.0. Validator: Gemini (deliberately a different model family, to reduce same-model circularity). Target class ratio: 1:1:1 across valid / real_wrong_content / fabricated.</w:t>
      </w:r>
    </w:p>
    <w:p w:rsidR="00000000" w:rsidDel="00000000" w:rsidP="00000000" w:rsidRDefault="00000000" w:rsidRPr="00000000" w14:paraId="0000000A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3. Persuasion / Adversarial Robustness Study (Workstream B)</w:t>
      </w:r>
    </w:p>
    <w:p w:rsidR="00000000" w:rsidDel="00000000" w:rsidP="00000000" w:rsidRDefault="00000000" w:rsidRPr="00000000" w14:paraId="0000000B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457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  <w:t xml:space="preserve">Two model families used for size-asymmetry testing: Llama (3.1-8b-instant, 3.3-70b-versatile/instruct) and Qwen3 (qwen3-8b, qwen3-235b-a22b-2507), run via OpenRouter.</w:t>
      </w:r>
    </w:p>
    <w:p w:rsidR="00000000" w:rsidDel="00000000" w:rsidP="00000000" w:rsidRDefault="00000000" w:rsidRPr="00000000" w14:paraId="0000000D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4. Retrieval-Grounding Mitigation Experiment (RQ3)</w:t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  <w:t xml:space="preserve">This is the paper's main novel contribution: testing whether giving the Verifier the real case holding/syllabus text as static retrieved context at challenge time reduces its susceptibility to persuasion, relative to a no-context baseline under the same challenge.</w:t>
      </w:r>
    </w:p>
    <w:p w:rsidR="00000000" w:rsidDel="00000000" w:rsidP="00000000" w:rsidRDefault="00000000" w:rsidRPr="00000000" w14:paraId="0000000F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666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  <w:t xml:space="preserve">Implemented as a pre-fetched static text injection rather than a live retrieval pipeline, to fit the project timeline.</w:t>
      </w:r>
    </w:p>
    <w:p w:rsidR="00000000" w:rsidDel="00000000" w:rsidP="00000000" w:rsidRDefault="00000000" w:rsidRPr="00000000" w14:paraId="00000011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5. Methodology Caveats to Carry Into the Paper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difficulty_bucket reflects intended strategy at generation time, not empirically validated difficulty -- a pilot showed no QA-confidence variance across buckets.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Dataset labels should not be called "ground truth by construction" -- they are QA-validated by Gemini at high confidence, not expert-verified.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adversarial-strategy tier weighting reported must be confirmed as a configured target vs. an observed distribution.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 distinct retry mechanisms exist (malformed-output retry vs. exponential backoff for API failures) and must be reported separately.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verifier's UNSUPPORTED label can never equal ground truth in the current label mapping -- this mechanically lowers initial-accuracy and needs explicit statement in methodology.</w:t>
      </w:r>
    </w:p>
    <w:p w:rsidR="00000000" w:rsidDel="00000000" w:rsidP="00000000" w:rsidRDefault="00000000" w:rsidRPr="00000000" w14:paraId="00000017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6. Results So Far</w:t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tl w:val="0"/>
        </w:rPr>
        <w:t xml:space="preserve">No full-dataset or full-scale experimental results yet. Findings so far are from infrastructure smoke tests and small pilots: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2-item smoke test revealed silent truncation on Qwen3 responses (fixed by raising output token limit from 1024 to 1536).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2-item pilot revealed the UNSUPPORTED-label ground-truth mapping issue, including in the no-persuasion control condition -- flagged for full-dataset audit.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Difficulty-bucket pilot check showed no QA-confidence variance across buckets.</w:t>
      </w:r>
    </w:p>
    <w:p w:rsidR="00000000" w:rsidDel="00000000" w:rsidP="00000000" w:rsidRDefault="00000000" w:rsidRPr="00000000" w14:paraId="0000001C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7. Open Items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live Groq/OpenRouter model IDs before further build-out.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 human verification of needs_manual_review dataset items.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Full-dataset audit of the UNSUPPORTED-label / initial-accuracy issue before trusting main-run numbers.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Incorporate all methodology caveats above into the paper's methodology/limitations sections.</w:t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