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9521" w14:textId="77777777" w:rsidR="00EB1BAD" w:rsidRDefault="00000000">
      <w:pPr>
        <w:spacing w:before="240" w:after="240" w:line="480" w:lineRule="auto"/>
        <w:jc w:val="center"/>
      </w:pPr>
      <w:r>
        <w:rPr>
          <w:b/>
          <w:bCs/>
          <w:sz w:val="24"/>
          <w:szCs w:val="24"/>
        </w:rPr>
        <w:t>CHAPTER FIVE</w:t>
      </w:r>
    </w:p>
    <w:p w14:paraId="08991C69" w14:textId="77777777" w:rsidR="00EB1BAD" w:rsidRDefault="00000000">
      <w:pPr>
        <w:spacing w:before="240" w:after="240" w:line="480" w:lineRule="auto"/>
        <w:jc w:val="center"/>
      </w:pPr>
      <w:r>
        <w:rPr>
          <w:b/>
          <w:bCs/>
          <w:sz w:val="24"/>
          <w:szCs w:val="24"/>
        </w:rPr>
        <w:t>SUMMARY, CONCLUSION AND RECOMMENDATIONS</w:t>
      </w:r>
    </w:p>
    <w:p w14:paraId="74E3A0B6" w14:textId="77777777" w:rsidR="00EB1BAD" w:rsidRDefault="00EB1BAD">
      <w:pPr>
        <w:spacing w:line="480" w:lineRule="auto"/>
      </w:pPr>
    </w:p>
    <w:p w14:paraId="5B996BA3" w14:textId="77777777" w:rsidR="00EB1BAD" w:rsidRDefault="00000000">
      <w:pPr>
        <w:spacing w:before="240" w:after="120" w:line="480" w:lineRule="auto"/>
      </w:pPr>
      <w:r>
        <w:rPr>
          <w:b/>
          <w:bCs/>
          <w:sz w:val="24"/>
          <w:szCs w:val="24"/>
        </w:rPr>
        <w:t>5.1 Summary of Major Findings</w:t>
      </w:r>
    </w:p>
    <w:p w14:paraId="27C3406E" w14:textId="77777777" w:rsidR="00EB1BAD" w:rsidRDefault="00000000">
      <w:pPr>
        <w:spacing w:after="200" w:line="480" w:lineRule="auto"/>
        <w:ind w:firstLine="720"/>
        <w:jc w:val="both"/>
      </w:pPr>
      <w:r>
        <w:rPr>
          <w:sz w:val="24"/>
          <w:szCs w:val="24"/>
        </w:rPr>
        <w:t xml:space="preserve">This study set out to bridge a specific and well-documented infrastructure gap in Nigerian cryptocurrency tax compliance. The Finance Act 2023 and the Nigeria Tax Act 2025 together created a legal obligation for over 4.2 million active Nigerian P2P cryptocurrency traders to declare and remit capital gains tax on profits from digital asset disposals. However, as established across the literature reviewed in Chapter Two, no existing tool, whether government-operated, internationally developed, or locally built, was capable of helping a retail trader fulfill that obligation accurately. </w:t>
      </w:r>
      <w:proofErr w:type="spellStart"/>
      <w:r>
        <w:rPr>
          <w:sz w:val="24"/>
          <w:szCs w:val="24"/>
        </w:rPr>
        <w:t>TaxPro</w:t>
      </w:r>
      <w:proofErr w:type="spellEnd"/>
      <w:r>
        <w:rPr>
          <w:sz w:val="24"/>
          <w:szCs w:val="24"/>
        </w:rPr>
        <w:t xml:space="preserve"> Max, the FIRS official portal, accepts only pre-calculated figures and contains no calculation engine. Global tools like </w:t>
      </w:r>
      <w:proofErr w:type="spellStart"/>
      <w:r>
        <w:rPr>
          <w:sz w:val="24"/>
          <w:szCs w:val="24"/>
        </w:rPr>
        <w:t>Koinly</w:t>
      </w:r>
      <w:proofErr w:type="spellEnd"/>
      <w:r>
        <w:rPr>
          <w:sz w:val="24"/>
          <w:szCs w:val="24"/>
        </w:rPr>
        <w:t xml:space="preserve"> and </w:t>
      </w:r>
      <w:proofErr w:type="spellStart"/>
      <w:r>
        <w:rPr>
          <w:sz w:val="24"/>
          <w:szCs w:val="24"/>
        </w:rPr>
        <w:t>CoinTracker</w:t>
      </w:r>
      <w:proofErr w:type="spellEnd"/>
      <w:r>
        <w:rPr>
          <w:sz w:val="24"/>
          <w:szCs w:val="24"/>
        </w:rPr>
        <w:t xml:space="preserve"> apply official CBN exchange rates rather than the parallel market P2P rates at which Nigerian trades actually occur, producing systematic phantom gains that deviate from true liability by an average of 61.3% (Bello, 2024). Nigerian fintech platforms like </w:t>
      </w:r>
      <w:proofErr w:type="spellStart"/>
      <w:r>
        <w:rPr>
          <w:sz w:val="24"/>
          <w:szCs w:val="24"/>
        </w:rPr>
        <w:t>PaidHR</w:t>
      </w:r>
      <w:proofErr w:type="spellEnd"/>
      <w:r>
        <w:rPr>
          <w:sz w:val="24"/>
          <w:szCs w:val="24"/>
        </w:rPr>
        <w:t xml:space="preserve"> and PwC Tax247 are scoped entirely to employment income and have no capital gains tax module.</w:t>
      </w:r>
    </w:p>
    <w:p w14:paraId="088B8B3D" w14:textId="4CA7DECF" w:rsidR="00EB1BAD" w:rsidRDefault="00000000">
      <w:pPr>
        <w:spacing w:after="200" w:line="480" w:lineRule="auto"/>
        <w:ind w:firstLine="720"/>
        <w:jc w:val="both"/>
      </w:pPr>
      <w:r>
        <w:rPr>
          <w:sz w:val="24"/>
          <w:szCs w:val="24"/>
        </w:rPr>
        <w:t xml:space="preserve">The major finding of this study is that Crypto-Tax NG successfully fills this infrastructure gap through four core technical contributions. First, the sniff-and-dispatch CSV parsing engine provides the first locally adapted, multi-exchange data ingestion pipeline for Nigerian cryptocurrency traders, capable of automatically </w:t>
      </w:r>
      <w:proofErr w:type="spellStart"/>
      <w:r>
        <w:rPr>
          <w:sz w:val="24"/>
          <w:szCs w:val="24"/>
        </w:rPr>
        <w:t>normalising</w:t>
      </w:r>
      <w:proofErr w:type="spellEnd"/>
      <w:r>
        <w:rPr>
          <w:sz w:val="24"/>
          <w:szCs w:val="24"/>
        </w:rPr>
        <w:t xml:space="preserve"> transaction data from </w:t>
      </w:r>
      <w:r>
        <w:rPr>
          <w:sz w:val="24"/>
          <w:szCs w:val="24"/>
        </w:rPr>
        <w:lastRenderedPageBreak/>
        <w:t xml:space="preserve">Binance, </w:t>
      </w:r>
      <w:proofErr w:type="spellStart"/>
      <w:r>
        <w:rPr>
          <w:sz w:val="24"/>
          <w:szCs w:val="24"/>
        </w:rPr>
        <w:t>Bybit</w:t>
      </w:r>
      <w:proofErr w:type="spellEnd"/>
      <w:r>
        <w:rPr>
          <w:sz w:val="24"/>
          <w:szCs w:val="24"/>
        </w:rPr>
        <w:t xml:space="preserve">, </w:t>
      </w:r>
      <w:proofErr w:type="spellStart"/>
      <w:r>
        <w:rPr>
          <w:sz w:val="24"/>
          <w:szCs w:val="24"/>
        </w:rPr>
        <w:t>Quidax</w:t>
      </w:r>
      <w:proofErr w:type="spellEnd"/>
      <w:r>
        <w:rPr>
          <w:sz w:val="24"/>
          <w:szCs w:val="24"/>
        </w:rPr>
        <w:t xml:space="preserve">, Luno, </w:t>
      </w:r>
      <w:proofErr w:type="spellStart"/>
      <w:r>
        <w:rPr>
          <w:sz w:val="24"/>
          <w:szCs w:val="24"/>
        </w:rPr>
        <w:t>Roqqu</w:t>
      </w:r>
      <w:proofErr w:type="spellEnd"/>
      <w:r>
        <w:rPr>
          <w:sz w:val="24"/>
          <w:szCs w:val="24"/>
        </w:rPr>
        <w:t xml:space="preserve">, and Busha into a single universal ledger without any manual reformatting by the user. Second, the rate aggregation engine provides the first automated P2P rate valuation system for historical Nigerian crypto transactions, drawing on a multi-tiered fallback chain that sources parallel market rates from the Binance </w:t>
      </w:r>
      <w:proofErr w:type="spellStart"/>
      <w:r>
        <w:rPr>
          <w:sz w:val="24"/>
          <w:szCs w:val="24"/>
        </w:rPr>
        <w:t>klines</w:t>
      </w:r>
      <w:proofErr w:type="spellEnd"/>
      <w:r>
        <w:rPr>
          <w:sz w:val="24"/>
          <w:szCs w:val="24"/>
        </w:rPr>
        <w:t xml:space="preserve"> API, the Luno Orderbook API, and the </w:t>
      </w:r>
      <w:proofErr w:type="spellStart"/>
      <w:r>
        <w:rPr>
          <w:sz w:val="24"/>
          <w:szCs w:val="24"/>
        </w:rPr>
        <w:t>CoinGecko</w:t>
      </w:r>
      <w:proofErr w:type="spellEnd"/>
      <w:r>
        <w:rPr>
          <w:sz w:val="24"/>
          <w:szCs w:val="24"/>
        </w:rPr>
        <w:t xml:space="preserve"> API, multiplied by a hardcoded monthly HISTORICAL_USDT_NGN_RATES lookup table covering January 2022 to </w:t>
      </w:r>
      <w:r w:rsidR="000A0622">
        <w:rPr>
          <w:sz w:val="24"/>
          <w:szCs w:val="24"/>
        </w:rPr>
        <w:t xml:space="preserve">March </w:t>
      </w:r>
      <w:r>
        <w:rPr>
          <w:sz w:val="24"/>
          <w:szCs w:val="24"/>
        </w:rPr>
        <w:t>202</w:t>
      </w:r>
      <w:r w:rsidR="000A0622">
        <w:rPr>
          <w:sz w:val="24"/>
          <w:szCs w:val="24"/>
        </w:rPr>
        <w:t>6</w:t>
      </w:r>
      <w:r>
        <w:rPr>
          <w:sz w:val="24"/>
          <w:szCs w:val="24"/>
        </w:rPr>
        <w:t xml:space="preserve">, and storing results in a persistent P2PRateHistory database to prevent repeated API calls. This directly eliminates the phantom gain problem identified by Bello (2024) and Abu and </w:t>
      </w:r>
      <w:proofErr w:type="spellStart"/>
      <w:r>
        <w:rPr>
          <w:sz w:val="24"/>
          <w:szCs w:val="24"/>
        </w:rPr>
        <w:t>Ohiaeri</w:t>
      </w:r>
      <w:proofErr w:type="spellEnd"/>
      <w:r>
        <w:rPr>
          <w:sz w:val="24"/>
          <w:szCs w:val="24"/>
        </w:rPr>
        <w:t xml:space="preserve"> (2023). Third, the FIFO calculation engine provides the first automated implementation of the ISA 2025-mandated First-In-First-Out cost basis accounting methodology for Nigerian retail traders, correctly processing purchases and sales in strict chronological order, handling partial lot consumption, and separately treating futures contracts whose profit or loss figures are pre-calculated by the exchange and therefore bypass the FIFO matching process entirely. Fourth, the dual tax rate engine correctly applies the Finance Act 2023 flat 10% Capital Gains Tax rate for tax years up to and including 2025, and the Nigeria Tax Act 2025 progressive Personal Income Tax brackets for tax years from 2026 onwards, ensuring that the system remains legally accurate across all historical and current reporting periods. The output of all four components is a structured PDF report formatted for direct input into </w:t>
      </w:r>
      <w:proofErr w:type="spellStart"/>
      <w:r>
        <w:rPr>
          <w:sz w:val="24"/>
          <w:szCs w:val="24"/>
        </w:rPr>
        <w:t>TaxPro</w:t>
      </w:r>
      <w:proofErr w:type="spellEnd"/>
      <w:r>
        <w:rPr>
          <w:sz w:val="24"/>
          <w:szCs w:val="24"/>
        </w:rPr>
        <w:t xml:space="preserve"> Max, completing the full compliance workflow from raw exchange data to a filed return.</w:t>
      </w:r>
    </w:p>
    <w:p w14:paraId="6C695D61" w14:textId="77777777" w:rsidR="00EB1BAD" w:rsidRDefault="00EB1BAD">
      <w:pPr>
        <w:spacing w:line="480" w:lineRule="auto"/>
      </w:pPr>
    </w:p>
    <w:p w14:paraId="3BCED932" w14:textId="77777777" w:rsidR="000A0622" w:rsidRDefault="000A0622">
      <w:pPr>
        <w:spacing w:line="480" w:lineRule="auto"/>
      </w:pPr>
    </w:p>
    <w:p w14:paraId="092130E9" w14:textId="77777777" w:rsidR="000A0622" w:rsidRDefault="000A0622">
      <w:pPr>
        <w:spacing w:line="480" w:lineRule="auto"/>
      </w:pPr>
    </w:p>
    <w:p w14:paraId="07A134D4" w14:textId="77777777" w:rsidR="000A0622" w:rsidRDefault="000A0622">
      <w:pPr>
        <w:spacing w:line="480" w:lineRule="auto"/>
      </w:pPr>
    </w:p>
    <w:p w14:paraId="21303140" w14:textId="77777777" w:rsidR="00EB1BAD" w:rsidRDefault="00000000">
      <w:pPr>
        <w:spacing w:before="240" w:after="120" w:line="480" w:lineRule="auto"/>
      </w:pPr>
      <w:r>
        <w:rPr>
          <w:b/>
          <w:bCs/>
          <w:sz w:val="24"/>
          <w:szCs w:val="24"/>
        </w:rPr>
        <w:lastRenderedPageBreak/>
        <w:t>5.2 Conclusion</w:t>
      </w:r>
    </w:p>
    <w:p w14:paraId="50DE2403" w14:textId="77777777" w:rsidR="00EB1BAD" w:rsidRDefault="00000000">
      <w:pPr>
        <w:spacing w:after="200" w:line="480" w:lineRule="auto"/>
        <w:ind w:firstLine="720"/>
        <w:jc w:val="both"/>
      </w:pPr>
      <w:r>
        <w:rPr>
          <w:sz w:val="24"/>
          <w:szCs w:val="24"/>
        </w:rPr>
        <w:t>The aim of this study was to develop a web-based cryptocurrency tax compliance system for Nigerian peer-to-peer traders. Three specific objectives were stated in Chapter One to achieve this aim, and each is addressed individually below.</w:t>
      </w:r>
    </w:p>
    <w:p w14:paraId="75187708" w14:textId="77777777" w:rsidR="00EB1BAD" w:rsidRDefault="00000000">
      <w:pPr>
        <w:spacing w:after="200" w:line="480" w:lineRule="auto"/>
        <w:ind w:firstLine="720"/>
        <w:jc w:val="both"/>
      </w:pPr>
      <w:r>
        <w:rPr>
          <w:sz w:val="24"/>
          <w:szCs w:val="24"/>
        </w:rPr>
        <w:t xml:space="preserve">The first objective was to develop a web-based interface that allows Nigerian crypto traders to upload and normalize transaction data in CSV format from multiple exchanges. This objective was fully achieved through the implementation of the sniff-and-dispatch CSV parsing engine in the </w:t>
      </w:r>
      <w:proofErr w:type="gramStart"/>
      <w:r>
        <w:rPr>
          <w:sz w:val="24"/>
          <w:szCs w:val="24"/>
        </w:rPr>
        <w:t>transactions</w:t>
      </w:r>
      <w:proofErr w:type="gramEnd"/>
      <w:r>
        <w:rPr>
          <w:sz w:val="24"/>
          <w:szCs w:val="24"/>
        </w:rPr>
        <w:t xml:space="preserve"> application. The engine supports six Nigerian-relevant exchanges and automatically detects the format of any uploaded CSV file by inspecting its column headers, routing each row to the appropriate sub-parser without requiring any manual selection from the user. The universal Transaction model </w:t>
      </w:r>
      <w:proofErr w:type="spellStart"/>
      <w:r>
        <w:rPr>
          <w:sz w:val="24"/>
          <w:szCs w:val="24"/>
        </w:rPr>
        <w:t>normalises</w:t>
      </w:r>
      <w:proofErr w:type="spellEnd"/>
      <w:r>
        <w:rPr>
          <w:sz w:val="24"/>
          <w:szCs w:val="24"/>
        </w:rPr>
        <w:t xml:space="preserve"> every imported row into a consistent schema that feeds directly into the FIFO and tax engines. The SHA-256 duplicate detection mechanism prevents the same file from being imported more than once, closing a compliance loophole that could otherwise allow traders to artificially inflate cost basis figures. The web-based frontend, built with React 18 and served through a Django REST Framework API, provides authenticated users with a straightforward upload interface that requires no technical knowledge to operate. This outcome is directly consistent with the finding of </w:t>
      </w:r>
      <w:proofErr w:type="spellStart"/>
      <w:r>
        <w:rPr>
          <w:sz w:val="24"/>
          <w:szCs w:val="24"/>
        </w:rPr>
        <w:t>Dagunduro</w:t>
      </w:r>
      <w:proofErr w:type="spellEnd"/>
      <w:r>
        <w:rPr>
          <w:sz w:val="24"/>
          <w:szCs w:val="24"/>
        </w:rPr>
        <w:t xml:space="preserve"> </w:t>
      </w:r>
      <w:r w:rsidRPr="00437085">
        <w:rPr>
          <w:i/>
          <w:iCs/>
          <w:sz w:val="24"/>
          <w:szCs w:val="24"/>
        </w:rPr>
        <w:t>et al.</w:t>
      </w:r>
      <w:r>
        <w:rPr>
          <w:sz w:val="24"/>
          <w:szCs w:val="24"/>
        </w:rPr>
        <w:t xml:space="preserve"> (2025) that domain-specific tools designed for a user's exact compliance situation produce higher adoption and compliance rates than general-purpose platforms.</w:t>
      </w:r>
    </w:p>
    <w:p w14:paraId="469B55FB" w14:textId="06ED5A21" w:rsidR="00EB1BAD" w:rsidRDefault="00000000">
      <w:pPr>
        <w:spacing w:after="200" w:line="480" w:lineRule="auto"/>
        <w:ind w:firstLine="720"/>
        <w:jc w:val="both"/>
      </w:pPr>
      <w:r>
        <w:rPr>
          <w:sz w:val="24"/>
          <w:szCs w:val="24"/>
        </w:rPr>
        <w:t xml:space="preserve">The second objective was to implement a Python-based FIFO matching algorithm to accurately calculate capital gains and progressive PIT liabilities in line with the NTAA 2025 guidelines. This objective was fully achieved through the implementation of the </w:t>
      </w:r>
      <w:proofErr w:type="spellStart"/>
      <w:r>
        <w:rPr>
          <w:sz w:val="24"/>
          <w:szCs w:val="24"/>
        </w:rPr>
        <w:t>FIFOEngine</w:t>
      </w:r>
      <w:proofErr w:type="spellEnd"/>
      <w:r>
        <w:rPr>
          <w:sz w:val="24"/>
          <w:szCs w:val="24"/>
        </w:rPr>
        <w:t xml:space="preserve"> class, the tax service orchestrator, and the dual tax rate logic in the calculations application. </w:t>
      </w:r>
      <w:r>
        <w:rPr>
          <w:sz w:val="24"/>
          <w:szCs w:val="24"/>
        </w:rPr>
        <w:lastRenderedPageBreak/>
        <w:t>The FIFO</w:t>
      </w:r>
      <w:r w:rsidR="00437085">
        <w:rPr>
          <w:sz w:val="24"/>
          <w:szCs w:val="24"/>
        </w:rPr>
        <w:t xml:space="preserve"> </w:t>
      </w:r>
      <w:r>
        <w:rPr>
          <w:sz w:val="24"/>
          <w:szCs w:val="24"/>
        </w:rPr>
        <w:t xml:space="preserve">Engine uses a Python deque as the purchase queue for each asset, processes all transactions in strict chronological order, and correctly handles partial lot consumption for fractional cryptocurrency quantities. The tax service correctly applies the 10% flat Capital Gains Tax rate for tax years up to and including 2025, and the progressive Personal Income Tax brackets of the Nigeria Tax Act 2025 for tax years from 2026 onwards. Futures contract profits and losses, imported as </w:t>
      </w:r>
      <w:proofErr w:type="spellStart"/>
      <w:r>
        <w:rPr>
          <w:sz w:val="24"/>
          <w:szCs w:val="24"/>
        </w:rPr>
        <w:t>realized_pnl</w:t>
      </w:r>
      <w:proofErr w:type="spellEnd"/>
      <w:r>
        <w:rPr>
          <w:sz w:val="24"/>
          <w:szCs w:val="24"/>
        </w:rPr>
        <w:t xml:space="preserve"> transactions, are correctly ingested directly without FIFO lot matching, since their net margin is pre-calculated by the exchange. The rate aggregation engine ensures that all cost basis and proceeds figures are denominated in Nigerian Naira at actual P2P parallel market rates rather than official CBN rates, directly resolving the phantom gain problem that makes global tools inapplicable to the Nigerian market. This outcome is consistent with the IMF recommendation (2025) that private compliance infrastructure must be developed before cryptocurrency tax enforcement can be practically effective in Nigeria.</w:t>
      </w:r>
    </w:p>
    <w:p w14:paraId="503E6390" w14:textId="6526FBD2" w:rsidR="00EB1BAD" w:rsidRDefault="00000000">
      <w:pPr>
        <w:spacing w:after="200" w:line="480" w:lineRule="auto"/>
        <w:ind w:firstLine="720"/>
        <w:jc w:val="both"/>
      </w:pPr>
      <w:r>
        <w:rPr>
          <w:sz w:val="24"/>
          <w:szCs w:val="24"/>
        </w:rPr>
        <w:t xml:space="preserve">The third objective was to evaluate the system by generating an automated, FIRS-compliant tax summary that users can directly input into the </w:t>
      </w:r>
      <w:proofErr w:type="spellStart"/>
      <w:r>
        <w:rPr>
          <w:sz w:val="24"/>
          <w:szCs w:val="24"/>
        </w:rPr>
        <w:t>TaxPro</w:t>
      </w:r>
      <w:proofErr w:type="spellEnd"/>
      <w:r>
        <w:rPr>
          <w:sz w:val="24"/>
          <w:szCs w:val="24"/>
        </w:rPr>
        <w:t xml:space="preserve"> Max portal. This objective was fully achieved through the implementation of the PDF report generator in the </w:t>
      </w:r>
      <w:proofErr w:type="gramStart"/>
      <w:r>
        <w:rPr>
          <w:sz w:val="24"/>
          <w:szCs w:val="24"/>
        </w:rPr>
        <w:t>reports</w:t>
      </w:r>
      <w:proofErr w:type="gramEnd"/>
      <w:r>
        <w:rPr>
          <w:sz w:val="24"/>
          <w:szCs w:val="24"/>
        </w:rPr>
        <w:t xml:space="preserve"> application, built using the </w:t>
      </w:r>
      <w:proofErr w:type="spellStart"/>
      <w:r>
        <w:rPr>
          <w:sz w:val="24"/>
          <w:szCs w:val="24"/>
        </w:rPr>
        <w:t>ReportLab</w:t>
      </w:r>
      <w:proofErr w:type="spellEnd"/>
      <w:r>
        <w:rPr>
          <w:sz w:val="24"/>
          <w:szCs w:val="24"/>
        </w:rPr>
        <w:t xml:space="preserve"> library. The generated report contains a taxpayer summary with the user's Tax Identification Number, a transaction disposal schedule listing every sale event for the tax year, a FIFO matching table showing the specific purchase lots consumed by each sale, and a tax liability breakdown with the final figure formatted for direct entry into </w:t>
      </w:r>
      <w:proofErr w:type="spellStart"/>
      <w:r>
        <w:rPr>
          <w:sz w:val="24"/>
          <w:szCs w:val="24"/>
        </w:rPr>
        <w:t>TaxPro</w:t>
      </w:r>
      <w:proofErr w:type="spellEnd"/>
      <w:r>
        <w:rPr>
          <w:sz w:val="24"/>
          <w:szCs w:val="24"/>
        </w:rPr>
        <w:t xml:space="preserve"> Max. This outcome directly resolves the structural gap identified by Fabian </w:t>
      </w:r>
      <w:r w:rsidR="004011D7" w:rsidRPr="004011D7">
        <w:rPr>
          <w:i/>
          <w:iCs/>
          <w:sz w:val="24"/>
          <w:szCs w:val="24"/>
        </w:rPr>
        <w:t>et al</w:t>
      </w:r>
      <w:r w:rsidR="004011D7">
        <w:rPr>
          <w:sz w:val="24"/>
          <w:szCs w:val="24"/>
        </w:rPr>
        <w:t xml:space="preserve"> </w:t>
      </w:r>
      <w:r>
        <w:rPr>
          <w:sz w:val="24"/>
          <w:szCs w:val="24"/>
        </w:rPr>
        <w:t xml:space="preserve">who documented that </w:t>
      </w:r>
      <w:proofErr w:type="spellStart"/>
      <w:r>
        <w:rPr>
          <w:sz w:val="24"/>
          <w:szCs w:val="24"/>
        </w:rPr>
        <w:t>TaxPro</w:t>
      </w:r>
      <w:proofErr w:type="spellEnd"/>
      <w:r>
        <w:rPr>
          <w:sz w:val="24"/>
          <w:szCs w:val="24"/>
        </w:rPr>
        <w:t xml:space="preserve"> Max's receiver-passive architecture demands pre-calculated inputs that no existing tool was providing for retail P2P traders. Crypto-Tax NG acts as the </w:t>
      </w:r>
      <w:r>
        <w:rPr>
          <w:sz w:val="24"/>
          <w:szCs w:val="24"/>
        </w:rPr>
        <w:lastRenderedPageBreak/>
        <w:t xml:space="preserve">pre-processing middleware that generates exactly those inputs, completing the compliance workflow that </w:t>
      </w:r>
      <w:proofErr w:type="spellStart"/>
      <w:r>
        <w:rPr>
          <w:sz w:val="24"/>
          <w:szCs w:val="24"/>
        </w:rPr>
        <w:t>TaxPro</w:t>
      </w:r>
      <w:proofErr w:type="spellEnd"/>
      <w:r>
        <w:rPr>
          <w:sz w:val="24"/>
          <w:szCs w:val="24"/>
        </w:rPr>
        <w:t xml:space="preserve"> Max cannot initiate on its own.</w:t>
      </w:r>
    </w:p>
    <w:p w14:paraId="047E5BF0" w14:textId="77777777" w:rsidR="00EB1BAD" w:rsidRDefault="00000000">
      <w:pPr>
        <w:spacing w:after="200" w:line="480" w:lineRule="auto"/>
        <w:ind w:firstLine="720"/>
        <w:jc w:val="both"/>
      </w:pPr>
      <w:r>
        <w:rPr>
          <w:sz w:val="24"/>
          <w:szCs w:val="24"/>
        </w:rPr>
        <w:t xml:space="preserve">In conclusion, Crypto-Tax NG demonstrates that it is technically feasible to build a locally adapted cryptocurrency tax compliance system that resolves all three core barriers identified in the literature: the absence of P2P rate integration, the absence of FIFO cost basis computation, and the absence of a report format compatible with the Nigerian tax filing infrastructure. The system does not replace </w:t>
      </w:r>
      <w:proofErr w:type="spellStart"/>
      <w:r>
        <w:rPr>
          <w:sz w:val="24"/>
          <w:szCs w:val="24"/>
        </w:rPr>
        <w:t>TaxPro</w:t>
      </w:r>
      <w:proofErr w:type="spellEnd"/>
      <w:r>
        <w:rPr>
          <w:sz w:val="24"/>
          <w:szCs w:val="24"/>
        </w:rPr>
        <w:t xml:space="preserve"> Max. Rather, it occupies the computational gap that precedes it, transforming raw exchange data into the structured financial outputs that the government portal requires. If adopted at scale, platforms of this nature could meaningfully contribute to closing the compliance gap that currently costs the Federal Government of Nigeria an estimated N680 billion annually in uncollected cryptocurrency capital gains tax (National Assembly Committee on Finance, 2024).</w:t>
      </w:r>
    </w:p>
    <w:p w14:paraId="7E99CABE" w14:textId="77777777" w:rsidR="00EB1BAD" w:rsidRDefault="00EB1BAD">
      <w:pPr>
        <w:spacing w:line="480" w:lineRule="auto"/>
      </w:pPr>
    </w:p>
    <w:p w14:paraId="6D03E2F1" w14:textId="77777777" w:rsidR="00EB1BAD" w:rsidRDefault="00000000">
      <w:pPr>
        <w:spacing w:before="240" w:after="120" w:line="480" w:lineRule="auto"/>
      </w:pPr>
      <w:r>
        <w:rPr>
          <w:b/>
          <w:bCs/>
          <w:sz w:val="24"/>
          <w:szCs w:val="24"/>
        </w:rPr>
        <w:t>5.3 Recommendations</w:t>
      </w:r>
    </w:p>
    <w:p w14:paraId="49262492" w14:textId="77777777" w:rsidR="00EB1BAD" w:rsidRDefault="00000000">
      <w:pPr>
        <w:spacing w:after="200" w:line="480" w:lineRule="auto"/>
        <w:ind w:firstLine="720"/>
        <w:jc w:val="both"/>
      </w:pPr>
      <w:r>
        <w:rPr>
          <w:sz w:val="24"/>
          <w:szCs w:val="24"/>
        </w:rPr>
        <w:t>Based on the findings and outcomes of this study, the following recommendations are made. The first set of recommendations concerns future improvements to Crypto-Tax NG itself, followed by broader recommendations for practitioners, policymakers, and future researchers.</w:t>
      </w:r>
    </w:p>
    <w:p w14:paraId="5755D9F7" w14:textId="77777777" w:rsidR="00EB1BAD" w:rsidRDefault="00000000">
      <w:pPr>
        <w:spacing w:after="200" w:line="480" w:lineRule="auto"/>
        <w:ind w:firstLine="720"/>
        <w:jc w:val="both"/>
      </w:pPr>
      <w:r>
        <w:rPr>
          <w:sz w:val="24"/>
          <w:szCs w:val="24"/>
        </w:rPr>
        <w:t xml:space="preserve">For Crypto-Tax NG specifically, the most important near-term improvement is the replacement of the hardcoded HISTORICAL_USDT_NGN_RATES lookup table with a live parallel market rate database. The current implementation covers monthly P2P rates from January 2022 to December 2026, but rates beyond this range will require manual updates to </w:t>
      </w:r>
      <w:r>
        <w:rPr>
          <w:sz w:val="24"/>
          <w:szCs w:val="24"/>
        </w:rPr>
        <w:lastRenderedPageBreak/>
        <w:t xml:space="preserve">the codebase. A production deployment of the system should integrate a continuously updated NGN rate feed from a reliable parallel market source such as the </w:t>
      </w:r>
      <w:proofErr w:type="spellStart"/>
      <w:r>
        <w:rPr>
          <w:sz w:val="24"/>
          <w:szCs w:val="24"/>
        </w:rPr>
        <w:t>AbokiFX</w:t>
      </w:r>
      <w:proofErr w:type="spellEnd"/>
      <w:r>
        <w:rPr>
          <w:sz w:val="24"/>
          <w:szCs w:val="24"/>
        </w:rPr>
        <w:t xml:space="preserve"> API or the Luno Orderbook, which should replace the static table entirely. The second improvement recommended for the system is the addition of a per-lot holding period tracker in the FIFO engine. The current implementation records the earliest purchase date per asset rather than the purchase date of each individual lot consumed by a sale. While this does not affect tax liability in Nigeria at present because no differential rate for long-term holdings exists in the Finance Act 2023 or the Nigeria Tax Act 2025, the flag is displayed on the PDF report and should be accurate. A future version of the </w:t>
      </w:r>
      <w:proofErr w:type="spellStart"/>
      <w:r>
        <w:rPr>
          <w:sz w:val="24"/>
          <w:szCs w:val="24"/>
        </w:rPr>
        <w:t>FIFOEngine</w:t>
      </w:r>
      <w:proofErr w:type="spellEnd"/>
      <w:r>
        <w:rPr>
          <w:sz w:val="24"/>
          <w:szCs w:val="24"/>
        </w:rPr>
        <w:t xml:space="preserve"> should pass the purchase date of each consumed lot through the </w:t>
      </w:r>
      <w:proofErr w:type="spellStart"/>
      <w:r>
        <w:rPr>
          <w:sz w:val="24"/>
          <w:szCs w:val="24"/>
        </w:rPr>
        <w:t>process_sale</w:t>
      </w:r>
      <w:proofErr w:type="spellEnd"/>
      <w:r>
        <w:rPr>
          <w:sz w:val="24"/>
          <w:szCs w:val="24"/>
        </w:rPr>
        <w:t xml:space="preserve"> result to enable accurate per-lot holding period reporting. The third recommendation for the system is the addition of a blockchain wallet integration feature that allows users to connect their on-chain wallet addresses directly, eliminating the need to export and upload CSV files manually. This would extend the system's reach to traders who conduct wallet-to-wallet transactions that are not captured in exchange exports, and would also reduce the risk of incomplete data due to forgotten or missing CSV files.</w:t>
      </w:r>
    </w:p>
    <w:p w14:paraId="1397CC46" w14:textId="77777777" w:rsidR="00EB1BAD" w:rsidRDefault="00000000">
      <w:pPr>
        <w:spacing w:after="200" w:line="480" w:lineRule="auto"/>
        <w:ind w:firstLine="720"/>
        <w:jc w:val="both"/>
      </w:pPr>
      <w:r>
        <w:rPr>
          <w:sz w:val="24"/>
          <w:szCs w:val="24"/>
        </w:rPr>
        <w:t xml:space="preserve">For policymakers at the Federal Inland Revenue Service and the National Assembly, this study recommends that the FIRS consider publishing official technical guidelines specifying the exact CSV export formats and data fields that constitute a valid audit trail for cryptocurrency capital gains tax self-assessment. The current absence of such guidelines means that traders using different exchanges produce records in incompatible formats, and any compliance tool must maintain its own parser for each exchange independently. A </w:t>
      </w:r>
      <w:proofErr w:type="spellStart"/>
      <w:r>
        <w:rPr>
          <w:sz w:val="24"/>
          <w:szCs w:val="24"/>
        </w:rPr>
        <w:t>standardised</w:t>
      </w:r>
      <w:proofErr w:type="spellEnd"/>
      <w:r>
        <w:rPr>
          <w:sz w:val="24"/>
          <w:szCs w:val="24"/>
        </w:rPr>
        <w:t xml:space="preserve"> FIRS data submission format, modelled on similar guidelines published by HMRC in the United Kingdom and SARS in South Africa, would significantly reduce the engineering burden </w:t>
      </w:r>
      <w:r>
        <w:rPr>
          <w:sz w:val="24"/>
          <w:szCs w:val="24"/>
        </w:rPr>
        <w:lastRenderedPageBreak/>
        <w:t>for compliance tool developers and improve the audit trail quality available to tax authorities. Additionally, the FIRS is encouraged to consider formally endorsing or providing API access to approved private compliance tools, following the IMF's recommendation (2025) that private infrastructure be developed as a pre-audit layer before enforcement activities begin.</w:t>
      </w:r>
    </w:p>
    <w:p w14:paraId="0C0B6C02" w14:textId="77777777" w:rsidR="00EB1BAD" w:rsidRDefault="00EB1BAD">
      <w:pPr>
        <w:spacing w:line="480" w:lineRule="auto"/>
      </w:pPr>
    </w:p>
    <w:sectPr w:rsidR="00EB1BAD">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C6FC6"/>
    <w:multiLevelType w:val="hybridMultilevel"/>
    <w:tmpl w:val="B5808CC4"/>
    <w:lvl w:ilvl="0" w:tplc="D61A65B8">
      <w:start w:val="1"/>
      <w:numFmt w:val="bullet"/>
      <w:lvlText w:val="●"/>
      <w:lvlJc w:val="left"/>
      <w:pPr>
        <w:ind w:left="720" w:hanging="360"/>
      </w:pPr>
    </w:lvl>
    <w:lvl w:ilvl="1" w:tplc="A39AC3A2">
      <w:start w:val="1"/>
      <w:numFmt w:val="bullet"/>
      <w:lvlText w:val="○"/>
      <w:lvlJc w:val="left"/>
      <w:pPr>
        <w:ind w:left="1440" w:hanging="360"/>
      </w:pPr>
    </w:lvl>
    <w:lvl w:ilvl="2" w:tplc="CF4C30D4">
      <w:start w:val="1"/>
      <w:numFmt w:val="bullet"/>
      <w:lvlText w:val="■"/>
      <w:lvlJc w:val="left"/>
      <w:pPr>
        <w:ind w:left="2160" w:hanging="360"/>
      </w:pPr>
    </w:lvl>
    <w:lvl w:ilvl="3" w:tplc="98E28BBE">
      <w:start w:val="1"/>
      <w:numFmt w:val="bullet"/>
      <w:lvlText w:val="●"/>
      <w:lvlJc w:val="left"/>
      <w:pPr>
        <w:ind w:left="2880" w:hanging="360"/>
      </w:pPr>
    </w:lvl>
    <w:lvl w:ilvl="4" w:tplc="92126360">
      <w:start w:val="1"/>
      <w:numFmt w:val="bullet"/>
      <w:lvlText w:val="○"/>
      <w:lvlJc w:val="left"/>
      <w:pPr>
        <w:ind w:left="3600" w:hanging="360"/>
      </w:pPr>
    </w:lvl>
    <w:lvl w:ilvl="5" w:tplc="E9A063D0">
      <w:start w:val="1"/>
      <w:numFmt w:val="bullet"/>
      <w:lvlText w:val="■"/>
      <w:lvlJc w:val="left"/>
      <w:pPr>
        <w:ind w:left="4320" w:hanging="360"/>
      </w:pPr>
    </w:lvl>
    <w:lvl w:ilvl="6" w:tplc="ADBEBC98">
      <w:start w:val="1"/>
      <w:numFmt w:val="bullet"/>
      <w:lvlText w:val="●"/>
      <w:lvlJc w:val="left"/>
      <w:pPr>
        <w:ind w:left="5040" w:hanging="360"/>
      </w:pPr>
    </w:lvl>
    <w:lvl w:ilvl="7" w:tplc="B0622CC2">
      <w:start w:val="1"/>
      <w:numFmt w:val="bullet"/>
      <w:lvlText w:val="●"/>
      <w:lvlJc w:val="left"/>
      <w:pPr>
        <w:ind w:left="5760" w:hanging="360"/>
      </w:pPr>
    </w:lvl>
    <w:lvl w:ilvl="8" w:tplc="96FCE09C">
      <w:start w:val="1"/>
      <w:numFmt w:val="bullet"/>
      <w:lvlText w:val="●"/>
      <w:lvlJc w:val="left"/>
      <w:pPr>
        <w:ind w:left="6480" w:hanging="360"/>
      </w:pPr>
    </w:lvl>
  </w:abstractNum>
  <w:num w:numId="1" w16cid:durableId="1170636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BAD"/>
    <w:rsid w:val="0008549A"/>
    <w:rsid w:val="000A0622"/>
    <w:rsid w:val="003719AD"/>
    <w:rsid w:val="004011D7"/>
    <w:rsid w:val="00437085"/>
    <w:rsid w:val="004C44E0"/>
    <w:rsid w:val="0052541E"/>
    <w:rsid w:val="008F50B4"/>
    <w:rsid w:val="00EB1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8D7B"/>
  <w15:docId w15:val="{65812C74-AC16-4A4D-9036-C4C27B0D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1694</Words>
  <Characters>9656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emperordavidehimen@gmail.com</cp:lastModifiedBy>
  <cp:revision>2</cp:revision>
  <dcterms:created xsi:type="dcterms:W3CDTF">2026-05-06T08:19:00Z</dcterms:created>
  <dcterms:modified xsi:type="dcterms:W3CDTF">2026-05-06T08:19:00Z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682547934</vt:i4>
  </property>
</Properties>
</file>