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niirylxpz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MCQs, Fill-in-the-Blanks, Short Answer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x4wkjhny0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Multiple Choice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mode of IPsec encrypts only the payload?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Tunnel Mode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B. Transport 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maximum value of hop count in RIP?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32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B. 16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IPsec AH provide?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A. Confidentiality only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B. Integrity and Authentication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k95yt00xt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 in the Blanks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IPsec’s two main protocols are ______ and ______.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AH, ESP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unique identifier for an SA is called ______.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SPI (Security Parameters Index)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IKE Phase 2, keys may be refreshed using ______ to ensure forward secrecy.</w:t>
        <w:br w:type="textWrapping"/>
        <w:t xml:space="preserve"> → </w:t>
      </w:r>
      <w:r w:rsidDel="00000000" w:rsidR="00000000" w:rsidRPr="00000000">
        <w:rPr>
          <w:b w:val="1"/>
          <w:rtl w:val="0"/>
        </w:rPr>
        <w:t xml:space="preserve">Diffie-Hellman (DH)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xrmyo0hot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What’s the purpose of a Security Association in IPsec?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It defines how IP traffic will be secured, including encryption/authentication algorithms, keys, and lifetime.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: Why is BGP considered insecure by design?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BGP lacks strong authentication, making it vulnerable to route hijacking.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