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Explainable Deep Learning for Deepfake Voice Detection</w:t>
      </w:r>
    </w:p>
    <w:p>
      <w:pPr>
        <w:spacing w:after="240"/>
        <w:jc w:val="center"/>
      </w:pPr>
      <w:r>
        <w:rPr>
          <w:i/>
          <w:iCs/>
          <w:color w:val="555555"/>
          <w:sz w:val="22"/>
          <w:szCs w:val="22"/>
        </w:rPr>
        <w:t xml:space="preserve">Results and Analysis — improving on “Unmasking the Fake” (IEEE Access, 2024)</w:t>
      </w:r>
    </w:p>
    <w:p>
      <w:pPr>
        <w:pBdr>
          <w:bottom w:val="single" w:color="1F3864" w:sz="6"/>
        </w:pBdr>
        <w:spacing w:after="200"/>
      </w:pPr>
    </w:p>
    <w:p>
      <w:pPr>
        <w:pStyle w:val="Heading1"/>
        <w:spacing w:after="120" w:before="240"/>
      </w:pPr>
      <w:r>
        <w:t xml:space="preserve">1. Summary</w:t>
      </w:r>
    </w:p>
    <w:p>
      <w:pPr>
        <w:spacing w:after="120"/>
      </w:pPr>
      <w:r>
        <w:rPr>
          <w:sz w:val="22"/>
          <w:szCs w:val="22"/>
        </w:rPr>
        <w:t xml:space="preserve">We reproduced the classical pipeline of the reference paper on a large, merged three-dataset corpus, then trained an explainable deep-learning detector that substantially improves on it under a rigorous, leakage-free evaluation. Headline results on a speaker-disjoint test set: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Proposed AttentiveSpecCNN: 4.81% Equal Error Rate (EER), 93.84% balanced accuracy, AUC 0.99.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Best reproduced baseline (Random Forest on MFCC): 11.33% EER — the proposed model reduces EER by ~58% relative.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leave-one-source-out study shows this in-domain success does NOT transfer to fully unseen datasets, quantifying an important generalization limit.</w:t>
      </w:r>
    </w:p>
    <w:p>
      <w:pPr>
        <w:pStyle w:val="Heading1"/>
        <w:spacing w:after="120" w:before="240"/>
      </w:pPr>
      <w:r>
        <w:t xml:space="preserve">2. Datasets and preprocessing</w:t>
      </w:r>
    </w:p>
    <w:p>
      <w:pPr>
        <w:spacing w:after="120"/>
      </w:pPr>
      <w:r>
        <w:rPr>
          <w:sz w:val="22"/>
          <w:szCs w:val="22"/>
        </w:rPr>
        <w:t xml:space="preserve">Three public datasets were merged into a single manifest and cleaned. Audio is decoded (with an ffmpeg fallback that recovers a large fraction of ASVspoof FLACs that the default decoder silently fails on), converted to mono, resampled to 16 kHz, fixed to 4 s, and transformed to 80-band log-mel spectrograms.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60"/>
        <w:gridCol w:w="1500"/>
        <w:gridCol w:w="150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(local name)</w:t>
            </w:r>
          </w:p>
        </w:tc>
        <w:tc>
          <w:tcPr>
            <w:tcW w:type="dxa" w:w="40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Real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Fake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dataset_1 — ASVspoof 2021 (DF)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Speech-deepfake benchmark; telephone/codec conditions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16,977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441,894</w:t>
            </w:r>
          </w:p>
        </w:tc>
      </w:tr>
      <w:tr>
        <w:tc>
          <w:tcPr>
            <w:tcW w:type="dxa" w:w="23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dataset_2 — Adarsh AD set</w:t>
            </w:r>
          </w:p>
        </w:tc>
        <w:tc>
          <w:tcPr>
            <w:tcW w:type="dxa" w:w="406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LibriSpeech real + modern-TTS fakes (VALL-E, XTTS, …)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2,274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2,173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dataset_3 — MLAAD v5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Multilingual TTS, ~90 generators (fake only)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151,446</w:t>
            </w:r>
          </w:p>
        </w:tc>
      </w:tr>
      <w:tr>
        <w:tc>
          <w:tcPr>
            <w:tcW w:type="dxa" w:w="23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Merged total</w:t>
            </w:r>
          </w:p>
        </w:tc>
        <w:tc>
          <w:tcPr>
            <w:tcW w:type="dxa" w:w="406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Unified manifest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19,251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595,513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Table 1. The three merged sources. The corpus is ~97% fake, so a class-balanced subset (19,251 real / 19,251 fake) was drawn, keeping the fake half diverse across all sources and ~90 generators.</w:t>
      </w:r>
    </w:p>
    <w:p>
      <w:pPr>
        <w:pStyle w:val="Heading1"/>
        <w:spacing w:after="120" w:before="240"/>
      </w:pPr>
      <w:r>
        <w:t xml:space="preserve">3. Evaluation protocol</w:t>
      </w:r>
    </w:p>
    <w:p>
      <w:pPr>
        <w:spacing w:after="120"/>
      </w:pPr>
      <w:r>
        <w:rPr>
          <w:sz w:val="22"/>
          <w:szCs w:val="22"/>
        </w:rPr>
        <w:t xml:space="preserve">Two design choices make the numbers trustworthy and, unlike the reference paper, comparable to the anti-spoofing literature: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Speaker-disjoint splits: train/validation/test share no speaker or TTS source-reader, so a model cannot inflate its score by memorising voice identity. (The paper used random k-fold, which leaks identity across folds.)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Equal Error Rate (EER) as the primary metric — the field standard — reported alongside balanced accuracy and per-class F1 so the “predict-everything-fake” failure mode cannot hide behind raw accuracy.</w:t>
      </w:r>
    </w:p>
    <w:p>
      <w:pPr>
        <w:pStyle w:val="Heading1"/>
        <w:spacing w:after="120" w:before="240"/>
      </w:pPr>
      <w:r>
        <w:t xml:space="preserve">4. Methods and configuration</w:t>
      </w:r>
    </w:p>
    <w:p>
      <w:pPr>
        <w:spacing w:after="120"/>
      </w:pPr>
      <w:r>
        <w:rPr>
          <w:sz w:val="22"/>
          <w:szCs w:val="22"/>
        </w:rPr>
        <w:t xml:space="preserve">The proposed detector (AttentiveSpecCNN) and the training regime are summarised below; all values are the defaults in the released scripts.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Sample rate / channels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 kHz, mono</w:t>
            </w:r>
          </w:p>
        </w:tc>
      </w:tr>
      <w:tr>
        <w:tc>
          <w:tcPr>
            <w:tcW w:type="dxa" w:w="336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Clip length</w:t>
            </w:r>
          </w:p>
        </w:tc>
        <w:tc>
          <w:tcPr>
            <w:tcW w:type="dxa" w:w="60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 s (64,000 samples); pad if shorter, random crop (train) / center crop (eval) if longer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Log-mel spectrogram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80 mel bands, n_fft = 400, hop = 160 → 80 × 401 input</w:t>
            </w:r>
          </w:p>
        </w:tc>
      </w:tr>
      <w:tr>
        <w:tc>
          <w:tcPr>
            <w:tcW w:type="dxa" w:w="336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CNN backbone</w:t>
            </w:r>
          </w:p>
        </w:tc>
        <w:tc>
          <w:tcPr>
            <w:tcW w:type="dxa" w:w="60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 conv blocks, channels 16/32/64/128, 3×3 conv + BatchNorm + ReLU + 2×2 max-pool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Pooling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frequency mean, then temporal attention (softmax over time frames)</w:t>
            </w:r>
          </w:p>
        </w:tc>
      </w:tr>
      <w:tr>
        <w:tc>
          <w:tcPr>
            <w:tcW w:type="dxa" w:w="336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Classifier head</w:t>
            </w:r>
          </w:p>
        </w:tc>
        <w:tc>
          <w:tcPr>
            <w:tcW w:type="dxa" w:w="60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Linear 128→64, ReLU, dropout 0.3, Linear 64→2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Trainable parameters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≈ 106,000</w:t>
            </w:r>
          </w:p>
        </w:tc>
      </w:tr>
      <w:tr>
        <w:tc>
          <w:tcPr>
            <w:tcW w:type="dxa" w:w="336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Optimiser / schedule</w:t>
            </w:r>
          </w:p>
        </w:tc>
        <w:tc>
          <w:tcPr>
            <w:tcW w:type="dxa" w:w="60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Adam, lr 1e-3, ReduceLROnPlateau (×0.5, patience 2)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Loss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cross-entropy with inverse-frequency class weights</w:t>
            </w:r>
          </w:p>
        </w:tc>
      </w:tr>
      <w:tr>
        <w:tc>
          <w:tcPr>
            <w:tcW w:type="dxa" w:w="336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Batch size / epochs</w:t>
            </w:r>
          </w:p>
        </w:tc>
        <w:tc>
          <w:tcPr>
            <w:tcW w:type="dxa" w:w="60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64 / 15, best-validation-EER checkpoint kept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Hardware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single NVIDIA RTX 3080 (≈ 20–60 s per epoch)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Table 4. Audio front-end, model, and training configuration for the proposed model.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Classical baseline. </w:t>
      </w:r>
      <w:r>
        <w:rPr>
          <w:sz w:val="22"/>
          <w:szCs w:val="22"/>
        </w:rPr>
        <w:t xml:space="preserve">The paper's pipeline was reproduced with 40 MFCCs summarised by their per-utterance mean and standard deviation (an 80-dimensional vector), standardised before classification. Four classifiers were evaluated — Random Forest (50 trees, max depth 10), Logistic Regression (max_iter 1000), k-Nearest Neighbours (k = 5) and Gaussian Naive Bayes — on both the raw MFCC features and the paper's GNB+NMF “transfer” features (Gaussian-Naive-Bayes class probabilities concatenated with a 16-component non-negative matrix factorisation).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Cross-dataset probe. </w:t>
      </w:r>
      <w:r>
        <w:rPr>
          <w:sz w:val="22"/>
          <w:szCs w:val="22"/>
        </w:rPr>
        <w:t xml:space="preserve">For each held-out source a fresh AttentiveSpecCNN was trained for 10 epochs on a class-balanced mix of the other two sources and evaluated on the untouched third.</w:t>
      </w:r>
    </w:p>
    <w:p>
      <w:pPr>
        <w:pStyle w:val="Heading1"/>
        <w:spacing w:after="120" w:before="240"/>
      </w:pPr>
      <w:r>
        <w:t xml:space="preserve">5. The reference paper, briefly</w:t>
      </w:r>
    </w:p>
    <w:p>
      <w:pPr>
        <w:spacing w:after="120"/>
      </w:pPr>
      <w:r>
        <w:rPr>
          <w:sz w:val="22"/>
          <w:szCs w:val="22"/>
        </w:rPr>
        <w:t xml:space="preserve">The paper (“Unmasking the Fake”, IEEE Access 2024) reports 99.93% accuracy for a Gaussian-Naive-Bayes model over MFCC features refined by a GNB+NMF “transfer” step. That figure is not comparable to properly-evaluated systems: it is measured on a small, different Kaggle set with random k-fold splits and SMOTE applied before splitting (both leak information), the reported per-class metrics are internally inconsistent, and no EER is given. We therefore reproduce the method on our data as a fair baseline rather than treating 99.93% as a target.</w:t>
      </w:r>
    </w:p>
    <w:p>
      <w:pPr>
        <w:pStyle w:val="Heading1"/>
        <w:spacing w:after="120" w:before="240"/>
      </w:pPr>
      <w:r>
        <w:t xml:space="preserve">6. In-domain results</w:t>
      </w:r>
    </w:p>
    <w:p>
      <w:pPr>
        <w:spacing w:after="120"/>
      </w:pPr>
      <w:r>
        <w:rPr>
          <w:sz w:val="22"/>
          <w:szCs w:val="22"/>
        </w:rPr>
        <w:t xml:space="preserve">All methods were trained and evaluated on the same speaker-disjoint splits of the merged corpus. The proposed deep model outperforms every classical variant, and — notably — the paper's own GNB+NMF “novelty” does not help: it slightly worsens the strongest classical model and the paper's headline GNB is the weakest configuration overall.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4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25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Features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EER %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Bal. Acc %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F1(fake) %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AUC</w:t>
            </w:r>
          </w:p>
        </w:tc>
      </w:tr>
      <w:tr>
        <w:tc>
          <w:tcPr>
            <w:tcW w:type="dxa" w:w="2560"/>
            <w:shd w:fill="D7F0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AttentiveSpecCNN (proposed)</w:t>
            </w:r>
          </w:p>
        </w:tc>
        <w:tc>
          <w:tcPr>
            <w:tcW w:type="dxa" w:w="2400"/>
            <w:shd w:fill="D7F0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log-mel</w:t>
            </w:r>
          </w:p>
        </w:tc>
        <w:tc>
          <w:tcPr>
            <w:tcW w:type="dxa" w:w="1100"/>
            <w:shd w:fill="D7F0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4.81</w:t>
            </w:r>
          </w:p>
        </w:tc>
        <w:tc>
          <w:tcPr>
            <w:tcW w:type="dxa" w:w="1100"/>
            <w:shd w:fill="D7F0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93.84</w:t>
            </w:r>
          </w:p>
        </w:tc>
        <w:tc>
          <w:tcPr>
            <w:tcW w:type="dxa" w:w="1100"/>
            <w:shd w:fill="D7F0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93.49</w:t>
            </w:r>
          </w:p>
        </w:tc>
        <w:tc>
          <w:tcPr>
            <w:tcW w:type="dxa" w:w="1100"/>
            <w:shd w:fill="D7F0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MFCC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11.33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87.51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87.86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0.96</w:t>
            </w:r>
          </w:p>
        </w:tc>
      </w:tr>
      <w:tr>
        <w:tc>
          <w:tcPr>
            <w:tcW w:type="dxa" w:w="256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24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GNB+NMF transfer</w:t>
            </w:r>
          </w:p>
        </w:tc>
        <w:tc>
          <w:tcPr>
            <w:tcW w:type="dxa" w:w="11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11.89</w:t>
            </w:r>
          </w:p>
        </w:tc>
        <w:tc>
          <w:tcPr>
            <w:tcW w:type="dxa" w:w="11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87.60</w:t>
            </w:r>
          </w:p>
        </w:tc>
        <w:tc>
          <w:tcPr>
            <w:tcW w:type="dxa" w:w="11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87.83</w:t>
            </w:r>
          </w:p>
        </w:tc>
        <w:tc>
          <w:tcPr>
            <w:tcW w:type="dxa" w:w="11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K-Nearest Neighbours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MFCC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13.15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85.46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86.13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</w:t>
            </w:r>
          </w:p>
        </w:tc>
      </w:tr>
      <w:tr>
        <w:tc>
          <w:tcPr>
            <w:tcW w:type="dxa" w:w="256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4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GNB+NMF transfer</w:t>
            </w:r>
          </w:p>
        </w:tc>
        <w:tc>
          <w:tcPr>
            <w:tcW w:type="dxa" w:w="11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14.78</w:t>
            </w:r>
          </w:p>
        </w:tc>
        <w:tc>
          <w:tcPr>
            <w:tcW w:type="dxa" w:w="11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84.73</w:t>
            </w:r>
          </w:p>
        </w:tc>
        <w:tc>
          <w:tcPr>
            <w:tcW w:type="dxa" w:w="11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84.09</w:t>
            </w:r>
          </w:p>
        </w:tc>
        <w:tc>
          <w:tcPr>
            <w:tcW w:type="dxa" w:w="11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K-Nearest Neighbours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GNB+NMF transfer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15.05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83.93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84.67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</w:t>
            </w:r>
          </w:p>
        </w:tc>
      </w:tr>
      <w:tr>
        <w:tc>
          <w:tcPr>
            <w:tcW w:type="dxa" w:w="256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4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MFCC</w:t>
            </w:r>
          </w:p>
        </w:tc>
        <w:tc>
          <w:tcPr>
            <w:tcW w:type="dxa" w:w="11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15.52</w:t>
            </w:r>
          </w:p>
        </w:tc>
        <w:tc>
          <w:tcPr>
            <w:tcW w:type="dxa" w:w="11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84.33</w:t>
            </w:r>
          </w:p>
        </w:tc>
        <w:tc>
          <w:tcPr>
            <w:tcW w:type="dxa" w:w="11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84.17</w:t>
            </w:r>
          </w:p>
        </w:tc>
        <w:tc>
          <w:tcPr>
            <w:tcW w:type="dxa" w:w="11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Gaussian Naive Bayes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GNB+NMF transfer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23.93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76.72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75.77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0.87</w:t>
            </w:r>
          </w:p>
        </w:tc>
      </w:tr>
      <w:tr>
        <w:tc>
          <w:tcPr>
            <w:tcW w:type="dxa" w:w="256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Gaussian Naive Bayes (paper's headline)</w:t>
            </w:r>
          </w:p>
        </w:tc>
        <w:tc>
          <w:tcPr>
            <w:tcW w:type="dxa" w:w="24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MFCC</w:t>
            </w:r>
          </w:p>
        </w:tc>
        <w:tc>
          <w:tcPr>
            <w:tcW w:type="dxa" w:w="11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26.69</w:t>
            </w:r>
          </w:p>
        </w:tc>
        <w:tc>
          <w:tcPr>
            <w:tcW w:type="dxa" w:w="11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73.05</w:t>
            </w:r>
          </w:p>
        </w:tc>
        <w:tc>
          <w:tcPr>
            <w:tcW w:type="dxa" w:w="11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71.75</w:t>
            </w:r>
          </w:p>
        </w:tc>
        <w:tc>
          <w:tcPr>
            <w:tcW w:type="dxa" w:w="11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0.81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Table 2. In-domain detection on the speaker-disjoint test set (lower EER is better). Proposed model highlighted.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1. Equal Error Rate by method. The proposed AttentiveSpecCNN (green) roughly halves the best classical baseline's EER.</w:t>
      </w:r>
    </w:p>
    <w:p>
      <w:pPr>
        <w:pStyle w:val="Heading1"/>
        <w:spacing w:after="120" w:before="240"/>
      </w:pPr>
      <w:r>
        <w:t xml:space="preserve">7. Model architecture and explainability</w:t>
      </w:r>
    </w:p>
    <w:p>
      <w:pPr>
        <w:spacing w:after="120"/>
      </w:pPr>
      <w:r>
        <w:rPr>
          <w:sz w:val="22"/>
          <w:szCs w:val="22"/>
        </w:rPr>
        <w:t xml:space="preserve">AttentiveSpecCNN is a compact (106K-parameter) 2-D CNN over log-mel spectrograms, followed by a learnable temporal attention-pooling layer. This layer is the key departure from the paper: where the paper hand-engineers a fixed MFCC→GNB→NMF feature transform, the attention layer learns, per time frame, how much each moment contributes to the decision. It also makes the model explainable at no extra cost: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Temporal attention weights give a per-frame saliency curve (which moments the model attended to).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Grad-CAM over the final convolutional layer highlights the time–frequency regions that drove the predicted class.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2. Explanation for a correctly-identified real clip: log-mel spectrogram (top), Grad-CAM overlay (middle), and temporal attention (bottom).</w:t>
      </w:r>
    </w:p>
    <w:p>
      <w:pPr>
        <w:pStyle w:val="Heading1"/>
        <w:spacing w:after="120" w:before="240"/>
      </w:pPr>
      <w:r>
        <w:t xml:space="preserve">8. Cross-dataset generalization</w:t>
      </w:r>
    </w:p>
    <w:p>
      <w:pPr>
        <w:spacing w:after="120"/>
      </w:pPr>
      <w:r>
        <w:rPr>
          <w:sz w:val="22"/>
          <w:szCs w:val="22"/>
        </w:rPr>
        <w:t xml:space="preserve">To test whether the model detects genuine deepfake artifacts or merely dataset-specific cues, we ran a leave-one-source-out study: train on two sources, test on the fully held-out third.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2100"/>
        <w:gridCol w:w="21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Held-out test source</w:t>
            </w:r>
          </w:p>
        </w:tc>
        <w:tc>
          <w:tcPr>
            <w:tcW w:type="dxa" w:w="27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Trained on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400"/>
            <w:shd w:fill="D7F0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(reference) In-domain</w:t>
            </w:r>
          </w:p>
        </w:tc>
        <w:tc>
          <w:tcPr>
            <w:tcW w:type="dxa" w:w="2760"/>
            <w:shd w:fill="D7F0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three sources</w:t>
            </w:r>
          </w:p>
        </w:tc>
        <w:tc>
          <w:tcPr>
            <w:tcW w:type="dxa" w:w="2100"/>
            <w:shd w:fill="D7F0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EER / AUC</w:t>
            </w:r>
          </w:p>
        </w:tc>
        <w:tc>
          <w:tcPr>
            <w:tcW w:type="dxa" w:w="2100"/>
            <w:shd w:fill="D7F0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4.81% / 0.99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ASVspoof 2021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dataset_2 + MLAAD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EER / AUC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44.9% / 0.56</w:t>
            </w:r>
          </w:p>
        </w:tc>
      </w:tr>
      <w:tr>
        <w:tc>
          <w:tcPr>
            <w:tcW w:type="dxa" w:w="24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dataset_2</w:t>
            </w:r>
          </w:p>
        </w:tc>
        <w:tc>
          <w:tcPr>
            <w:tcW w:type="dxa" w:w="276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ASVspoof + MLAAD</w:t>
            </w:r>
          </w:p>
        </w:tc>
        <w:tc>
          <w:tcPr>
            <w:tcW w:type="dxa" w:w="21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EER / AUC</w:t>
            </w:r>
          </w:p>
        </w:tc>
        <w:tc>
          <w:tcPr>
            <w:tcW w:type="dxa" w:w="2100"/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57.5% / 0.42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MLAAD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ASVspoof + dataset_2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fake-recall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48.4%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Table 3. Leave-one-source-out generalization. MLAAD has no real audio, so only the fake-detection rate on unseen generators is reportable there.</w:t>
      </w:r>
    </w:p>
    <w:p>
      <w:pPr>
        <w:spacing w:after="40" w:before="120"/>
        <w:jc w:val="center"/>
      </w:pPr>
      <w:r>
        <w:drawing>
          <wp:inline distT="0" distB="0" distL="0" distR="0">
            <wp:extent cx="5619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3. In-domain vs. held-out ROC-AUC. Performance collapses to (or below) chance on an unseen source.</w:t>
      </w:r>
    </w:p>
    <w:p>
      <w:pPr>
        <w:spacing w:after="120"/>
      </w:pPr>
      <w:r>
        <w:rPr>
          <w:sz w:val="22"/>
          <w:szCs w:val="22"/>
        </w:rPr>
        <w:t xml:space="preserve">The collapse is informative. Trained on ASVspoof (telephone/codec) plus MLAAD (clean multilingual TTS), the model appears to learn “clean audio → fake” and therefore mislabels dataset_2's clean LibriSpeech real speech as fake (AUC 0.42, below chance). In other words, the strong in-domain result leans heavily on recording/domain signatures rather than on transferable artifacts.</w:t>
      </w:r>
    </w:p>
    <w:p>
      <w:pPr>
        <w:pStyle w:val="Heading1"/>
        <w:spacing w:after="120" w:before="240"/>
      </w:pPr>
      <w:r>
        <w:t xml:space="preserve">9. Discussion</w:t>
      </w:r>
    </w:p>
    <w:p>
      <w:pPr>
        <w:spacing w:after="120"/>
      </w:pPr>
      <w:r>
        <w:rPr>
          <w:sz w:val="22"/>
          <w:szCs w:val="22"/>
        </w:rPr>
        <w:t xml:space="preserve">The project supports a three-tier conclusion, each tier reported with honest, protocol-correct numbers: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paper's 99.93% accuracy is not reproducible or comparable — it reflects a leaky, small-scale evaluation.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 a fair, leakage-free benchmark, the proposed explainable deep model achieves 4.81% EER, a ~58% relative reduction over the reproduced classical baseline (11.33%).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Cross-dataset generalization remains an open problem: in-domain metrics overstate real-world robustness, and a truly universal detector is not yet achieved.</w:t>
      </w:r>
    </w:p>
    <w:p>
      <w:pPr>
        <w:pStyle w:val="Heading1"/>
        <w:spacing w:after="120" w:before="240"/>
      </w:pPr>
      <w:r>
        <w:t xml:space="preserve">10. Limitations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MLAAD contributes only fake audio, so part of the real/fake separation reflects domain differences rather than pure deepfake artifacts.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ASVspoof-holdout fold is real-starved (only ~2.3k LibriSpeech real clips for training).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Cross-dataset numbers are single-run, fixed-threshold probes; ROC-AUC is the most robust signal among them.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Reproducibility: </w:t>
      </w:r>
      <w:r>
        <w:rPr>
          <w:sz w:val="22"/>
          <w:szCs w:val="22"/>
        </w:rPr>
        <w:t xml:space="preserve">build_manifest.py → build_balanced_subset.py → split_manifest.py → (paper_baseline.py | train.py) → cross_dataset.py → explain.py, with metrics.py providing EER. All results and figures are regenerated from these scripts.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5b0c27cbbb3007d708517f74c806d3258e1da0.png"/><Relationship Id="rId8" Type="http://schemas.openxmlformats.org/officeDocument/2006/relationships/image" Target="media/d05971257fb07c0e9538fc90d93576033f120915.png"/><Relationship Id="rId9" Type="http://schemas.openxmlformats.org/officeDocument/2006/relationships/image" Target="media/87d40702fee10d768aeb569a0152e514d61b194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2026-07-22T08:34:44.157Z</dcterms:created>
  <dcterms:modified xsi:type="dcterms:W3CDTF">2026-07-22T08:34:44.158Z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