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Moong Green Gram</w:t>
      </w:r>
    </w:p>
    <w:p>
      <w:r>
        <w:t>Source/Owner: Unknown</w:t>
      </w:r>
    </w:p>
    <w:p>
      <w:r>
        <w:t>URL: https://www.arcgis.com/home/item.html?id=940b76acf8b1437ba5f9e18146c7f1de</w:t>
        <w:br/>
      </w:r>
    </w:p>
    <w:p>
      <w:r>
        <w:t>The dataset provides district-wise statistics on moong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moong cultivation is observed in states such as Rajasthan, Madhya Pradesh, Karnataka, Maharashtra, Uttar Pradesh, indicating the major production belt for this crop. Several districts, including Nagaur (Rajasthan), Churu (Rajasthan), Narmadapuram (Madhya Pradesh), Jodhpur (Rajasthan), Ganganagar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statistics on moong cultivation in India, including area under cultivation, production, and yield for the financial years 2022–23, 2023–24, and 2024–25. The layer enables spatial analysis of crop distribution, productivity, and temporal changes across the country. Based on the most recent reporting year, the highest concentration of moong cultivation is observed in states such as Rajasthan, Madhya Pradesh, Karnataka, Maharashtra, Uttar Pradesh, indicating the major production belt for this crop. Several districts, including Nagaur (Rajasthan), Churu (Rajasthan), Narmadapuram (Madhya Pradesh), Jodhpur (Rajasthan), Ganganagar (Rajasthan), emerge as important contributors in terms of cultivated area and overall output. In contrast, metropolitan districts, mountainous regions, and areas with unsuitable agro-climatic conditions generally record limited cultivation and production. Yield values show considerable variation between districts, reflecting differences in irrigation availability, soil characteristics, rainfall patterns, input use, mechanization levels, and adoption of improved crop varieties. The dataset therefore provides a comprehensive view of regional disparities and production dynamics within India’s agricultural landscape.</w:t>
        <w:br/>
        <w:br/>
        <w:t>This dataset is useful for agricultural planning, crop monitoring, food and nutritional security assessments, market intelligence, and evidence-based policy formulation. It can support government agencies in identifying high-performing regions, evaluating productivity gaps, prioritizing investments, and designing targeted interventions for yield enhancement. Researchers and analysts can use the information to study spatial patterns, production trends, climate resilience, and resource-use efficiency, while agribusinesses and value-chain stakeholders can assess production clusters, procurement opportunities, and supply forecasting. When published as an ArcGIS Online feature layer, the dataset supports thematic mapping, district-level comparisons, hotspot identification, dashboard development, and integration with other socioeconomic, climatic, and land-use datasets for advanced geospatial analysis.</w:t>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