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Ragi</w:t>
      </w:r>
    </w:p>
    <w:p>
      <w:r>
        <w:t>Source/Owner: Unknown</w:t>
      </w:r>
    </w:p>
    <w:p>
      <w:r>
        <w:t>URL: https://www.arcgis.com/home/item.html?id=14b80a2c6afe4b409bd88fa38a0aa963</w:t>
        <w:br/>
      </w:r>
    </w:p>
    <w:p>
      <w:r>
        <w:t>The dataset provides district-wise statistics on ragi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ragi cultivation is observed in states such as Karnataka, Maharashtra, Uttarakhand, Tamil Nadu, Odisha, indicating the major production belt for this crop. Several districts, including Tumakuru (Karnataka), Hassan (Karnataka), Mysuru (Karnataka), Mandya (Karnataka), Bengaluru South (Karnataka),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ragi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ragi cultivation is observed in states such as Karnataka, Maharashtra, Uttarakhand, Tamil Nadu, Odisha, indicating the major production belt for this crop. Several districts, including Tumakuru (Karnataka), Hassan (Karnataka), Mysuru (Karnataka), Mandya (Karnataka), Bengaluru South (Karnataka),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