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Rapeseed Mustard</w:t>
      </w:r>
    </w:p>
    <w:p>
      <w:r>
        <w:t>Source/Owner: Unknown</w:t>
      </w:r>
    </w:p>
    <w:p>
      <w:r>
        <w:t>URL: https://www.arcgis.com/home/item.html?id=9a9574ad1bd743f09b490dcb9ba59141</w:t>
        <w:br/>
      </w:r>
    </w:p>
    <w:p>
      <w:r>
        <w:t>The dataset provides district-wise statistics on rapeseed mustard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rapeseed cultivation is observed in states such as Rajasthan, Uttar Pradesh, Madhya Pradesh, Jharkhand, Assam, indicating the major production belt for this crop. Several districts, including Bikaner (Rajasthan), Tonk (Rajasthan), Ganganagar (Rajasthan), Churu (Rajasthan), Hanumangarh (Rajasthan),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provides district-wise statistics on rapeseed mustard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rapeseed cultivation is observed in states such as Rajasthan, Uttar Pradesh, Madhya Pradesh, Jharkhand, Assam, indicating the major production belt for this crop. Several districts, including Bikaner (Rajasthan), Tonk (Rajasthan), Ganganagar (Rajasthan), Churu (Rajasthan), Hanumangarh (Rajasthan),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w:t>
        <w:br/>
        <w:br/>
        <w:t>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w:t>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