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Safflower</w:t>
      </w:r>
    </w:p>
    <w:p>
      <w:r>
        <w:t>Source/Owner: Unknown</w:t>
      </w:r>
    </w:p>
    <w:p>
      <w:r>
        <w:t>URL: https://www.arcgis.com/home/item.html?id=d7761dba0a2a4a1f81920e72c9abeca0</w:t>
        <w:br/>
      </w:r>
    </w:p>
    <w:p>
      <w:r>
        <w:t>The dataset presents district-wise information on safflower cultivation in India, covering area, production, and yield for the financial years 2022–23, 2023–24, and 2024–25, along with geographic identifiers. The overall pattern shows that safflower cultivation is highly limited and localized, with only a few districts reporting measurable area and production while the majority record zero or negligible values. The maximum safflower area in 2024–25 is observed in districts such as Latur (Maharashtra) at around 0.19 lakh hectare, along with relatively higher values in Nanded and Hingoli (Maharashtra) and Kalaburagi (Karnataka), reflecting concentration in parts of Maharashtra and northern Karnataka. Production follows a similar trend, remaining modest and mostly under 0.1 lakh tonnes in most districts. Yield varies moderately across regions, with some districts reporting values in the range of 700–1000 kg/hectare, while areas with negligible cultivation show inconsistent or zero yield. Overall, the data highlights very sparse cultivation with isolated high-performing pockets and widespread minimal activity across most of the country.This dataset can be used for agricultural planning, oilseed crop assessment, and identifying niche crops for diversification, especially in dryland and semi-arid regions where safflower is typically grown. It is useful for policymakers and researchers to identify potential regions for expanding safflower cultivation, improve oilseed production, analyze productivity trends, and design targeted interventions for promoting underutilized crops. Additionally, the data supports spatial analysis, yield improvement strategies, and sustainable agriculture planning, particularly in regions suited for hardy crops like safflower, helping enhance crop resilience and farmer income diversification.This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presents district-wise information on safflower cultivation in India, covering area, production, and yield for the financial years 2022–23, 2023–24, and 2024–25, along with geographic identifiers. The overall pattern shows that safflower cultivation is highly limited and localized, with only a few districts reporting measurable area and production while the majority record zero or negligible values. The maximum safflower area in 2024–25 is observed in districts such as Latur (Maharashtra) at around 0.19 lakh hectare, along with relatively higher values in Nanded and Hingoli (Maharashtra) and Kalaburagi (Karnataka), reflecting concentration in parts of Maharashtra and northern Karnataka. Production follows a similar trend, remaining modest and mostly under 0.1 lakh tonnes in most districts. Yield varies moderately across regions, with some districts reporting values in the range of 700–1000 kg/hectare, while areas with negligible cultivation show inconsistent or zero yield. Overall, the data highlights very sparse cultivation with isolated high-performing pockets and widespread minimal activity across most of the country.</w:t>
        <w:br/>
        <w:br/>
        <w:br/>
        <w:t>This dataset can be used for agricultural planning, oilseed crop assessment, and identifying niche crops for diversification, especially in dryland and semi-arid regions where safflower is typically grown. It is useful for policymakers and researchers to identify potential regions for expanding safflower cultivation, improve oilseed production, analyze productivity trends, and design targeted interventions for promoting underutilized crops. Additionally, the data supports spatial analysis, yield improvement strategies, and sustainable agriculture planning, particularly in regions suited for hardy crops like safflower, helping enhance crop resilience and farmer income diversification.</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