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Sannhemp</w:t>
      </w:r>
    </w:p>
    <w:p>
      <w:r>
        <w:t>Source/Owner: Unknown</w:t>
      </w:r>
    </w:p>
    <w:p>
      <w:r>
        <w:t>URL: https://www.arcgis.com/home/item.html?id=62af31dade1641b4b6990b9f2050ba80</w:t>
        <w:br/>
      </w:r>
    </w:p>
    <w:p>
      <w:r>
        <w:t>The dataset provides district-wise information on Sannhemp area, production, and yield across India for the financial years 2022–23, 2023–24, and 2024–25, along with district/state identifiers and spatial attributes. Overall, the data shows that Sannhemp cultivation is very limited and sparsely reported, with most districts having blank or zero values for area and production across the three years. The maximum reported area is very small, reaching around 0.01 lakh hectare in a few districts such as Mysuru, Karnataka and some Bihar districts, while the majority of districts show minimum values of zero or no reported cultivation. Production is also minimal, with the highest values generally around 0.03 lakh tonnes in limited cases such as Mysuru, Karnataka and Purulia, West Bengal, while most districts report zero or blank production. Yield values vary where reported, with some high values such as 8,000 kg/hectare in Cooch Behar, West Bengal for 2022–23, but these should be interpreted carefully because the corresponding area and production are extremely small. Overall, the trend indicates that Sannhemp is not widely cultivated in the dataset and is reported only in scattered districts with very low area and production.The intended use of this data is to support crop monitoring, niche crop assessment, agricultural planning, and spatial mapping of Sannhemp cultivation at the district level. It can help identify the few districts where Sannhemp is reported, assess changes in its limited cultivation over time, and support decisions related to green manure crops, soil health improvement, fibre crop planning, and sustainable agriculture initiatives. The data may also be useful for identifying gaps in reporting, distinguishing areas with negligible cultivation from areas with missing data, and supporting evidence-based planning for crop diversification and soil fertility programs.This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information on Sannhemp area, production, and yield across India for the financial years 2022–23, 2023–24, and 2024–25, along with district/state identifiers and spatial attributes. Overall, the data shows that Sannhemp cultivation is very limited and sparsely reported, with most districts having blank or zero values for area and production across the three years. The maximum reported area is very small, reaching around 0.01 lakh hectare in a few districts such as Mysuru, Karnataka and some Bihar districts, while the majority of districts show minimum values of zero or no reported cultivation. Production is also minimal, with the highest values generally around 0.03 lakh tonnes in limited cases such as Mysuru, Karnataka and Purulia, West Bengal, while most districts report zero or blank production. Yield values vary where reported, with some high values such as 8,000 kg/hectare in Cooch Behar, West Bengal for 2022–23, but these should be interpreted carefully because the corresponding area and production are extremely small. Overall, the trend indicates that Sannhemp is not widely cultivated in the dataset and is reported only in scattered districts with very low area and production.</w:t>
        <w:br/>
        <w:br/>
        <w:br/>
        <w:t>The intended use of this data is to support crop monitoring, niche crop assessment, agricultural planning, and spatial mapping of Sannhemp cultivation at the district level. It can help identify the few districts where Sannhemp is reported, assess changes in its limited cultivation over time, and support decisions related to green manure crops, soil health improvement, fibre crop planning, and sustainable agriculture initiatives. The data may also be useful for identifying gaps in reporting, distinguishing areas with negligible cultivation from areas with missing data, and supporting evidence-based planning for crop diversification and soil fertility programs.</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