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Sesamum</w:t>
      </w:r>
    </w:p>
    <w:p>
      <w:r>
        <w:t>Source/Owner: Unknown</w:t>
      </w:r>
    </w:p>
    <w:p>
      <w:r>
        <w:t>URL: https://www.arcgis.com/home/item.html?id=9213b0d338024150b21240742c2d148e</w:t>
        <w:br/>
      </w:r>
    </w:p>
    <w:p>
      <w:r>
        <w:t>The dataset presents district-wise statistics on sesamum (sesame) cultivation in India, including area, production, and yield for the financial years 2022–23, 2023–24, and 2024–25, along with geographic identifiers. The data indicates that sesamum cultivation is widely distributed but unevenly concentrated, with significant activity in states such as Rajasthan, Madhya Pradesh, Gujarat, Karnataka, and Uttar Pradesh. The highest area under cultivation in 2024–25 is observed in Chhatarpur (Madhya Pradesh) at around 1.05 lakh hectare, followed by notable districts like Pali (Rajasthan) and Sheopur (Madhya Pradesh), while several districts in Uttar Pradesh (e.g., Jalaun, Hamirpur, Banda) also show relatively high values. Production trends mirror area distribution, with maxima exceeding 0.6 lakh tonnes in major producing districts. Yield levels vary significantly across regions, with higher productivity seen in parts of Gujarat and Rajasthan (often above 1000 kg/hectare in some cases), while many districts—especially those with marginal cultivation—show very low or zero production and area, indicating minimal engagement in sesamum farming. Overall, the data reflects a mix of highly productive pockets and large areas with negligible cultivation, highlighting spatial disparities.This dataset is useful for agricultural policy planning, oilseed crop analysis, and regional productivity assessment, particularly for enhancing the production of sesamum, an important oilseed crop. It can support decision-making in boosting edible oil output, promoting crop diversification, identifying high-potential districts, and improving extension services in low-performing regions. Researchers and planners can use the data for trend analysis, yield gap identification, climate-resilient crop promotion, and targeted interventions to strengthen oilseed production systems. Additionally, it aids in spatial mapping and resource allocation, helping optimize agricultural strategies at district and state levels.This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presents district-wise statistics on sesamum (sesame) cultivation in India, including area, production, and yield for the financial years 2022–23, 2023–24, and 2024–25, along with geographic identifiers. The data indicates that sesamum cultivation is widely distributed but unevenly concentrated, with significant activity in states such as Rajasthan, Madhya Pradesh, Gujarat, Karnataka, and Uttar Pradesh. The highest area under cultivation in 2024–25 is observed in Chhatarpur (Madhya Pradesh) at around 1.05 lakh hectare, followed by notable districts like Pali (Rajasthan) and Sheopur (Madhya Pradesh), while several districts in Uttar Pradesh (e.g., Jalaun, Hamirpur, Banda) also show relatively high values. Production trends mirror area distribution, with maxima exceeding 0.6 lakh tonnes in major producing districts. Yield levels vary significantly across regions, with higher productivity seen in parts of Gujarat and Rajasthan (often above 1000 kg/hectare in some cases), while many districts—especially those with marginal cultivation—show very low or zero production and area, indicating minimal engagement in sesamum farming. Overall, the data reflects a mix of highly productive pockets and large areas with negligible cultivation, highlighting spatial disparities.</w:t>
        <w:br/>
        <w:br/>
        <w:br/>
        <w:t>This dataset is useful for agricultural policy planning, oilseed crop analysis, and regional productivity assessment, particularly for enhancing the production of sesamum, an important oilseed crop. It can support decision-making in boosting edible oil output, promoting crop diversification, identifying high-potential districts, and improving extension services in low-performing regions. Researchers and planners can use the data for trend analysis, yield gap identification, climate-resilient crop promotion, and targeted interventions to strengthen oilseed production systems. Additionally, it aids in spatial mapping and resource allocation, helping optimize agricultural strategies at district and state levels.</w:t>
        <w:br/>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