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District‑wise Distribution of Outstanding Bank Credit by Occupation, India</w:t>
      </w:r>
    </w:p>
    <w:p>
      <w:r>
        <w:t>Source/Owner: Unknown</w:t>
      </w:r>
    </w:p>
    <w:p>
      <w:r>
        <w:t>URL: https://www.arcgis.com/home/item.html?id=06d42b6835fb47168c68181eb5df14ca</w:t>
        <w:br/>
      </w:r>
    </w:p>
    <w:p>
      <w:r>
        <w:t>This layer provides a district‑wise visualization of outstanding credit disbursed by Scheduled Commercial Banks in India, based on Annual Basic Statistical Returns (BSR‑1), March 2025, published by the Reserve Bank of India (RBI) under Section 3: Occupation‑wise Classification of Credit (Table No. 3.9). The data captures the distribution of bank credit across districts, disaggregated by major occupational categories such as Agriculture (direct and indirect finance), Industry (including mining, manufacturing, utilities, and construction), Transport Operators, Professional and Other Services, Personal Loans, Trade (wholesale and retail), Finance, and Other sectors. For each district, the dataset reports the number of loan accounts and the total outstanding credit amount, reflecting sector‑wise credit exposure and economic activity at the district level. This map enables spatial comparison and thematic mapping of banking credit patterns across India at district level.Source:https://data.rbi.org.in/#/dbie/homeAnnual Basic Statistical Returns 1 of Scheduled Commercial Banks in India - March 2025   Section 3 : Occupation-wise Classification of Credit Table No 3.9 : District-wise classification of outstanding credit of scheduled commercial banks according to occupation.</w:t>
        <w:br/>
        <w:br/>
        <w:t>This layer provides a district‑wise visualization of outstanding credit disbursed by Scheduled Commercial Banks in India, based on Annual Basic Statistical Returns (BSR‑1), March 2025, published by the Reserve Bank of India (RBI) under Section 3: Occupation‑wise Classification of Credit (Table No. 3.9). The data captures the distribution of bank credit across districts, disaggregated by major occupational categories such as Agriculture (direct and indirect finance), Industry (including mining, manufacturing, utilities, and construction), Transport Operators, Professional and Other Services, Personal Loans, Trade (wholesale and retail), Finance, and Other sectors. For each district, the dataset reports the number of loan accounts and the total outstanding credit amount, reflecting sector‑wise credit exposure and economic activity at the district level. This map enables spatial comparison and thematic mapping of banking credit patterns across India at district level.</w:t>
        <w:br/>
        <w:br/>
        <w:t>Source:https://data.rbi.org.in/#/dbie/home</w:t>
        <w:br/>
        <w:t xml:space="preserve">Annual Basic Statistical Returns 1 of Scheduled Commercial Banks in India - March 2025   </w:t>
        <w:br/>
        <w:t xml:space="preserve">Section 3 : Occupation-wise Classification of Credit </w:t>
        <w:br/>
        <w:t>Table No 3.9 : District-wise classification of outstanding credit of scheduled commercial banks according to occupation.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