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Fixed, Physical Working, Productive, and Invested Capital</w:t>
      </w:r>
    </w:p>
    <w:p>
      <w:r>
        <w:t>Source/Owner: Unknown</w:t>
      </w:r>
    </w:p>
    <w:p>
      <w:r>
        <w:t>URL: https://www.arcgis.com/home/item.html?id=c7f3aec03cf54613889058eff3a677d3</w:t>
        <w:br/>
      </w:r>
    </w:p>
    <w:p>
      <w:r>
        <w:t>Bank credit plays an important role in financing the investments of corporates in India. A sustained increase in credit may have led to information about investment demand pick-up while an occasional rise may indicate demand for working capital which could be for utilization of current capacity. To reconfirm the nature of revival in investment activity, investment cycles are estimated by employing an asymmetric band-pass filter on quarterly seasonally adjusted investment.This layer contains several useful attributes :Fixed Capital from 2004-05 to 2023-24 (in Lakh)Working Capital from 2004-05 to 2023-24 ( in Lakh)Physical Working Capital from 2004-05 to 2023-24 (in Lakh)Productive Capital from 2004-05 to 2023-24 (in Lakh)Invested Capital Capital from 2004-05 to 2023-24 (in Lakh)Source- https://rbidocs.rbi.org.in/rdocs/Publications/PDFs/0HANDBOOK111225883086B042ED449F9C3DDACAB54415D8.PDFTable 117: State-wise Fixed CapitalTable 118: State-wise Working CapitalTable 119: State-wise Physical Working CapitalTable 120: State-wise Productive CapitalTable 121: State-wise Invested CapitalThis web layer is offered by Esri India, for ArcGIS Online subscribers. If you have any questions or comments, please let us know via content@esri.in.</w:t>
        <w:br/>
        <w:br/>
        <w:t>Bank credit plays an important role in financing the investments of corporates in India. A sustained increase in credit may have led to information about investment demand pick-up while an occasional rise may indicate demand for working capital which could be for utilization of current capacity. To reconfirm the nature of revival in investment activity, investment cycles are estimated by employing an asymmetric band-pass filter on quarterly seasonally adjusted investment.</w:t>
        <w:br/>
        <w:t xml:space="preserve"> </w:t>
        <w:br/>
        <w:t>This layer contains several useful attributes :</w:t>
        <w:br/>
        <w:t>Fixed Capital from 2004-05 to 2023-24 (in Lakh)</w:t>
        <w:br/>
        <w:t>Working Capital from 2004-05 to 2023-24 ( in Lakh)</w:t>
        <w:br/>
        <w:t>Physical Working Capital from 2004-05 to 2023-24 (in Lakh)</w:t>
        <w:br/>
        <w:t>Productive Capital from 2004-05 to 2023-24 (in Lakh)</w:t>
        <w:br/>
        <w:t>Invested Capital Capital from 2004-05 to 2023-24 (in Lakh)</w:t>
        <w:br/>
        <w:t>Source- https://rbidocs.rbi.org.in/rdocs/Publications/PDFs/0HANDBOOK111225883086B042ED449F9C3DDACAB54415D8.PDF</w:t>
        <w:br/>
        <w:br/>
        <w:t>Table 117: State-wise Fixed Capital</w:t>
        <w:br/>
        <w:t>Table 118: State-wise Working Capital</w:t>
        <w:br/>
        <w:t>Table 119: State-wise Physical Working Capital</w:t>
        <w:br/>
        <w:t>Table 120: State-wise Productive Capital</w:t>
        <w:br/>
        <w:t>Table 121: State-wise Invested Capital</w:t>
        <w:br/>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