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Gender Parity Index (GPI) of GER in Higher Secondary level of School Education</w:t>
      </w:r>
    </w:p>
    <w:p>
      <w:r>
        <w:t>Source/Owner: Unknown</w:t>
      </w:r>
    </w:p>
    <w:p>
      <w:r>
        <w:t>URL: https://www.arcgis.com/home/item.html?id=e6b8e49f519746d7b1e71e3a19ebc7b1</w:t>
        <w:br/>
      </w:r>
    </w:p>
    <w:p>
      <w:r>
        <w:t>No full description available.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