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Heat Severity Index India</w:t>
      </w:r>
    </w:p>
    <w:p>
      <w:r>
        <w:t>Source/Owner: Unknown</w:t>
      </w:r>
    </w:p>
    <w:p>
      <w:r>
        <w:t>URL: https://www.arcgis.com/home/item.html?id=d038486aaa2e44e4baeefe06977abe4f</w:t>
        <w:br/>
      </w:r>
    </w:p>
    <w:p>
      <w:r>
        <w:t>Exreme heat broke all records in 2024, which was recognised globally as the hottest year since records began. Asia, which accounted for 45 per cent of global heat-related deaths between 2000 and 2019, and India, where over a billion people face heatwaves annually, remain among the most affected regions (WHO 2024; IMD 2023). In 2024, India experienced its longest recorded heatwave since 2010. Many states experienced daytime temperatures of over 40°C for an entire month, leading to more than 44,000 cases of heatstroke (Patel et al. 2024). By April 2025, more than 10 states had already experienced severe heatwaves. Extreme heat is already having a multifaceted impact on day-to-day life, straining public health systems, pushing power demand to record highs, damaging crops, depleting water resources, and reducing the productivity of humans, livestock, and agriculture. Due to heat stress, India could lose the equivalent of 35 million full-time jobs and experience a 4.5 per cent reduction in GDP by 2030.</w:t>
        <w:br/>
        <w:br/>
        <w:t>Mapping heat risk across India’s districts</w:t>
        <w:br/>
        <w:br/>
        <w:t>This study develops a Heat Risk Index (HRI) designed to assess heat-related risks at the district level across India. The index follows the IPCC AR5 framework, which defines risk as a combination of hazard, exposure, and vulnerability (IPCC, 2014). To map long-term heat trends from 1982 to 2022, the analysis uses the high-resolution Indian Monsoon Data Analysis and Assimilation (IMDAA) dataset, which divides India into 12-km grid cells. In addition to this climatological assessment, satellite imagery was employed to track changes in 35 key indicators related to land use and land cover patterns, human population and building density, water body distribution, and green cover. Socio-economic and health vulnerability data were drawn from the most recent sources—NFHS 2019–21 and Census 2011. The analysis also incorporates nighttime temperature and relative humidity data, providing a more complete picture of heat hazard beyond daytime temperature extremes.</w:t>
        <w:br/>
        <w:br/>
        <w:t>Key Findings</w:t>
        <w:br/>
        <w:br/>
        <w:t>About 57 per cent of Indian districts, home to 76 per cent of India’s total population, are currently at high to very high heat risk. We found that 417 out of 734 Indian districts fell in the high and very high risk categories (151 under high risk and 266 under very high risk), as seen in Figure ES3. Moreover, 201 districts fell in the moderate category, and 116 fell in either the low or very low categories. This does not indicate that these districts are free of heat risk, but that it is relatively lesser than that of other districts. Aggregating these risks at the state level, we found that the ten states and UTs with the highest heat risk are Delhi, Maharashtra, Goa, Kerala, Gujarat, Rajasthan, Tamil Nadu, Andhra Pradesh, Madhya Pradesh, and Uttar Pradesh.</w:t>
        <w:br/>
        <w:br/>
        <w:t>Source: https://www.ceew.in/sites/default/files/mapping-climate-risks-and-impacts-of-extreme-heatwave-disaster-in-indian-districts.pdf</w:t>
        <w:br/>
        <w:br/>
        <w:t>Citation: Prabhu, Shravan, Keerthana Anthikat Sukesh, Srishti Mandal, Divyanshu Sharma, and Vishwas Chitale. 2025. How Extreme Heat is Impacting India: Assessing District-level Heat Risk. New Delhi: Council on Energy, Environment and Water.</w:t>
        <w:br/>
        <w:br/>
        <w:t>Disclaimer: The views expressed in this report are those of the authors and do not reflect the views and policies of the Council on Energy, Environment and Water.</w:t>
        <w:br/>
        <w:br/>
        <w:t>Organisation: The Council on Energy, Environment and Water (CEEW)—a homegrown institution headquartered in New Delhi – is among the world’s leading climate think tanks. The Council is also often ranked among the world’s best-managed and independent think tanks. It uses data, integrated analysis, and strategic outreach to explain—and change—the use, reuse, and misuse of resources. It prides itself on the independence of its high-quality research and strives to impact sustainable development at scale in India and the Global South. In over 14 years of operation, CEEW has impacted over 400 million lives and engaged with over 20 state governments.</w:t>
        <w:br/>
        <w:br/>
        <w:t>This work is licensed under the Creative Commons Attribution-NonCommercial 4.0 International (CC BY-NC 4.0) License.To view the full license, visit: https://creativecommons.org/licenses/by-nc/4.0/legalcode.</w:t>
        <w:br/>
        <w:br/>
        <w:t>Credits: Council on Energy, Environment and Water (CEEW)</w:t>
        <w:br/>
        <w:t>License: CC BY-NC 4.0 (Attribution-NonCommercial)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