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Population under different age groups and Child Sex Ratio</w:t>
      </w:r>
    </w:p>
    <w:p>
      <w:r>
        <w:t>Source/Owner: Unknown</w:t>
      </w:r>
    </w:p>
    <w:p>
      <w:r>
        <w:t>URL: https://www.arcgis.com/home/item.html?id=66ebdd073af1426fad2ea2ff7617c2e3</w:t>
        <w:br/>
      </w:r>
    </w:p>
    <w:p>
      <w:r>
        <w:t>This layer shows state-wise population under different age groups and Child Sex Ratio in 2001 and 2011 as per Economic Survey Report 2024-2025Source of data: https://www.indiabudget.gov.in/economicsurvey/doc/stat/tab8.8.pdfThis web layer is offered by Esri India, for ArcGIS Online subscribers. If you have any questions or comments, please let us know via content@esri.in.</w:t>
        <w:br/>
        <w:br/>
        <w:t>This layer shows state-wise population under different age groups and Child Sex Ratio in 2001 and 2011 as per Economic Survey Report 2024-2025</w:t>
        <w:br/>
        <w:br/>
        <w:br/>
        <w:t>Source of data: https://www.indiabudget.gov.in/economicsurvey/doc/stat/tab8.8.pdf</w:t>
        <w:br/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 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</w:t>
        <w:br/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