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Primary Market Resource Mobilisation through Public and Rights Issues (Equity)</w:t>
      </w:r>
    </w:p>
    <w:p>
      <w:r>
        <w:t>Source/Owner: Unknown</w:t>
      </w:r>
    </w:p>
    <w:p>
      <w:r>
        <w:t>URL: https://www.arcgis.com/home/item.html?id=79837dca29f6438198f4e7bb18ca723b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