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Cause–wise Distribution of Suicides in India</w:t>
      </w:r>
    </w:p>
    <w:p>
      <w:r>
        <w:t>Source/Owner: Unknown</w:t>
      </w:r>
    </w:p>
    <w:p>
      <w:r>
        <w:t>URL: https://www.arcgis.com/home/item.html?id=bd466e8c359f49f0a5e6930bb6b0beb6</w:t>
        <w:br/>
      </w:r>
    </w:p>
    <w:p>
      <w:r>
        <w:t>This map presents State and Union Territory-wise statistics on the cause-wise distribution of suicides in India for the year 2024, as compiled by the National Crime Records Bureau (NCRB). The dataset provides a comprehensive overview of the underlying causes associated with suicide cases, enabling comparison of socio-economic, personal, health-related, and other contributing factors across States and Union Territories and supporting the identification of major determinants influencing suicide incidence.</w:t>
        <w:br/>
        <w:br/>
        <w:t>The attribute information includes the number of suicides reported under various cause categories, such as family problems, marriage-related issues, illness, drug abuse/addiction, bankruptcy or indebtedness, unemployment, poverty, failure in examination, professional or career problems, unemployment, love affairs, property disputes, suspected or illicit relationships, social reputation, ideological causes, and other specified causes, together with corresponding annual values for 2021, 2022, 2023, and 2024. These attributes facilitate temporal comparison of cause-wise suicide patterns and support the assessment of changes in the prevalence of different contributing factors over the four-year period.</w:t>
        <w:br/>
        <w:br/>
        <w:t>The data reveal considerable variation in the causes of suicides across India. Family problems consistently account for the highest proportion of reported suicide cases in most States and Union Territories, followed by illness and marriage-related issues, which also contribute substantially to the overall suicide burden. Economic factors such as bankruptcy or indebtedness and unemployment, along with educational causes including failure in examinations, remain significant contributors in several regions. In contrast, ideological causes, social reputation, property disputes, and other less frequently reported causes generally account for the lowest number of suicide cases across the country. Larger and more populous States consistently record the highest absolute number of cause-wise suicides, whereas smaller States and Union Territories report comparatively lower values. The availability of annual data from 2021 to 2024 enables assessment of changing socio-economic and personal factors associated with suicides and supports the identification of emerging trends requiring focused intervention.</w:t>
        <w:br/>
        <w:br/>
        <w:t>This feature class is intended to support public health planning, mental health research, social policy formulation, suicide prevention strategies, and evidence-based decision-making. The dataset is particularly useful for public health authorities, mental health professionals, social welfare departments, policymakers, researchers, planners, and GIS practitioners to analyse the underlying causes of suicides, identify vulnerable population groups, monitor temporal changes, evaluate the effectiveness of intervention programmes, and develop targeted prevention strategies addressing the predominant causes of suicide.</w:t>
        <w:br/>
        <w:t xml:space="preserve"> </w:t>
        <w:br/>
        <w:br/>
        <w:t xml:space="preserve"> 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