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NCRB: City-wise Percentage Variation in Accidental Deaths due to Forces of Nature and Other Causes</w:t>
      </w:r>
    </w:p>
    <w:p>
      <w:r>
        <w:t>Source/Owner: Unknown</w:t>
      </w:r>
    </w:p>
    <w:p>
      <w:r>
        <w:t>URL: https://www.arcgis.com/home/item.html?id=dd629bedc94442e0963cf20e61c0412e</w:t>
        <w:br/>
      </w:r>
    </w:p>
    <w:p>
      <w:r>
        <w:t>The map illustrates the percentage variation in accidental deaths during 2024 compared to 2023 across major Indian cities, categorized under two broad causes: Forces of Nature (such as floods, lightning, heat/sun stroke) and Other Causes (including traffic accidents, falls, poisoning, etc.). The visualization highlights cities with significant increases or decreases in accidental deaths, providing insights into urban safety trends and vulnerability patterns. Positive variations indicate a rise in fatalities, while negative variations reflect a decline. This spatial representation helps identify cities requiring targeted interventions for accident prevention and disaster preparedness.</w:t>
        <w:br/>
        <w:t xml:space="preserve"> </w:t>
        <w:br/>
        <w:t xml:space="preserve"> </w:t>
        <w:br/>
        <w:t>Source: https://www.ncrb.gov.in/uploads/files/1ADSIPublication-2024.pdf Pg No 38</w:t>
        <w:br/>
        <w:t xml:space="preserve"> </w:t>
        <w:br/>
        <w:br/>
        <w:t>These map layers are offered by Esri India Content. If you have any questions or comments, please let us know via content@esri.in.</w:t>
        <w:br/>
        <w:br/>
        <w:t>This work is licensed under the Esri India Master Terms of Use.Important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br/>
        <w:t>Important Note: This layer is intended to support online visualization and analysis. Users are not permitted to export data for offline use.</w:t>
        <w:br/>
        <w:t xml:space="preserve"> </w:t>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