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Crime under Indian Penal Code (IPC) - Metropolitan Cities</w:t>
      </w:r>
    </w:p>
    <w:p>
      <w:r>
        <w:t>Source/Owner: Unknown</w:t>
      </w:r>
    </w:p>
    <w:p>
      <w:r>
        <w:t>URL: https://www.arcgis.com/home/item.html?id=9e89117ce613497bbc9a1a6bc57c0ab3</w:t>
        <w:br/>
      </w:r>
    </w:p>
    <w:p>
      <w:r>
        <w:t>NCRB functions as the repository of information on crime and criminals so as to assist the investigators in linking crime to the perpetrators. Subsequently, NCRB was entrusted with the responsibility for monitoring, coordinating and implementing the Crime and Criminal Tracking Network &amp; Systems (CCTNS). NCRB also compiles and publishes National Crime Statistics i.e. Crime in India, Accidental Deaths &amp; Suicides and also Prison Statistics. These publications serve as a principal reference point by policy makers, police, criminologists, researchers and media, both in India and abroad. NCRB has been conferred with Silver award during Digital India Awards 2016 under Open Data Championship category from the Government of India for uploading Crime Statistics since 1953 on Govt. Portal.This layer contains information on crime incidence during 2020-2024, which was published by the Bureau on their website. Along with total crimes from 2020 to 2024, the following related information is also available in the attribute table:Source: https://www.ncrb.gov.in/uploads/files/TABLE1B16.pdfThis map layer is offered by Esri India, for ArcGIS Online subscribers. If you have any questions or comments, please let us know via content@esri.in.</w:t>
        <w:br/>
        <w:br/>
        <w:t xml:space="preserve">NCRB functions as the repository of information on crime and criminals so as to assist the investigators in linking crime to the perpetrators. Subsequently, NCRB was entrusted with the responsibility for monitoring, coordinating and implementing the Crime and Criminal Tracking Network &amp; Systems (CCTNS). </w:t>
        <w:br/>
        <w:t xml:space="preserve"> </w:t>
        <w:br/>
        <w:t>NCRB also compiles and publishes National Crime Statistics i.e. Crime in India, Accidental Deaths &amp; Suicides and also Prison Statistics. These publications serve as a principal reference point by policy makers, police, criminologists, researchers and media, both in India and abroad. NCRB has been conferred with Silver award during Digital India Awards 2016 under Open Data Championship category from the Government of India for uploading Crime Statistics since 1953 on Govt. Portal.</w:t>
        <w:br/>
        <w:t xml:space="preserve"> </w:t>
        <w:br/>
        <w:t>This layer contains information on crime incidence during 2020-2024, which was published by the Bureau on their website. Along with total crimes from 2020 to 2024, the following related information is also available in the attribute table:</w:t>
        <w:br/>
        <w:t xml:space="preserve"> </w:t>
        <w:br/>
        <w:t xml:space="preserve"> </w:t>
        <w:br/>
        <w:t xml:space="preserve"> </w:t>
        <w:br/>
        <w:t>Source: https://www.ncrb.gov.in/uploads/files/TABLE1B16.pdf</w:t>
        <w:br/>
        <w:t xml:space="preserve"> </w:t>
        <w:br/>
        <w:t>This map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