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NCRB Crime under Indian Penal Code (IPC) and Special Local Laws (SLL) - Metropolitan Cities</w:t>
      </w:r>
    </w:p>
    <w:p>
      <w:r>
        <w:t>Source/Owner: Unknown</w:t>
      </w:r>
    </w:p>
    <w:p>
      <w:r>
        <w:t>URL: https://www.arcgis.com/home/item.html?id=0775844a47fd4c669da846a10d70588f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