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Economic Offences</w:t>
      </w:r>
    </w:p>
    <w:p>
      <w:r>
        <w:t>Source/Owner: Unknown</w:t>
      </w:r>
    </w:p>
    <w:p>
      <w:r>
        <w:t>URL: https://www.arcgis.com/home/item.html?id=002a65c23af848bcaf9ab8dabe2bd2e1</w:t>
        <w:br/>
      </w:r>
    </w:p>
    <w:p>
      <w:r>
        <w:t>This map presents State and Union Territory-wise statistics on economic offences reported in India for the year 2024, as compiled by the National Crime Records Bureau (NCRB). The dataset provides a spatial representation of major categories of economic crimes, enabling comparison of their incidence across States and Union Territories and supporting the assessment of offences that adversely affect financial systems, public trust, and economic security.The attribute information includes reported cases under major categories of economic offences, such as criminal breach of trust, cheating, forgery, counterfeiting, counterfeit currency offences, fraud, and other economic crimes, together with corresponding annual values for 2020, 2021, 2022, 2023, and 2024. These attributes facilitate temporal comparison of offence patterns, enable assessment of changes in economic crime over the five-year period, and support analysis of the relative prevalence of different categories of financial offences.The data reveal considerable variation in the incidence of economic offences across India. Cheating and fraud-related offences consistently account for the highest number of registered economic crime cases in most States and Union Territories, reflecting the growing complexity of financial transactions, digital platforms, and commercial activities. Criminal breach of trust and forgery also contribute substantially to the overall burden of economic offences across several regions. In contrast, counterfeiting and counterfeit currency offences generally record comparatively lower numbers of reported cases, although their occurrence varies depending on regional enforcement activities and economic conditions. Larger and more populous States, with higher levels of commercial and financial activity, consistently report the highest absolute number of economic offences, whereas smaller States and Union Territories record comparatively lower values. The availability of annual data from 2020 to 2024 enables the assessment of changing trends in economic crime, supporting the identification of emerging patterns and areas requiring strengthened financial crime prevention measures.This feature class is intended to support crime analysis, financial crime prevention, law enforcement planning, economic policy formulation, regulatory oversight, and evidence-based decision-making. The dataset is particularly useful for police departments, financial investigation agencies, regulatory authorities, policymakers, researchers, planners, and GIS professionals to analyse regional patterns of economic offences, identify high-incidence areas, monitor temporal trends, evaluate the effectiveness of enforcement measures, and support strategies aimed at reducing financial and commercial crimes.This map is updated annually using data from 2024. A key limitation is that it does not reflect the current situation, as the information is presented only as an annual aggregate.Source: https://www.ncrb.gov.in/crime-in-india-year-wise.html</w:t>
        <w:br/>
        <w:br/>
        <w:t>This map presents State and Union Territory-wise statistics on economic offences reported in India for the year 2024, as compiled by the National Crime Records Bureau (NCRB). The dataset provides a spatial representation of major categories of economic crimes, enabling comparison of their incidence across States and Union Territories and supporting the assessment of offences that adversely affect financial systems, public trust, and economic security.</w:t>
        <w:br/>
        <w:br/>
        <w:t>The attribute information includes reported cases under major categories of economic offences, such as criminal breach of trust, cheating, forgery, counterfeiting, counterfeit currency offences, fraud, and other economic crimes, together with corresponding annual values for 2020, 2021, 2022, 2023, and 2024. These attributes facilitate temporal comparison of offence patterns, enable assessment of changes in economic crime over the five-year period, and support analysis of the relative prevalence of different categories of financial offences.</w:t>
        <w:br/>
        <w:br/>
        <w:br/>
        <w:t>The data reveal considerable variation in the incidence of economic offences across India. Cheating and fraud-related offences consistently account for the highest number of registered economic crime cases in most States and Union Territories, reflecting the growing complexity of financial transactions, digital platforms, and commercial activities. Criminal breach of trust and forgery also contribute substantially to the overall burden of economic offences across several regions. In contrast, counterfeiting and counterfeit currency offences generally record comparatively lower numbers of reported cases, although their occurrence varies depending on regional enforcement activities and economic conditions. Larger and more populous States, with higher levels of commercial and financial activity, consistently report the highest absolute number of economic offences, whereas smaller States and Union Territories record comparatively lower values. The availability of annual data from 2020 to 2024 enables the assessment of changing trends in economic crime, supporting the identification of emerging patterns and areas requiring strengthened financial crime prevention measures.</w:t>
        <w:br/>
        <w:br/>
        <w:t>This feature class is intended to support crime analysis, financial crime prevention, law enforcement planning, economic policy formulation, regulatory oversight, and evidence-based decision-making. The dataset is particularly useful for police departments, financial investigation agencies, regulatory authorities, policymakers, researchers, planners, and GIS professionals to analyse regional patterns of economic offences, identify high-incidence areas, monitor temporal trends, evaluate the effectiveness of enforcement measures, and support strategies aimed at reducing financial and commercial crimes.</w:t>
        <w:br/>
        <w:br/>
        <w:t>This map is updated annually using data from 2024. A key limitation is that it does not reflect the current situation, as the information is presented only as an annual aggregate.</w:t>
        <w:br/>
        <w:br/>
        <w:br/>
        <w:t>Source: https://www.ncrb.gov.in/crime-in-india-year-wise.html</w:t>
        <w:br/>
        <w:br/>
        <w:t>The distribution and uses of above data is as per the copyright policy provided by the respective data provider (Creditors).</w:t>
        <w:br/>
        <w:br/>
        <w:t>The distribution and uses of above data is as per the copyright policy provided by the respective data provider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