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NCRB Profession–wise Distribution of Suicides</w:t>
      </w:r>
    </w:p>
    <w:p>
      <w:r>
        <w:t>Source/Owner: Unknown</w:t>
      </w:r>
    </w:p>
    <w:p>
      <w:r>
        <w:t>URL: https://www.arcgis.com/home/item.html?id=6bdaa590833f4dad9a0360c17e12b0d2</w:t>
        <w:br/>
      </w:r>
    </w:p>
    <w:p>
      <w:r>
        <w:t>This map presents State and Union Territory-wise statistics on the distribution of suicides by profession in India for the year 2024, as compiled by the National Crime Records Bureau (NCRB). The dataset provides a comprehensive overview of the occupational background of individuals who died by suicide, enabling spatial comparison of profession-wise suicide patterns across States and Union Territories and facilitating the identification of vulnerable occupational groups.The attribute information includes profession-wise distribution of suicides across a wide range of occupational categories, such as housewives, students, unemployed persons, self-employed individuals, salaried employees (government and private), daily wage earners, agricultural labourers, farmers/cultivators, business persons, professionals, retired persons, homemakers, and individuals engaged in other occupations, along with corresponding annual values for 2021, 2022, 2023, and 2024. The dataset also provides total suicides reported under each profession category, enabling temporal comparison and assessment of occupational trends over the four-year period.The data reveal significant variation in suicide distribution across different occupational groups. Daily wage earners, self-employed individuals, and housewives consistently account for the highest proportion of reported suicides in many States, reflecting the influence of socio-economic vulnerabilities, financial stress, occupational instability, and domestic factors. Students and unemployed persons also constitute a substantial share of reported cases, highlighting the growing importance of educational, employment, and mental health-related challenges. In contrast, professionals, retired persons, and individuals employed in specialised occupations generally record comparatively lower numbers of suicides across most States and Union Territories. Larger and more populous States tend to report the highest absolute number of profession-wise suicides, whereas smaller States and Union Territories consistently record lower values. The availability of annual data from 2021 to 2024 enables the assessment of changing occupational patterns and the identification of emerging trends among different professional groups.This feature class is intended to support public health planning, mental health research, socio-economic analysis, policy formulation, suicide prevention strategies, and evidence-based decision-making. It can be used by government agencies, public health departments, researchers, planners, mental health professionals, and GIS practitioners to identify occupational groups at greater risk, analyse regional disparities, monitor temporal trends, and develop targeted intervention programmes aimed at reducing suicide rates among vulnerable populations.This map is updated annually using data from 2024. A key limitation is that it does not reflect the current situation, as the information is presented only as an annual aggregate.Source: https://www.ncrb.gov.in/accidental-deaths-suicides-in-india-year-wise.html?year=2024&amp;keyword=</w:t>
        <w:br/>
        <w:br/>
        <w:t>This map presents State and Union Territory-wise statistics on the distribution of suicides by profession in India for the year 2024, as compiled by the National Crime Records Bureau (NCRB). The dataset provides a comprehensive overview of the occupational background of individuals who died by suicide, enabling spatial comparison of profession-wise suicide patterns across States and Union Territories and facilitating the identification of vulnerable occupational groups.</w:t>
        <w:br/>
        <w:br/>
        <w:t>The attribute information includes profession-wise distribution of suicides across a wide range of occupational categories, such as housewives, students, unemployed persons, self-employed individuals, salaried employees (government and private), daily wage earners, agricultural labourers, farmers/cultivators, business persons, professionals, retired persons, homemakers, and individuals engaged in other occupations, along with corresponding annual values for 2021, 2022, 2023, and 2024. The dataset also provides total suicides reported under each profession category, enabling temporal comparison and assessment of occupational trends over the four-year period.</w:t>
        <w:br/>
        <w:br/>
        <w:t>The data reveal significant variation in suicide distribution across different occupational groups. Daily wage earners, self-employed individuals, and housewives consistently account for the highest proportion of reported suicides in many States, reflecting the influence of socio-economic vulnerabilities, financial stress, occupational instability, and domestic factors. Students and unemployed persons also constitute a substantial share of reported cases, highlighting the growing importance of educational, employment, and mental health-related challenges. In contrast, professionals, retired persons, and individuals employed in specialised occupations generally record comparatively lower numbers of suicides across most States and Union Territories. Larger and more populous States tend to report the highest absolute number of profession-wise suicides, whereas smaller States and Union Territories consistently record lower values. The availability of annual data from 2021 to 2024 enables the assessment of changing occupational patterns and the identification of emerging trends among different professional groups.</w:t>
        <w:br/>
        <w:br/>
        <w:t>This feature class is intended to support public health planning, mental health research, socio-economic analysis, policy formulation, suicide prevention strategies, and evidence-based decision-making. It can be used by government agencies, public health departments, researchers, planners, mental health professionals, and GIS practitioners to identify occupational groups at greater risk, analyse regional disparities, monitor temporal trends, and develop targeted intervention programmes aimed at reducing suicide rates among vulnerable populations.</w:t>
        <w:br/>
        <w:br/>
        <w:t>This map is updated annually using data from 2024. A key limitation is that it does not reflect the current situation, as the information is presented only as an annual aggregate.</w:t>
        <w:br/>
        <w:br/>
        <w:br/>
        <w:t>Source: https://www.ncrb.gov.in/accidental-deaths-suicides-in-india-year-wise.html?year=2024&amp;keyword=</w:t>
        <w:br/>
        <w:br/>
        <w:t>This work is licensed under the Esri India Master Terms of Use.Important Note: This layer is intended to support online visualization and analysis. Users are not permitted to export data for offline use.Important Note: This item requires an ArcGIS Online organizational subscription or an ArcGIS Developer account and does not consume credits. To access this item, you'll need to do one of the following:Sign in with an account that is a member of an organizational subscriptionSign in with a developer accountRegister an application and use your application's credentials.If you don't have an account, you can sign up for a free trial of ArcGIS or a free ArcGIS Developer account.</w:t>
        <w:br/>
        <w:br/>
        <w:t>This work is licensed under the Esri India Master Terms of Use.</w:t>
        <w:br/>
        <w:t xml:space="preserve"> </w:t>
        <w:br/>
        <w:t>Important Note: This layer is intended to support online visualization and analysis. Users are not permitted to export data for offline use.</w:t>
        <w:br/>
        <w:t xml:space="preserve"> </w:t>
        <w:br/>
        <w:t>Important Note: This item requires an ArcGIS Online organizational subscription or an ArcGIS Developer account and does not consume credits. To access this item, you'll need to do one of the following:</w:t>
        <w:br/>
        <w:t>Sign in with an account that is a member of an organizational subscription</w:t>
        <w:br/>
        <w:t>Sign in with a developer account</w:t>
        <w:br/>
        <w:t>Register an application and use your application's credentials.</w:t>
        <w:br/>
        <w:br/>
        <w:t>If you don't have an account, you can sign up for a free trial of ArcGIS or a free ArcGIS Developer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