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Violent Crimes (Crime Head‐wise) in India</w:t>
      </w:r>
    </w:p>
    <w:p>
      <w:r>
        <w:t>Source/Owner: Unknown</w:t>
      </w:r>
    </w:p>
    <w:p>
      <w:r>
        <w:t>URL: https://www.arcgis.com/home/item.html?id=3e0a466012984f8b927a40badb64e26a</w:t>
        <w:br/>
      </w:r>
    </w:p>
    <w:p>
      <w:r>
        <w:t>This map presents State and Union Territory-wise statistics on major categories of violent crimes reported in India for the year 2024, as compiled by the National Crime Records Bureau (NCRB). It provides a spatial representation of the distribution of violent offences, enabling comparison of crime patterns across the country.The dataset includes reported cases under major heads of violent crime such as rape, attempt to rape, foeticide, murder with rape, dowry deaths, abetment to suicide of women, attempt to murder, culpable homicide, kidnapping and abduction, human trafficking, acid attacks, miscarriage, infanticide, causing death by negligence, attempt to commit culpable homicide, and other related offences. Annual values for 2022, 2023, and 2024 are provided for each crime category, facilitating temporal analysis and assessment of year-to-year changes.The data indicate considerable spatial variation in the incidence of violent crimes across States and Union Territories. States with larger populations generally record the highest absolute number of reported cases, particularly for offences such as rape, kidnapping and abduction, and attempt to murder, whereas smaller States and Union Territories consistently record the lowest numbers of reported cases across most crime categories. Comparatively rare offences, including acid attacks, foeticide, infanticide, and murder with rape, exhibit low incidence throughout the country. The dataset also enables identification of emerging trends by comparing annual changes between 2022 and 2024, thereby supporting the recognition of areas showing increasing or decreasing patterns of violent crime.This feature class is intended to support crime mapping, hotspot identification, spatial and temporal analysis, policy formulation, law enforcement planning, resource allocation, criminological research, and evidence-based decision-making. It is suitable for use by government agencies, police organizations, researchers, planners, and GIS professionals for analysing regional crime patterns and monitoring changes over time.This map is updated annually using data from 2024. A key limitation is that it does not reflect the current situation, as the information is presented only as an annual aggregate.Source: https://www.ncrb.gov.in/crime-in-india-year-wise.html</w:t>
        <w:br/>
        <w:br/>
        <w:t>This map presents State and Union Territory-wise statistics on major categories of violent crimes reported in India for the year 2024, as compiled by the National Crime Records Bureau (NCRB). It provides a spatial representation of the distribution of violent offences, enabling comparison of crime patterns across the country.</w:t>
        <w:br/>
        <w:br/>
        <w:t>The dataset includes reported cases under major heads of violent crime such as rape, attempt to rape, foeticide, murder with rape, dowry deaths, abetment to suicide of women, attempt to murder, culpable homicide, kidnapping and abduction, human trafficking, acid attacks, miscarriage, infanticide, causing death by negligence, attempt to commit culpable homicide, and other related offences. Annual values for 2022, 2023, and 2024 are provided for each crime category, facilitating temporal analysis and assessment of year-to-year changes.</w:t>
        <w:br/>
        <w:br/>
        <w:t>The data indicate considerable spatial variation in the incidence of violent crimes across States and Union Territories. States with larger populations generally record the highest absolute number of reported cases, particularly for offences such as rape, kidnapping and abduction, and attempt to murder, whereas smaller States and Union Territories consistently record the lowest numbers of reported cases across most crime categories. Comparatively rare offences, including acid attacks, foeticide, infanticide, and murder with rape, exhibit low incidence throughout the country. The dataset also enables identification of emerging trends by comparing annual changes between 2022 and 2024, thereby supporting the recognition of areas showing increasing or decreasing patterns of violent crime.</w:t>
        <w:br/>
        <w:br/>
        <w:t>This feature class is intended to support crime mapping, hotspot identification, spatial and temporal analysis, policy formulation, law enforcement planning, resource allocation, criminological research, and evidence-based decision-making. It is suitable for use by government agencies, police organizations, researchers, planners, and GIS professionals for analysing regional crime patterns and monitoring changes over time.</w:t>
        <w:br/>
        <w:br/>
        <w:t>This map is updated annually using data from 2024. A key limitation is that it does not reflect the current situation, as the information is presented only as an annual aggregate.</w:t>
        <w:br/>
        <w:br/>
        <w:br/>
        <w:t>Source: https://www.ncrb.gov.in/crime-in-india-year-wise.html</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